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widowControl/>
        <w:suppressLineNumbers w:val="0"/>
        <w:jc w:val="center"/>
        <w:rPr>
          <w:rFonts w:hint="default" w:ascii="Times New Roman" w:hAnsi="Times New Roman" w:eastAsia="宋体" w:cs="Times New Roman"/>
          <w:b/>
          <w:bCs/>
          <w:color w:val="000000"/>
          <w:kern w:val="0"/>
          <w:sz w:val="44"/>
          <w:szCs w:val="44"/>
          <w:lang w:val="en-US" w:eastAsia="zh-CN" w:bidi="ar"/>
        </w:rPr>
      </w:pPr>
    </w:p>
    <w:p>
      <w:pPr>
        <w:pStyle w:val="2"/>
        <w:rPr>
          <w:rFonts w:hint="default" w:ascii="Times New Roman" w:hAnsi="Times New Roman" w:cs="Times New Roman"/>
          <w:lang w:val="en-US" w:eastAsia="zh-CN"/>
        </w:rPr>
      </w:pPr>
    </w:p>
    <w:p>
      <w:pPr>
        <w:keepNext w:val="0"/>
        <w:keepLines w:val="0"/>
        <w:widowControl/>
        <w:suppressLineNumbers w:val="0"/>
        <w:jc w:val="center"/>
        <w:rPr>
          <w:rFonts w:hint="default" w:ascii="Times New Roman" w:hAnsi="Times New Roman" w:eastAsia="宋体" w:cs="Times New Roman"/>
          <w:b/>
          <w:bCs/>
          <w:color w:val="000000"/>
          <w:kern w:val="0"/>
          <w:sz w:val="52"/>
          <w:szCs w:val="52"/>
          <w:lang w:val="en-US" w:eastAsia="zh-CN" w:bidi="ar"/>
        </w:rPr>
      </w:pPr>
    </w:p>
    <w:p>
      <w:pPr>
        <w:bidi w:val="0"/>
        <w:ind w:left="0" w:leftChars="0" w:firstLine="0" w:firstLineChars="0"/>
        <w:jc w:val="center"/>
        <w:rPr>
          <w:rFonts w:hint="default" w:ascii="Times New Roman" w:hAnsi="Times New Roman" w:cs="Times New Roman"/>
          <w:lang w:val="en-US" w:eastAsia="zh-CN"/>
        </w:rPr>
      </w:pPr>
      <w:r>
        <w:rPr>
          <w:rFonts w:hint="default" w:ascii="Times New Roman" w:hAnsi="Times New Roman" w:eastAsia="方正小标宋_GBK" w:cs="Times New Roman"/>
          <w:bCs/>
          <w:sz w:val="72"/>
          <w:szCs w:val="72"/>
          <w:lang w:val="en-US" w:eastAsia="zh-CN"/>
        </w:rPr>
        <w:t>建设项目环境影响报告表</w:t>
      </w:r>
    </w:p>
    <w:p>
      <w:pPr>
        <w:adjustRightInd w:val="0"/>
        <w:snapToGrid w:val="0"/>
        <w:spacing w:before="192" w:beforeLines="80" w:line="240" w:lineRule="auto"/>
        <w:ind w:firstLine="0" w:firstLineChars="0"/>
        <w:jc w:val="center"/>
        <w:rPr>
          <w:rFonts w:hint="default" w:ascii="Times New Roman" w:hAnsi="Times New Roman" w:eastAsia="楷体_GB2312" w:cs="Times New Roman"/>
          <w:bCs/>
          <w:sz w:val="48"/>
          <w:szCs w:val="48"/>
          <w:lang w:val="en-US" w:eastAsia="zh-CN"/>
        </w:rPr>
      </w:pPr>
      <w:r>
        <w:rPr>
          <w:rFonts w:hint="default" w:ascii="Times New Roman" w:hAnsi="Times New Roman" w:eastAsia="楷体_GB2312" w:cs="Times New Roman"/>
          <w:bCs/>
          <w:sz w:val="48"/>
          <w:szCs w:val="48"/>
          <w:lang w:val="en-US" w:eastAsia="zh-CN"/>
        </w:rPr>
        <w:t>（污染影响类）</w:t>
      </w:r>
    </w:p>
    <w:p>
      <w:pPr>
        <w:adjustRightInd w:val="0"/>
        <w:snapToGrid w:val="0"/>
        <w:spacing w:before="192" w:beforeLines="80" w:line="240" w:lineRule="auto"/>
        <w:ind w:firstLine="0" w:firstLineChars="0"/>
        <w:jc w:val="center"/>
        <w:rPr>
          <w:rFonts w:hint="default" w:ascii="Times New Roman" w:hAnsi="Times New Roman" w:eastAsia="楷体_GB2312" w:cs="Times New Roman"/>
          <w:bCs/>
          <w:sz w:val="48"/>
          <w:szCs w:val="48"/>
          <w:lang w:val="en-US" w:eastAsia="zh-CN"/>
        </w:rPr>
      </w:pPr>
    </w:p>
    <w:p>
      <w:pPr>
        <w:keepNext w:val="0"/>
        <w:keepLines w:val="0"/>
        <w:pageBreakBefore w:val="0"/>
        <w:kinsoku/>
        <w:wordWrap/>
        <w:overflowPunct/>
        <w:topLinePunct w:val="0"/>
        <w:autoSpaceDE/>
        <w:autoSpaceDN/>
        <w:bidi w:val="0"/>
        <w:adjustRightInd w:val="0"/>
        <w:snapToGrid w:val="0"/>
        <w:spacing w:before="192" w:beforeLines="80" w:line="240" w:lineRule="auto"/>
        <w:ind w:left="0" w:leftChars="0" w:firstLine="0" w:firstLineChars="0"/>
        <w:jc w:val="center"/>
        <w:textAlignment w:val="auto"/>
        <w:rPr>
          <w:rFonts w:hint="default" w:ascii="Times New Roman" w:hAnsi="Times New Roman" w:eastAsia="楷体_GB2312" w:cs="Times New Roman"/>
          <w:bCs/>
          <w:sz w:val="48"/>
          <w:szCs w:val="48"/>
        </w:rPr>
      </w:pPr>
    </w:p>
    <w:p>
      <w:pPr>
        <w:keepNext w:val="0"/>
        <w:keepLines w:val="0"/>
        <w:pageBreakBefore w:val="0"/>
        <w:kinsoku/>
        <w:wordWrap/>
        <w:overflowPunct/>
        <w:topLinePunct w:val="0"/>
        <w:autoSpaceDE/>
        <w:autoSpaceDN/>
        <w:bidi w:val="0"/>
        <w:adjustRightInd w:val="0"/>
        <w:snapToGrid w:val="0"/>
        <w:spacing w:before="192" w:beforeLines="80" w:line="240" w:lineRule="auto"/>
        <w:ind w:left="0" w:leftChars="0" w:firstLine="0" w:firstLineChars="0"/>
        <w:jc w:val="center"/>
        <w:textAlignment w:val="auto"/>
        <w:rPr>
          <w:rFonts w:hint="default" w:ascii="Times New Roman" w:hAnsi="Times New Roman" w:eastAsia="楷体_GB2312" w:cs="Times New Roman"/>
          <w:bCs/>
          <w:sz w:val="48"/>
          <w:szCs w:val="48"/>
        </w:rPr>
      </w:pPr>
    </w:p>
    <w:p>
      <w:pPr>
        <w:keepNext w:val="0"/>
        <w:keepLines w:val="0"/>
        <w:pageBreakBefore w:val="0"/>
        <w:widowControl/>
        <w:suppressLineNumbers w:val="0"/>
        <w:kinsoku/>
        <w:wordWrap/>
        <w:overflowPunct/>
        <w:topLinePunct w:val="0"/>
        <w:autoSpaceDE/>
        <w:autoSpaceDN/>
        <w:bidi w:val="0"/>
        <w:adjustRightInd w:val="0"/>
        <w:snapToGrid w:val="0"/>
        <w:spacing w:before="192" w:beforeLines="80" w:line="240" w:lineRule="auto"/>
        <w:ind w:left="0" w:leftChars="0" w:firstLine="0" w:firstLineChars="0"/>
        <w:jc w:val="center"/>
        <w:textAlignment w:val="auto"/>
        <w:rPr>
          <w:rFonts w:hint="default" w:ascii="Times New Roman" w:hAnsi="Times New Roman" w:eastAsia="楷体_GB2312" w:cs="Times New Roman"/>
          <w:bCs/>
          <w:color w:val="auto"/>
          <w:kern w:val="2"/>
          <w:sz w:val="48"/>
          <w:szCs w:val="48"/>
          <w:lang w:val="en-US" w:eastAsia="zh-CN" w:bidi="ar"/>
        </w:rPr>
      </w:pPr>
    </w:p>
    <w:p>
      <w:pPr>
        <w:keepNext w:val="0"/>
        <w:keepLines w:val="0"/>
        <w:pageBreakBefore w:val="0"/>
        <w:widowControl/>
        <w:suppressLineNumbers w:val="0"/>
        <w:kinsoku/>
        <w:wordWrap/>
        <w:overflowPunct/>
        <w:topLinePunct w:val="0"/>
        <w:autoSpaceDE/>
        <w:autoSpaceDN/>
        <w:bidi w:val="0"/>
        <w:adjustRightInd/>
        <w:snapToGrid/>
        <w:ind w:left="2880" w:leftChars="0" w:hanging="2880" w:hangingChars="800"/>
        <w:jc w:val="left"/>
        <w:textAlignment w:val="auto"/>
        <w:rPr>
          <w:rFonts w:hint="default" w:ascii="Times New Roman" w:hAnsi="Times New Roman" w:eastAsia="仿宋" w:cs="Times New Roman"/>
          <w:color w:val="000000"/>
          <w:kern w:val="0"/>
          <w:sz w:val="36"/>
          <w:szCs w:val="36"/>
          <w:lang w:val="en-US" w:eastAsia="zh-CN" w:bidi="ar"/>
        </w:rPr>
      </w:pPr>
      <w:r>
        <w:rPr>
          <w:rFonts w:hint="default" w:ascii="Times New Roman" w:hAnsi="Times New Roman" w:eastAsia="仿宋" w:cs="Times New Roman"/>
          <w:color w:val="000000"/>
          <w:kern w:val="0"/>
          <w:sz w:val="36"/>
          <w:szCs w:val="36"/>
          <w:lang w:val="en-US" w:eastAsia="zh-CN" w:bidi="ar"/>
        </w:rPr>
        <w:t>项  目  名  称：</w:t>
      </w:r>
      <w:r>
        <w:rPr>
          <w:rFonts w:hint="default" w:ascii="Times New Roman" w:hAnsi="Times New Roman" w:eastAsia="仿宋" w:cs="Times New Roman"/>
          <w:color w:val="000000"/>
          <w:kern w:val="0"/>
          <w:sz w:val="36"/>
          <w:szCs w:val="36"/>
          <w:u w:val="single"/>
          <w:lang w:val="en-US" w:eastAsia="zh-CN" w:bidi="ar"/>
        </w:rPr>
        <w:t xml:space="preserve">中联新材标杆(湘阴)工厂项目（年产65万吨机制砂、98万吨干粉砂浆）                                </w:t>
      </w:r>
    </w:p>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left"/>
        <w:textAlignment w:val="auto"/>
        <w:rPr>
          <w:rFonts w:hint="default" w:ascii="Times New Roman" w:hAnsi="Times New Roman" w:eastAsia="仿宋" w:cs="Times New Roman"/>
          <w:color w:val="000000"/>
          <w:kern w:val="0"/>
          <w:sz w:val="36"/>
          <w:szCs w:val="36"/>
          <w:lang w:val="en-US" w:eastAsia="zh-CN" w:bidi="ar"/>
        </w:rPr>
      </w:pPr>
      <w:r>
        <w:rPr>
          <w:rFonts w:hint="default" w:ascii="Times New Roman" w:hAnsi="Times New Roman" w:eastAsia="仿宋" w:cs="Times New Roman"/>
          <w:color w:val="000000"/>
          <w:kern w:val="0"/>
          <w:sz w:val="36"/>
          <w:szCs w:val="36"/>
          <w:lang w:val="en-US" w:eastAsia="zh-CN" w:bidi="ar"/>
        </w:rPr>
        <w:t>建设单位（盖章）：</w:t>
      </w:r>
      <w:r>
        <w:rPr>
          <w:rFonts w:hint="default" w:ascii="Times New Roman" w:hAnsi="Times New Roman" w:eastAsia="仿宋" w:cs="Times New Roman"/>
          <w:color w:val="000000"/>
          <w:kern w:val="0"/>
          <w:sz w:val="36"/>
          <w:szCs w:val="36"/>
          <w:u w:val="single"/>
          <w:lang w:val="en-US" w:eastAsia="zh-CN" w:bidi="ar"/>
        </w:rPr>
        <w:t xml:space="preserve">湘阴中联重科新材料科技有限公司         </w:t>
      </w:r>
    </w:p>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left"/>
        <w:textAlignment w:val="auto"/>
        <w:rPr>
          <w:rFonts w:hint="default" w:ascii="Times New Roman" w:hAnsi="Times New Roman" w:eastAsia="仿宋" w:cs="Times New Roman"/>
          <w:color w:val="000000"/>
          <w:kern w:val="0"/>
          <w:sz w:val="36"/>
          <w:szCs w:val="36"/>
          <w:lang w:val="en-US" w:eastAsia="zh-CN" w:bidi="ar"/>
        </w:rPr>
      </w:pPr>
      <w:r>
        <w:rPr>
          <w:rFonts w:hint="default" w:ascii="Times New Roman" w:hAnsi="Times New Roman" w:eastAsia="仿宋" w:cs="Times New Roman"/>
          <w:color w:val="000000"/>
          <w:kern w:val="0"/>
          <w:sz w:val="36"/>
          <w:szCs w:val="36"/>
          <w:lang w:val="en-US" w:eastAsia="zh-CN" w:bidi="ar"/>
        </w:rPr>
        <w:t>编  制  日  期：</w:t>
      </w:r>
      <w:r>
        <w:rPr>
          <w:rFonts w:hint="default" w:ascii="Times New Roman" w:hAnsi="Times New Roman" w:eastAsia="仿宋" w:cs="Times New Roman"/>
          <w:color w:val="000000"/>
          <w:kern w:val="0"/>
          <w:sz w:val="36"/>
          <w:szCs w:val="36"/>
          <w:u w:val="single"/>
          <w:lang w:val="en-US" w:eastAsia="zh-CN" w:bidi="ar"/>
        </w:rPr>
        <w:t xml:space="preserve">         2022年7月                  </w:t>
      </w:r>
    </w:p>
    <w:p>
      <w:pPr>
        <w:keepNext w:val="0"/>
        <w:keepLines w:val="0"/>
        <w:pageBreakBefore w:val="0"/>
        <w:widowControl/>
        <w:suppressLineNumbers w:val="0"/>
        <w:kinsoku/>
        <w:wordWrap/>
        <w:overflowPunct/>
        <w:topLinePunct w:val="0"/>
        <w:autoSpaceDE/>
        <w:autoSpaceDN/>
        <w:bidi w:val="0"/>
        <w:adjustRightInd/>
        <w:snapToGrid/>
        <w:ind w:left="0" w:leftChars="0" w:firstLine="0" w:firstLineChars="0"/>
        <w:jc w:val="left"/>
        <w:textAlignment w:val="auto"/>
        <w:rPr>
          <w:rFonts w:hint="default" w:ascii="Times New Roman" w:hAnsi="Times New Roman" w:eastAsia="楷体" w:cs="Times New Roman"/>
          <w:color w:val="000000"/>
          <w:kern w:val="0"/>
          <w:sz w:val="36"/>
          <w:szCs w:val="36"/>
          <w:lang w:val="en-US" w:eastAsia="zh-CN" w:bidi="ar"/>
        </w:rPr>
      </w:pPr>
    </w:p>
    <w:p>
      <w:pPr>
        <w:keepNext w:val="0"/>
        <w:keepLines w:val="0"/>
        <w:widowControl/>
        <w:suppressLineNumbers w:val="0"/>
        <w:jc w:val="left"/>
        <w:rPr>
          <w:rFonts w:hint="default" w:ascii="Times New Roman" w:hAnsi="Times New Roman" w:eastAsia="楷体" w:cs="Times New Roman"/>
          <w:color w:val="000000"/>
          <w:kern w:val="0"/>
          <w:sz w:val="48"/>
          <w:szCs w:val="48"/>
          <w:lang w:val="en-US" w:eastAsia="zh-CN" w:bidi="ar"/>
        </w:rPr>
      </w:pPr>
    </w:p>
    <w:p>
      <w:pPr>
        <w:keepNext w:val="0"/>
        <w:keepLines w:val="0"/>
        <w:widowControl/>
        <w:suppressLineNumbers w:val="0"/>
        <w:jc w:val="left"/>
        <w:rPr>
          <w:rFonts w:hint="default" w:ascii="Times New Roman" w:hAnsi="Times New Roman" w:eastAsia="楷体" w:cs="Times New Roman"/>
          <w:color w:val="000000"/>
          <w:kern w:val="0"/>
          <w:sz w:val="36"/>
          <w:szCs w:val="36"/>
          <w:lang w:val="en-US" w:eastAsia="zh-CN" w:bidi="ar"/>
        </w:rPr>
      </w:pPr>
    </w:p>
    <w:p>
      <w:pPr>
        <w:pStyle w:val="5"/>
        <w:rPr>
          <w:rFonts w:hint="default" w:ascii="Times New Roman" w:hAnsi="Times New Roman" w:eastAsia="楷体" w:cs="Times New Roman"/>
          <w:color w:val="000000"/>
          <w:kern w:val="0"/>
          <w:sz w:val="36"/>
          <w:szCs w:val="36"/>
          <w:lang w:val="en-US" w:eastAsia="zh-CN" w:bidi="ar"/>
        </w:rPr>
      </w:pPr>
    </w:p>
    <w:p>
      <w:pPr>
        <w:rPr>
          <w:rFonts w:hint="default" w:ascii="Times New Roman" w:hAnsi="Times New Roman" w:cs="Times New Roman"/>
          <w:lang w:val="en-US" w:eastAsia="zh-CN"/>
        </w:rPr>
      </w:pPr>
    </w:p>
    <w:p>
      <w:pPr>
        <w:keepNext w:val="0"/>
        <w:keepLines w:val="0"/>
        <w:widowControl/>
        <w:suppressLineNumbers w:val="0"/>
        <w:ind w:left="0" w:leftChars="0" w:firstLine="0" w:firstLineChars="0"/>
        <w:jc w:val="center"/>
        <w:rPr>
          <w:rFonts w:hint="default" w:ascii="Times New Roman" w:hAnsi="Times New Roman" w:cs="Times New Roman" w:eastAsiaTheme="minorEastAsia"/>
          <w:lang w:val="en-US" w:eastAsia="zh-CN"/>
        </w:rPr>
        <w:sectPr>
          <w:headerReference r:id="rId3" w:type="default"/>
          <w:pgSz w:w="11906" w:h="16838"/>
          <w:pgMar w:top="1440" w:right="1417" w:bottom="1440" w:left="1417" w:header="851" w:footer="992" w:gutter="0"/>
          <w:pgBorders w:offsetFrom="page">
            <w:top w:val="none" w:sz="0" w:space="0"/>
            <w:left w:val="none" w:sz="0" w:space="0"/>
            <w:bottom w:val="none" w:sz="0" w:space="0"/>
            <w:right w:val="none" w:sz="0" w:space="0"/>
          </w:pgBorders>
          <w:cols w:space="0" w:num="1"/>
          <w:rtlGutter w:val="0"/>
          <w:docGrid w:type="lines" w:linePitch="312" w:charSpace="0"/>
        </w:sectPr>
      </w:pPr>
      <w:r>
        <w:rPr>
          <w:rFonts w:hint="default" w:ascii="Times New Roman" w:hAnsi="Times New Roman" w:eastAsia="楷体" w:cs="Times New Roman"/>
          <w:color w:val="000000"/>
          <w:kern w:val="0"/>
          <w:sz w:val="36"/>
          <w:szCs w:val="36"/>
          <w:lang w:val="en-US" w:eastAsia="zh-CN" w:bidi="ar"/>
        </w:rPr>
        <w:t>中华人民共和国生态环境部制</w:t>
      </w:r>
    </w:p>
    <w:p>
      <w:pPr>
        <w:bidi w:val="0"/>
        <w:ind w:left="0" w:leftChars="0" w:firstLine="0" w:firstLineChars="0"/>
        <w:jc w:val="center"/>
        <w:rPr>
          <w:rFonts w:hint="default" w:ascii="Times New Roman" w:hAnsi="Times New Roman" w:eastAsia="方正小标宋_GBK" w:cs="Times New Roman"/>
          <w:bCs/>
          <w:sz w:val="40"/>
          <w:szCs w:val="40"/>
          <w:lang w:val="en-US" w:eastAsia="zh-CN"/>
        </w:rPr>
        <w:sectPr>
          <w:pgSz w:w="11906" w:h="16838"/>
          <w:pgMar w:top="1440" w:right="1417" w:bottom="1440" w:left="1417" w:header="851" w:footer="992" w:gutter="0"/>
          <w:pgBorders w:offsetFrom="page">
            <w:top w:val="none" w:sz="0" w:space="0"/>
            <w:left w:val="none" w:sz="0" w:space="0"/>
            <w:bottom w:val="none" w:sz="0" w:space="0"/>
            <w:right w:val="none" w:sz="0" w:space="0"/>
          </w:pgBorders>
          <w:cols w:space="0" w:num="1"/>
          <w:rtlGutter w:val="0"/>
          <w:docGrid w:type="lines" w:linePitch="312" w:charSpace="0"/>
        </w:sectPr>
      </w:pPr>
      <w:bookmarkStart w:id="0" w:name="_Toc23068"/>
      <w:bookmarkStart w:id="1" w:name="_Toc9697"/>
    </w:p>
    <w:bookmarkEnd w:id="0"/>
    <w:bookmarkEnd w:id="1"/>
    <w:p>
      <w:pPr>
        <w:ind w:left="0" w:leftChars="0" w:firstLine="0" w:firstLineChars="0"/>
        <w:jc w:val="both"/>
        <w:rPr>
          <w:rFonts w:hint="default" w:ascii="Times New Roman" w:hAnsi="Times New Roman" w:cs="Times New Roman"/>
          <w:lang w:val="en-US" w:eastAsia="zh-CN"/>
        </w:rPr>
        <w:sectPr>
          <w:pgSz w:w="11906" w:h="16838"/>
          <w:pgMar w:top="1440" w:right="1417" w:bottom="1440" w:left="1417" w:header="851" w:footer="992" w:gutter="0"/>
          <w:pgBorders w:offsetFrom="page">
            <w:top w:val="none" w:sz="0" w:space="0"/>
            <w:left w:val="none" w:sz="0" w:space="0"/>
            <w:bottom w:val="none" w:sz="0" w:space="0"/>
            <w:right w:val="none" w:sz="0" w:space="0"/>
          </w:pgBorders>
          <w:cols w:space="0" w:num="1"/>
          <w:rtlGutter w:val="0"/>
          <w:docGrid w:type="lines" w:linePitch="312" w:charSpace="0"/>
        </w:sectPr>
      </w:pPr>
      <w:r>
        <w:rPr>
          <w:rFonts w:hint="default" w:ascii="Times New Roman" w:hAnsi="Times New Roman" w:cs="Times New Roman"/>
          <w:lang w:val="en-US" w:eastAsia="zh-CN"/>
        </w:rPr>
        <w:drawing>
          <wp:inline distT="0" distB="0" distL="114300" distR="114300">
            <wp:extent cx="5754370" cy="8416290"/>
            <wp:effectExtent l="0" t="0" r="17780" b="3810"/>
            <wp:docPr id="15" name="图片 15" descr="微信图片_2022072215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微信图片_20220722151240"/>
                    <pic:cNvPicPr>
                      <a:picLocks noChangeAspect="1"/>
                    </pic:cNvPicPr>
                  </pic:nvPicPr>
                  <pic:blipFill>
                    <a:blip r:embed="rId7"/>
                    <a:stretch>
                      <a:fillRect/>
                    </a:stretch>
                  </pic:blipFill>
                  <pic:spPr>
                    <a:xfrm>
                      <a:off x="0" y="0"/>
                      <a:ext cx="5754370" cy="8416290"/>
                    </a:xfrm>
                    <a:prstGeom prst="rect">
                      <a:avLst/>
                    </a:prstGeom>
                  </pic:spPr>
                </pic:pic>
              </a:graphicData>
            </a:graphic>
          </wp:inline>
        </w:drawing>
      </w:r>
    </w:p>
    <w:p>
      <w:pPr>
        <w:ind w:left="0" w:leftChars="0" w:firstLine="0" w:firstLineChars="0"/>
        <w:jc w:val="both"/>
        <w:rPr>
          <w:rFonts w:hint="default" w:ascii="Times New Roman" w:hAnsi="Times New Roman" w:cs="Times New Roman"/>
          <w:lang w:val="en-US" w:eastAsia="zh-CN"/>
        </w:rPr>
      </w:pPr>
      <w:r>
        <w:rPr>
          <w:rFonts w:hint="default" w:ascii="Times New Roman" w:hAnsi="Times New Roman" w:cs="Times New Roman"/>
          <w:color w:val="000000" w:themeColor="text1"/>
          <w14:textFill>
            <w14:solidFill>
              <w14:schemeClr w14:val="tx1"/>
            </w14:solidFill>
          </w14:textFill>
        </w:rPr>
        <w:drawing>
          <wp:anchor distT="0" distB="0" distL="114935" distR="114935" simplePos="0" relativeHeight="251660288" behindDoc="1" locked="0" layoutInCell="1" allowOverlap="1">
            <wp:simplePos x="0" y="0"/>
            <wp:positionH relativeFrom="column">
              <wp:posOffset>-3810</wp:posOffset>
            </wp:positionH>
            <wp:positionV relativeFrom="paragraph">
              <wp:posOffset>87630</wp:posOffset>
            </wp:positionV>
            <wp:extent cx="5760720" cy="8310245"/>
            <wp:effectExtent l="0" t="0" r="11430" b="14605"/>
            <wp:wrapNone/>
            <wp:docPr id="58" name="图片 58"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营业执照"/>
                    <pic:cNvPicPr>
                      <a:picLocks noChangeAspect="1"/>
                    </pic:cNvPicPr>
                  </pic:nvPicPr>
                  <pic:blipFill>
                    <a:blip r:embed="rId8" cstate="print"/>
                    <a:stretch>
                      <a:fillRect/>
                    </a:stretch>
                  </pic:blipFill>
                  <pic:spPr>
                    <a:xfrm>
                      <a:off x="0" y="0"/>
                      <a:ext cx="5760720" cy="8310245"/>
                    </a:xfrm>
                    <a:prstGeom prst="rect">
                      <a:avLst/>
                    </a:prstGeom>
                  </pic:spPr>
                </pic:pic>
              </a:graphicData>
            </a:graphic>
          </wp:anchor>
        </w:drawing>
      </w:r>
      <w:r>
        <w:rPr>
          <w:rFonts w:hint="default" w:ascii="Times New Roman" w:hAnsi="Times New Roman" w:cs="Times New Roman"/>
          <w:lang w:val="en-US" w:eastAsia="zh-CN"/>
        </w:rPr>
        <w:t xml:space="preserve">           </w:t>
      </w:r>
    </w:p>
    <w:p>
      <w:pPr>
        <w:ind w:left="0" w:leftChars="0" w:firstLine="0" w:firstLineChars="0"/>
        <w:jc w:val="both"/>
        <w:rPr>
          <w:rFonts w:hint="default" w:ascii="Times New Roman" w:hAnsi="Times New Roman" w:cs="Times New Roman"/>
          <w:lang w:val="en-US" w:eastAsia="zh-CN"/>
        </w:rPr>
      </w:pPr>
    </w:p>
    <w:p>
      <w:pPr>
        <w:ind w:left="0" w:leftChars="0" w:firstLine="0" w:firstLineChars="0"/>
        <w:jc w:val="both"/>
        <w:rPr>
          <w:rFonts w:hint="default" w:ascii="Times New Roman" w:hAnsi="Times New Roman" w:cs="Times New Roman"/>
          <w:lang w:val="en-US" w:eastAsia="zh-CN"/>
        </w:rPr>
      </w:pPr>
    </w:p>
    <w:p>
      <w:pPr>
        <w:ind w:left="0" w:leftChars="0" w:firstLine="0" w:firstLineChars="0"/>
        <w:jc w:val="both"/>
        <w:rPr>
          <w:rFonts w:hint="default" w:ascii="Times New Roman" w:hAnsi="Times New Roman" w:cs="Times New Roman"/>
          <w:lang w:val="en-US" w:eastAsia="zh-CN"/>
        </w:rPr>
      </w:pPr>
    </w:p>
    <w:p>
      <w:pPr>
        <w:ind w:left="0" w:leftChars="0" w:firstLine="0" w:firstLineChars="0"/>
        <w:jc w:val="both"/>
        <w:rPr>
          <w:rFonts w:hint="default" w:ascii="Times New Roman" w:hAnsi="Times New Roman" w:cs="Times New Roman"/>
          <w:lang w:val="en-US" w:eastAsia="zh-CN"/>
        </w:rPr>
      </w:pPr>
    </w:p>
    <w:p>
      <w:pPr>
        <w:ind w:left="0" w:leftChars="0" w:firstLine="0" w:firstLineChars="0"/>
        <w:jc w:val="both"/>
        <w:rPr>
          <w:rFonts w:hint="default" w:ascii="Times New Roman" w:hAnsi="Times New Roman" w:cs="Times New Roman"/>
          <w:lang w:val="en-US" w:eastAsia="zh-CN"/>
        </w:rPr>
      </w:pPr>
    </w:p>
    <w:p>
      <w:pPr>
        <w:ind w:left="0" w:leftChars="0" w:firstLine="0" w:firstLineChars="0"/>
        <w:jc w:val="both"/>
        <w:rPr>
          <w:rFonts w:hint="default" w:ascii="Times New Roman" w:hAnsi="Times New Roman" w:cs="Times New Roman"/>
          <w:lang w:val="en-US" w:eastAsia="zh-CN"/>
        </w:rPr>
      </w:pPr>
    </w:p>
    <w:p>
      <w:pPr>
        <w:ind w:left="0" w:leftChars="0" w:firstLine="0" w:firstLineChars="0"/>
        <w:jc w:val="both"/>
        <w:rPr>
          <w:rFonts w:hint="default" w:ascii="Times New Roman" w:hAnsi="Times New Roman" w:cs="Times New Roman"/>
          <w:lang w:val="en-US" w:eastAsia="zh-CN"/>
        </w:rPr>
      </w:pPr>
    </w:p>
    <w:p>
      <w:pPr>
        <w:ind w:left="0" w:leftChars="0" w:firstLine="0" w:firstLineChars="0"/>
        <w:jc w:val="both"/>
        <w:rPr>
          <w:rFonts w:hint="default" w:ascii="Times New Roman" w:hAnsi="Times New Roman" w:cs="Times New Roman"/>
          <w:lang w:val="en-US" w:eastAsia="zh-CN"/>
        </w:rPr>
      </w:pPr>
    </w:p>
    <w:p>
      <w:pPr>
        <w:ind w:left="0" w:leftChars="0" w:firstLine="0" w:firstLineChars="0"/>
        <w:jc w:val="both"/>
        <w:rPr>
          <w:rFonts w:hint="default" w:ascii="Times New Roman" w:hAnsi="Times New Roman" w:cs="Times New Roman"/>
          <w:lang w:val="en-US" w:eastAsia="zh-CN"/>
        </w:rPr>
      </w:pPr>
    </w:p>
    <w:p>
      <w:pPr>
        <w:ind w:left="0" w:leftChars="0" w:firstLine="0" w:firstLineChars="0"/>
        <w:jc w:val="both"/>
        <w:rPr>
          <w:rFonts w:hint="default" w:ascii="Times New Roman" w:hAnsi="Times New Roman" w:cs="Times New Roman"/>
          <w:lang w:val="en-US" w:eastAsia="zh-CN"/>
        </w:rPr>
      </w:pPr>
    </w:p>
    <w:p>
      <w:pPr>
        <w:ind w:left="0" w:leftChars="0" w:firstLine="0" w:firstLineChars="0"/>
        <w:jc w:val="center"/>
        <w:rPr>
          <w:rFonts w:hint="default" w:ascii="Times New Roman" w:hAnsi="Times New Roman" w:eastAsia="仿宋" w:cs="Times New Roman"/>
          <w:b/>
          <w:bCs/>
          <w:color w:val="FF0000"/>
          <w:sz w:val="32"/>
          <w:szCs w:val="32"/>
          <w:u w:val="single"/>
          <w:lang w:val="en-US" w:eastAsia="zh-CN"/>
        </w:rPr>
        <w:sectPr>
          <w:pgSz w:w="11906" w:h="16838"/>
          <w:pgMar w:top="1440" w:right="1417" w:bottom="1440" w:left="1417" w:header="851" w:footer="992" w:gutter="0"/>
          <w:pgBorders w:offsetFrom="page">
            <w:top w:val="none" w:sz="0" w:space="0"/>
            <w:left w:val="none" w:sz="0" w:space="0"/>
            <w:bottom w:val="none" w:sz="0" w:space="0"/>
            <w:right w:val="none" w:sz="0" w:space="0"/>
          </w:pgBorders>
          <w:cols w:space="0" w:num="1"/>
          <w:rtlGutter w:val="0"/>
          <w:docGrid w:type="lines" w:linePitch="312" w:charSpace="0"/>
        </w:sectPr>
      </w:pPr>
      <w:r>
        <w:rPr>
          <w:rFonts w:hint="default" w:ascii="Times New Roman" w:hAnsi="Times New Roman" w:eastAsia="仿宋" w:cs="Times New Roman"/>
          <w:b/>
          <w:bCs/>
          <w:color w:val="FF0000"/>
          <w:sz w:val="32"/>
          <w:szCs w:val="32"/>
          <w:u w:val="single"/>
          <w:lang w:val="en-US" w:eastAsia="zh-CN"/>
        </w:rPr>
        <w:t>中联新材标杆(湘阴)工厂项目（年产65万吨机制砂、98万吨干粉砂浆）环境影响报告表</w:t>
      </w:r>
    </w:p>
    <w:p>
      <w:pPr>
        <w:ind w:left="0" w:leftChars="0" w:firstLine="0" w:firstLineChars="0"/>
        <w:jc w:val="both"/>
        <w:rPr>
          <w:rFonts w:hint="default" w:ascii="Times New Roman" w:hAnsi="Times New Roman" w:eastAsia="仿宋" w:cs="Times New Roman"/>
          <w:b/>
          <w:bCs/>
          <w:color w:val="FF0000"/>
          <w:sz w:val="21"/>
          <w:szCs w:val="21"/>
          <w:lang w:val="en-US" w:eastAsia="zh-CN"/>
        </w:rPr>
      </w:pPr>
      <w:r>
        <w:rPr>
          <w:rFonts w:hint="default" w:ascii="Times New Roman" w:hAnsi="Times New Roman" w:cs="Times New Roman"/>
          <w:sz w:val="24"/>
        </w:rPr>
        <mc:AlternateContent>
          <mc:Choice Requires="wps">
            <w:drawing>
              <wp:anchor distT="0" distB="0" distL="114300" distR="114300" simplePos="0" relativeHeight="251723776" behindDoc="0" locked="0" layoutInCell="1" allowOverlap="1">
                <wp:simplePos x="0" y="0"/>
                <wp:positionH relativeFrom="column">
                  <wp:posOffset>46990</wp:posOffset>
                </wp:positionH>
                <wp:positionV relativeFrom="paragraph">
                  <wp:posOffset>2910205</wp:posOffset>
                </wp:positionV>
                <wp:extent cx="5502275" cy="914400"/>
                <wp:effectExtent l="0" t="0" r="0" b="0"/>
                <wp:wrapNone/>
                <wp:docPr id="122" name="文本框 122"/>
                <wp:cNvGraphicFramePr/>
                <a:graphic xmlns:a="http://schemas.openxmlformats.org/drawingml/2006/main">
                  <a:graphicData uri="http://schemas.microsoft.com/office/word/2010/wordprocessingShape">
                    <wps:wsp>
                      <wps:cNvSpPr txBox="1"/>
                      <wps:spPr>
                        <a:xfrm>
                          <a:off x="2654300" y="3771900"/>
                          <a:ext cx="5502275" cy="914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jc w:val="center"/>
                              <w:rPr>
                                <w:rFonts w:hint="default" w:ascii="Times New Roman" w:hAnsi="Times New Roman" w:eastAsia="仿宋" w:cs="Times New Roman"/>
                                <w:b/>
                                <w:bCs/>
                                <w:color w:val="FF0000"/>
                                <w:sz w:val="32"/>
                                <w:szCs w:val="32"/>
                                <w:lang w:val="en-US" w:eastAsia="zh-CN"/>
                              </w:rPr>
                            </w:pPr>
                            <w:r>
                              <w:rPr>
                                <w:rFonts w:hint="eastAsia" w:eastAsia="仿宋" w:cs="Times New Roman"/>
                                <w:b/>
                                <w:bCs/>
                                <w:color w:val="FF0000"/>
                                <w:sz w:val="32"/>
                                <w:szCs w:val="32"/>
                                <w:u w:val="single"/>
                                <w:lang w:val="en-US" w:eastAsia="zh-CN"/>
                              </w:rPr>
                              <w:t>中联新材标杆(湘阴)工厂项目（年产65万吨机制砂、98万吨干粉砂浆）</w:t>
                            </w:r>
                            <w:r>
                              <w:rPr>
                                <w:rFonts w:hint="default" w:ascii="Times New Roman" w:hAnsi="Times New Roman" w:eastAsia="仿宋" w:cs="Times New Roman"/>
                                <w:b/>
                                <w:bCs/>
                                <w:color w:val="FF0000"/>
                                <w:sz w:val="32"/>
                                <w:szCs w:val="32"/>
                                <w:u w:val="single"/>
                                <w:lang w:val="en-US" w:eastAsia="zh-CN"/>
                              </w:rPr>
                              <w:t>环境影响报告表</w:t>
                            </w:r>
                          </w:p>
                          <w:p>
                            <w:pPr>
                              <w:ind w:left="0" w:leftChars="0" w:firstLine="0" w:firstLineChars="0"/>
                              <w:jc w:val="both"/>
                              <w:rPr>
                                <w:rFonts w:hint="default" w:ascii="Times New Roman" w:hAnsi="Times New Roman" w:eastAsia="仿宋" w:cs="Times New Roman"/>
                                <w:b/>
                                <w:bCs/>
                                <w:color w:val="FF0000"/>
                                <w:sz w:val="21"/>
                                <w:szCs w:val="21"/>
                                <w:lang w:val="en-US" w:eastAsia="zh-CN"/>
                              </w:rPr>
                            </w:pP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pt;margin-top:229.15pt;height:72pt;width:433.25pt;z-index:251723776;mso-width-relative:page;mso-height-relative:page;" filled="f" stroked="f" coordsize="21600,21600" o:gfxdata="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yKtNaNsAAAAJAQAADwAAAAAAAAABACAAAAAiAAAAZHJzL2Rvd25yZXYueG1sUEsB&#10;AhQAFAAAAAgAh07iQHxGUtsrAgAAKAQAAA4AAAAAAAAAAQAgAAAAKgEAAGRycy9lMm9Eb2MueG1s&#10;UEsFBgAAAAAGAAYAWQEAAMcFAAAAAA==&#10;">
                <v:fill on="f" focussize="0,0"/>
                <v:stroke on="f" weight="0.5pt"/>
                <v:imagedata o:title=""/>
                <o:lock v:ext="edit" aspectratio="f"/>
                <v:textbox>
                  <w:txbxContent>
                    <w:p>
                      <w:pPr>
                        <w:ind w:left="0" w:leftChars="0" w:firstLine="0" w:firstLineChars="0"/>
                        <w:jc w:val="center"/>
                        <w:rPr>
                          <w:rFonts w:hint="default" w:ascii="Times New Roman" w:hAnsi="Times New Roman" w:eastAsia="仿宋" w:cs="Times New Roman"/>
                          <w:b/>
                          <w:bCs/>
                          <w:color w:val="FF0000"/>
                          <w:sz w:val="32"/>
                          <w:szCs w:val="32"/>
                          <w:lang w:val="en-US" w:eastAsia="zh-CN"/>
                        </w:rPr>
                      </w:pPr>
                      <w:r>
                        <w:rPr>
                          <w:rFonts w:hint="eastAsia" w:eastAsia="仿宋" w:cs="Times New Roman"/>
                          <w:b/>
                          <w:bCs/>
                          <w:color w:val="FF0000"/>
                          <w:sz w:val="32"/>
                          <w:szCs w:val="32"/>
                          <w:u w:val="single"/>
                          <w:lang w:val="en-US" w:eastAsia="zh-CN"/>
                        </w:rPr>
                        <w:t>中联新材标杆(湘阴)工厂项目（年产65万吨机制砂、98万吨干粉砂浆）</w:t>
                      </w:r>
                      <w:r>
                        <w:rPr>
                          <w:rFonts w:hint="default" w:ascii="Times New Roman" w:hAnsi="Times New Roman" w:eastAsia="仿宋" w:cs="Times New Roman"/>
                          <w:b/>
                          <w:bCs/>
                          <w:color w:val="FF0000"/>
                          <w:sz w:val="32"/>
                          <w:szCs w:val="32"/>
                          <w:u w:val="single"/>
                          <w:lang w:val="en-US" w:eastAsia="zh-CN"/>
                        </w:rPr>
                        <w:t>环境影响报告表</w:t>
                      </w:r>
                    </w:p>
                    <w:p>
                      <w:pPr>
                        <w:ind w:left="0" w:leftChars="0" w:firstLine="0" w:firstLineChars="0"/>
                        <w:jc w:val="both"/>
                        <w:rPr>
                          <w:rFonts w:hint="default" w:ascii="Times New Roman" w:hAnsi="Times New Roman" w:eastAsia="仿宋" w:cs="Times New Roman"/>
                          <w:b/>
                          <w:bCs/>
                          <w:color w:val="FF0000"/>
                          <w:sz w:val="21"/>
                          <w:szCs w:val="21"/>
                          <w:lang w:val="en-US" w:eastAsia="zh-CN"/>
                        </w:rPr>
                      </w:pPr>
                    </w:p>
                    <w:p/>
                  </w:txbxContent>
                </v:textbox>
              </v:shape>
            </w:pict>
          </mc:Fallback>
        </mc:AlternateContent>
      </w:r>
      <w:r>
        <w:rPr>
          <w:rFonts w:hint="default" w:ascii="Times New Roman" w:hAnsi="Times New Roman" w:cs="Times New Roman"/>
        </w:rPr>
        <w:drawing>
          <wp:inline distT="0" distB="0" distL="114300" distR="114300">
            <wp:extent cx="8713470" cy="5739765"/>
            <wp:effectExtent l="0" t="0" r="13335" b="11430"/>
            <wp:docPr id="12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6"/>
                    <pic:cNvPicPr>
                      <a:picLocks noChangeAspect="1"/>
                    </pic:cNvPicPr>
                  </pic:nvPicPr>
                  <pic:blipFill>
                    <a:blip r:embed="rId9"/>
                    <a:stretch>
                      <a:fillRect/>
                    </a:stretch>
                  </pic:blipFill>
                  <pic:spPr>
                    <a:xfrm rot="16200000">
                      <a:off x="0" y="0"/>
                      <a:ext cx="8713470" cy="5739765"/>
                    </a:xfrm>
                    <a:prstGeom prst="rect">
                      <a:avLst/>
                    </a:prstGeom>
                    <a:noFill/>
                    <a:ln>
                      <a:noFill/>
                    </a:ln>
                  </pic:spPr>
                </pic:pic>
              </a:graphicData>
            </a:graphic>
          </wp:inline>
        </w:drawing>
      </w:r>
    </w:p>
    <w:p>
      <w:pPr>
        <w:ind w:left="0" w:leftChars="0" w:firstLine="0" w:firstLineChars="0"/>
        <w:jc w:val="both"/>
        <w:rPr>
          <w:rFonts w:hint="default" w:ascii="Times New Roman" w:hAnsi="Times New Roman" w:eastAsia="仿宋" w:cs="Times New Roman"/>
          <w:b/>
          <w:bCs/>
          <w:color w:val="FF0000"/>
          <w:sz w:val="21"/>
          <w:szCs w:val="21"/>
          <w:lang w:val="en-US" w:eastAsia="zh-CN"/>
        </w:rPr>
        <w:sectPr>
          <w:pgSz w:w="11906" w:h="16838"/>
          <w:pgMar w:top="1440" w:right="1417" w:bottom="1440" w:left="1417" w:header="851" w:footer="992" w:gutter="0"/>
          <w:pgBorders w:offsetFrom="page">
            <w:top w:val="none" w:sz="0" w:space="0"/>
            <w:left w:val="none" w:sz="0" w:space="0"/>
            <w:bottom w:val="none" w:sz="0" w:space="0"/>
            <w:right w:val="none" w:sz="0" w:space="0"/>
          </w:pgBorders>
          <w:cols w:space="0" w:num="1"/>
          <w:rtlGutter w:val="0"/>
          <w:docGrid w:type="lines" w:linePitch="312" w:charSpace="0"/>
        </w:sectPr>
      </w:pPr>
    </w:p>
    <w:p>
      <w:pPr>
        <w:ind w:left="0" w:leftChars="0" w:firstLine="632" w:firstLineChars="300"/>
        <w:jc w:val="both"/>
        <w:rPr>
          <w:rFonts w:hint="default" w:ascii="Times New Roman" w:hAnsi="Times New Roman" w:eastAsia="仿宋" w:cs="Times New Roman"/>
          <w:b/>
          <w:bCs/>
          <w:color w:val="FF0000"/>
          <w:sz w:val="21"/>
          <w:szCs w:val="21"/>
          <w:u w:val="single"/>
          <w:lang w:val="en-US" w:eastAsia="zh-CN"/>
        </w:rPr>
      </w:pPr>
    </w:p>
    <w:p>
      <w:pPr>
        <w:ind w:left="0" w:leftChars="0" w:firstLine="720" w:firstLineChars="300"/>
        <w:jc w:val="both"/>
        <w:rPr>
          <w:rFonts w:hint="default" w:ascii="Times New Roman" w:hAnsi="Times New Roman" w:eastAsia="仿宋" w:cs="Times New Roman"/>
          <w:b/>
          <w:bCs/>
          <w:color w:val="FF0000"/>
          <w:sz w:val="21"/>
          <w:szCs w:val="21"/>
          <w:u w:val="single"/>
          <w:lang w:val="en-US" w:eastAsia="zh-CN"/>
        </w:rPr>
      </w:pPr>
      <w:r>
        <w:rPr>
          <w:rFonts w:hint="default" w:ascii="Times New Roman" w:hAnsi="Times New Roman" w:cs="Times New Roman"/>
          <w:color w:val="000000" w:themeColor="text1"/>
          <w14:textFill>
            <w14:solidFill>
              <w14:schemeClr w14:val="tx1"/>
            </w14:solidFill>
          </w14:textFill>
        </w:rPr>
        <w:drawing>
          <wp:anchor distT="0" distB="0" distL="114935" distR="114935" simplePos="0" relativeHeight="251662336" behindDoc="1" locked="0" layoutInCell="1" allowOverlap="1">
            <wp:simplePos x="0" y="0"/>
            <wp:positionH relativeFrom="column">
              <wp:posOffset>-1302385</wp:posOffset>
            </wp:positionH>
            <wp:positionV relativeFrom="paragraph">
              <wp:posOffset>1063625</wp:posOffset>
            </wp:positionV>
            <wp:extent cx="8396605" cy="5792470"/>
            <wp:effectExtent l="0" t="0" r="17780" b="4445"/>
            <wp:wrapNone/>
            <wp:docPr id="233" name="图片 2" descr="70be61acfcc0cecf39f8e12fe0e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 descr="70be61acfcc0cecf39f8e12fe0e1275"/>
                    <pic:cNvPicPr>
                      <a:picLocks noChangeAspect="1"/>
                    </pic:cNvPicPr>
                  </pic:nvPicPr>
                  <pic:blipFill>
                    <a:blip r:embed="rId10"/>
                    <a:stretch>
                      <a:fillRect/>
                    </a:stretch>
                  </pic:blipFill>
                  <pic:spPr>
                    <a:xfrm rot="5400000">
                      <a:off x="0" y="0"/>
                      <a:ext cx="8396605" cy="5792470"/>
                    </a:xfrm>
                    <a:prstGeom prst="rect">
                      <a:avLst/>
                    </a:prstGeom>
                    <a:noFill/>
                    <a:ln>
                      <a:noFill/>
                    </a:ln>
                  </pic:spPr>
                </pic:pic>
              </a:graphicData>
            </a:graphic>
          </wp:anchor>
        </w:drawing>
      </w:r>
    </w:p>
    <w:p>
      <w:pPr>
        <w:ind w:left="0" w:leftChars="0" w:firstLine="632" w:firstLineChars="300"/>
        <w:jc w:val="both"/>
        <w:rPr>
          <w:rFonts w:hint="default" w:ascii="Times New Roman" w:hAnsi="Times New Roman" w:eastAsia="仿宋" w:cs="Times New Roman"/>
          <w:b/>
          <w:bCs/>
          <w:color w:val="FF0000"/>
          <w:sz w:val="21"/>
          <w:szCs w:val="21"/>
          <w:u w:val="single"/>
          <w:lang w:val="en-US" w:eastAsia="zh-CN"/>
        </w:rPr>
      </w:pPr>
    </w:p>
    <w:p>
      <w:pPr>
        <w:ind w:left="0" w:leftChars="0" w:firstLine="632" w:firstLineChars="300"/>
        <w:jc w:val="both"/>
        <w:rPr>
          <w:rFonts w:hint="default" w:ascii="Times New Roman" w:hAnsi="Times New Roman" w:eastAsia="仿宋" w:cs="Times New Roman"/>
          <w:b/>
          <w:bCs/>
          <w:color w:val="FF0000"/>
          <w:sz w:val="21"/>
          <w:szCs w:val="21"/>
          <w:u w:val="single"/>
          <w:lang w:val="en-US" w:eastAsia="zh-CN"/>
        </w:rPr>
      </w:pPr>
    </w:p>
    <w:p>
      <w:pPr>
        <w:ind w:left="0" w:leftChars="0" w:firstLine="632" w:firstLineChars="300"/>
        <w:jc w:val="both"/>
        <w:rPr>
          <w:rFonts w:hint="default" w:ascii="Times New Roman" w:hAnsi="Times New Roman" w:eastAsia="仿宋" w:cs="Times New Roman"/>
          <w:b/>
          <w:bCs/>
          <w:color w:val="FF0000"/>
          <w:sz w:val="21"/>
          <w:szCs w:val="21"/>
          <w:u w:val="single"/>
          <w:lang w:val="en-US" w:eastAsia="zh-CN"/>
        </w:rPr>
      </w:pPr>
    </w:p>
    <w:p>
      <w:pPr>
        <w:ind w:left="0" w:leftChars="0" w:firstLine="632" w:firstLineChars="300"/>
        <w:jc w:val="both"/>
        <w:rPr>
          <w:rFonts w:hint="default" w:ascii="Times New Roman" w:hAnsi="Times New Roman" w:eastAsia="仿宋" w:cs="Times New Roman"/>
          <w:b/>
          <w:bCs/>
          <w:color w:val="FF0000"/>
          <w:sz w:val="21"/>
          <w:szCs w:val="21"/>
          <w:u w:val="single"/>
          <w:lang w:val="en-US" w:eastAsia="zh-CN"/>
        </w:rPr>
      </w:pPr>
    </w:p>
    <w:p>
      <w:pPr>
        <w:ind w:left="0" w:leftChars="0" w:firstLine="632" w:firstLineChars="300"/>
        <w:jc w:val="both"/>
        <w:rPr>
          <w:rFonts w:hint="default" w:ascii="Times New Roman" w:hAnsi="Times New Roman" w:eastAsia="仿宋" w:cs="Times New Roman"/>
          <w:b/>
          <w:bCs/>
          <w:color w:val="FF0000"/>
          <w:sz w:val="21"/>
          <w:szCs w:val="21"/>
          <w:u w:val="single"/>
          <w:lang w:val="en-US" w:eastAsia="zh-CN"/>
        </w:rPr>
      </w:pPr>
    </w:p>
    <w:p>
      <w:pPr>
        <w:ind w:left="0" w:leftChars="0" w:firstLine="632" w:firstLineChars="300"/>
        <w:jc w:val="both"/>
        <w:rPr>
          <w:rFonts w:hint="default" w:ascii="Times New Roman" w:hAnsi="Times New Roman" w:eastAsia="仿宋" w:cs="Times New Roman"/>
          <w:b/>
          <w:bCs/>
          <w:color w:val="FF0000"/>
          <w:sz w:val="21"/>
          <w:szCs w:val="21"/>
          <w:u w:val="single"/>
          <w:lang w:val="en-US" w:eastAsia="zh-CN"/>
        </w:rPr>
      </w:pPr>
    </w:p>
    <w:p>
      <w:pPr>
        <w:ind w:left="0" w:leftChars="0" w:firstLine="632" w:firstLineChars="300"/>
        <w:jc w:val="both"/>
        <w:rPr>
          <w:rFonts w:hint="default" w:ascii="Times New Roman" w:hAnsi="Times New Roman" w:eastAsia="仿宋" w:cs="Times New Roman"/>
          <w:b/>
          <w:bCs/>
          <w:color w:val="FF0000"/>
          <w:sz w:val="21"/>
          <w:szCs w:val="21"/>
          <w:u w:val="single"/>
          <w:lang w:val="en-US" w:eastAsia="zh-CN"/>
        </w:rPr>
      </w:pPr>
    </w:p>
    <w:p>
      <w:pPr>
        <w:ind w:left="0" w:leftChars="0" w:firstLine="632" w:firstLineChars="300"/>
        <w:jc w:val="both"/>
        <w:rPr>
          <w:rFonts w:hint="default" w:ascii="Times New Roman" w:hAnsi="Times New Roman" w:eastAsia="仿宋" w:cs="Times New Roman"/>
          <w:b/>
          <w:bCs/>
          <w:color w:val="FF0000"/>
          <w:sz w:val="21"/>
          <w:szCs w:val="21"/>
          <w:u w:val="single"/>
          <w:lang w:val="en-US" w:eastAsia="zh-CN"/>
        </w:rPr>
      </w:pPr>
    </w:p>
    <w:p>
      <w:pPr>
        <w:ind w:left="0" w:leftChars="0" w:firstLine="632" w:firstLineChars="300"/>
        <w:jc w:val="both"/>
        <w:rPr>
          <w:rFonts w:hint="default" w:ascii="Times New Roman" w:hAnsi="Times New Roman" w:eastAsia="仿宋" w:cs="Times New Roman"/>
          <w:b/>
          <w:bCs/>
          <w:color w:val="FF0000"/>
          <w:sz w:val="21"/>
          <w:szCs w:val="21"/>
          <w:u w:val="single"/>
          <w:lang w:val="en-US" w:eastAsia="zh-CN"/>
        </w:rPr>
      </w:pPr>
    </w:p>
    <w:p>
      <w:pPr>
        <w:ind w:left="0" w:leftChars="0" w:firstLine="632" w:firstLineChars="300"/>
        <w:jc w:val="both"/>
        <w:rPr>
          <w:rFonts w:hint="default" w:ascii="Times New Roman" w:hAnsi="Times New Roman" w:eastAsia="仿宋" w:cs="Times New Roman"/>
          <w:b/>
          <w:bCs/>
          <w:color w:val="FF0000"/>
          <w:sz w:val="21"/>
          <w:szCs w:val="21"/>
          <w:u w:val="single"/>
          <w:lang w:val="en-US" w:eastAsia="zh-CN"/>
        </w:rPr>
      </w:pPr>
    </w:p>
    <w:p>
      <w:pPr>
        <w:jc w:val="center"/>
        <w:rPr>
          <w:rFonts w:hint="default" w:ascii="Times New Roman" w:hAnsi="Times New Roman" w:eastAsia="仿宋" w:cs="Times New Roman"/>
          <w:b/>
          <w:bCs/>
          <w:color w:val="FF0000"/>
          <w:sz w:val="32"/>
          <w:szCs w:val="32"/>
          <w:u w:val="single"/>
          <w:lang w:val="en-US" w:eastAsia="zh-CN"/>
        </w:rPr>
        <w:sectPr>
          <w:pgSz w:w="11906" w:h="16838"/>
          <w:pgMar w:top="1440" w:right="1417" w:bottom="1440" w:left="1417" w:header="851" w:footer="992" w:gutter="0"/>
          <w:pgBorders w:offsetFrom="page">
            <w:top w:val="none" w:sz="0" w:space="0"/>
            <w:left w:val="none" w:sz="0" w:space="0"/>
            <w:bottom w:val="none" w:sz="0" w:space="0"/>
            <w:right w:val="none" w:sz="0" w:space="0"/>
          </w:pgBorders>
          <w:cols w:space="0" w:num="1"/>
          <w:rtlGutter w:val="0"/>
          <w:docGrid w:type="lines" w:linePitch="312" w:charSpace="0"/>
        </w:sectPr>
      </w:pPr>
      <w:r>
        <w:rPr>
          <w:rFonts w:hint="default" w:ascii="Times New Roman" w:hAnsi="Times New Roman" w:eastAsia="仿宋" w:cs="Times New Roman"/>
          <w:b/>
          <w:bCs/>
          <w:color w:val="FF0000"/>
          <w:sz w:val="32"/>
          <w:szCs w:val="32"/>
          <w:u w:val="single"/>
          <w:lang w:val="en-US" w:eastAsia="zh-CN"/>
        </w:rPr>
        <w:t>中联新材标杆(湘阴)工厂项目（年产65万吨机制砂、98万吨干粉砂浆）环境影响报告表</w:t>
      </w:r>
    </w:p>
    <w:p>
      <w:pPr>
        <w:ind w:left="0" w:leftChars="0" w:firstLine="0" w:firstLineChars="0"/>
        <w:jc w:val="center"/>
        <w:rPr>
          <w:rFonts w:hint="default" w:ascii="Times New Roman" w:hAnsi="Times New Roman" w:eastAsia="仿宋" w:cs="Times New Roman"/>
          <w:b/>
          <w:bCs/>
          <w:color w:val="FF0000"/>
          <w:sz w:val="21"/>
          <w:szCs w:val="21"/>
          <w:u w:val="single"/>
          <w:lang w:val="en-US" w:eastAsia="zh-CN"/>
        </w:rPr>
      </w:pPr>
      <w:r>
        <w:rPr>
          <w:rFonts w:hint="default" w:ascii="Times New Roman" w:hAnsi="Times New Roman" w:eastAsia="仿宋" w:cs="Times New Roman"/>
          <w:b/>
          <w:bCs/>
          <w:color w:val="FF0000"/>
          <w:sz w:val="21"/>
          <w:szCs w:val="21"/>
          <w:u w:val="single"/>
          <w:lang w:val="en-US" w:eastAsia="zh-CN"/>
        </w:rPr>
        <w:drawing>
          <wp:anchor distT="0" distB="0" distL="114300" distR="114300" simplePos="0" relativeHeight="251663360" behindDoc="1" locked="0" layoutInCell="1" allowOverlap="1">
            <wp:simplePos x="0" y="0"/>
            <wp:positionH relativeFrom="column">
              <wp:posOffset>0</wp:posOffset>
            </wp:positionH>
            <wp:positionV relativeFrom="paragraph">
              <wp:posOffset>64135</wp:posOffset>
            </wp:positionV>
            <wp:extent cx="5758815" cy="8148955"/>
            <wp:effectExtent l="0" t="0" r="1905" b="4445"/>
            <wp:wrapNone/>
            <wp:docPr id="10" name="图片 10" descr="个人基本信息(王丽君参保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个人基本信息(王丽君参保证明)"/>
                    <pic:cNvPicPr>
                      <a:picLocks noChangeAspect="1"/>
                    </pic:cNvPicPr>
                  </pic:nvPicPr>
                  <pic:blipFill>
                    <a:blip r:embed="rId11"/>
                    <a:stretch>
                      <a:fillRect/>
                    </a:stretch>
                  </pic:blipFill>
                  <pic:spPr>
                    <a:xfrm>
                      <a:off x="0" y="0"/>
                      <a:ext cx="5758815" cy="8148955"/>
                    </a:xfrm>
                    <a:prstGeom prst="rect">
                      <a:avLst/>
                    </a:prstGeom>
                  </pic:spPr>
                </pic:pic>
              </a:graphicData>
            </a:graphic>
          </wp:anchor>
        </w:drawing>
      </w:r>
    </w:p>
    <w:p>
      <w:pPr>
        <w:ind w:left="0" w:leftChars="0" w:firstLine="0" w:firstLineChars="0"/>
        <w:jc w:val="center"/>
        <w:rPr>
          <w:rFonts w:hint="default" w:ascii="Times New Roman" w:hAnsi="Times New Roman" w:eastAsia="仿宋" w:cs="Times New Roman"/>
          <w:b/>
          <w:bCs/>
          <w:color w:val="FF0000"/>
          <w:sz w:val="21"/>
          <w:szCs w:val="21"/>
          <w:u w:val="single"/>
          <w:lang w:val="en-US" w:eastAsia="zh-CN"/>
        </w:rPr>
      </w:pPr>
    </w:p>
    <w:p>
      <w:pPr>
        <w:ind w:left="0" w:leftChars="0" w:firstLine="0" w:firstLineChars="0"/>
        <w:jc w:val="center"/>
        <w:rPr>
          <w:rFonts w:hint="default" w:ascii="Times New Roman" w:hAnsi="Times New Roman" w:eastAsia="仿宋" w:cs="Times New Roman"/>
          <w:b/>
          <w:bCs/>
          <w:color w:val="FF0000"/>
          <w:sz w:val="21"/>
          <w:szCs w:val="21"/>
          <w:u w:val="single"/>
          <w:lang w:val="en-US" w:eastAsia="zh-CN"/>
        </w:rPr>
      </w:pPr>
    </w:p>
    <w:p>
      <w:pPr>
        <w:ind w:left="0" w:leftChars="0" w:firstLine="0" w:firstLineChars="0"/>
        <w:jc w:val="center"/>
        <w:rPr>
          <w:rFonts w:hint="default" w:ascii="Times New Roman" w:hAnsi="Times New Roman" w:eastAsia="仿宋" w:cs="Times New Roman"/>
          <w:b/>
          <w:bCs/>
          <w:color w:val="FF0000"/>
          <w:sz w:val="21"/>
          <w:szCs w:val="21"/>
          <w:u w:val="single"/>
          <w:lang w:val="en-US" w:eastAsia="zh-CN"/>
        </w:rPr>
      </w:pPr>
    </w:p>
    <w:p>
      <w:pPr>
        <w:ind w:left="0" w:leftChars="0" w:firstLine="0" w:firstLineChars="0"/>
        <w:jc w:val="center"/>
        <w:rPr>
          <w:rFonts w:hint="default" w:ascii="Times New Roman" w:hAnsi="Times New Roman" w:eastAsia="仿宋" w:cs="Times New Roman"/>
          <w:b/>
          <w:bCs/>
          <w:color w:val="FF0000"/>
          <w:sz w:val="21"/>
          <w:szCs w:val="21"/>
          <w:u w:val="single"/>
          <w:lang w:val="en-US" w:eastAsia="zh-CN"/>
        </w:rPr>
      </w:pPr>
    </w:p>
    <w:p>
      <w:pPr>
        <w:ind w:left="0" w:leftChars="0" w:firstLine="0" w:firstLineChars="0"/>
        <w:jc w:val="center"/>
        <w:rPr>
          <w:rFonts w:hint="default" w:ascii="Times New Roman" w:hAnsi="Times New Roman" w:eastAsia="仿宋" w:cs="Times New Roman"/>
          <w:b/>
          <w:bCs/>
          <w:color w:val="FF0000"/>
          <w:sz w:val="21"/>
          <w:szCs w:val="21"/>
          <w:u w:val="single"/>
          <w:lang w:val="en-US" w:eastAsia="zh-CN"/>
        </w:rPr>
      </w:pPr>
    </w:p>
    <w:p>
      <w:pPr>
        <w:ind w:left="0" w:leftChars="0" w:firstLine="0" w:firstLineChars="0"/>
        <w:jc w:val="center"/>
        <w:rPr>
          <w:rFonts w:hint="default" w:ascii="Times New Roman" w:hAnsi="Times New Roman" w:eastAsia="仿宋" w:cs="Times New Roman"/>
          <w:b/>
          <w:bCs/>
          <w:color w:val="FF0000"/>
          <w:sz w:val="21"/>
          <w:szCs w:val="21"/>
          <w:u w:val="single"/>
          <w:lang w:val="en-US" w:eastAsia="zh-CN"/>
        </w:rPr>
      </w:pPr>
    </w:p>
    <w:p>
      <w:pPr>
        <w:ind w:left="0" w:leftChars="0" w:firstLine="0" w:firstLineChars="0"/>
        <w:jc w:val="center"/>
        <w:rPr>
          <w:rFonts w:hint="default" w:ascii="Times New Roman" w:hAnsi="Times New Roman" w:eastAsia="仿宋" w:cs="Times New Roman"/>
          <w:b/>
          <w:bCs/>
          <w:color w:val="FF0000"/>
          <w:sz w:val="21"/>
          <w:szCs w:val="21"/>
          <w:u w:val="single"/>
          <w:lang w:val="en-US" w:eastAsia="zh-CN"/>
        </w:rPr>
      </w:pPr>
    </w:p>
    <w:p>
      <w:pPr>
        <w:jc w:val="center"/>
        <w:rPr>
          <w:rFonts w:hint="default" w:ascii="Times New Roman" w:hAnsi="Times New Roman" w:eastAsia="仿宋" w:cs="Times New Roman"/>
          <w:b/>
          <w:bCs/>
          <w:color w:val="FF0000"/>
          <w:sz w:val="32"/>
          <w:szCs w:val="32"/>
          <w:u w:val="single"/>
          <w:lang w:val="en-US" w:eastAsia="zh-CN"/>
        </w:rPr>
        <w:sectPr>
          <w:pgSz w:w="11906" w:h="16838"/>
          <w:pgMar w:top="1440" w:right="1417" w:bottom="1440" w:left="1417" w:header="851" w:footer="992" w:gutter="0"/>
          <w:pgBorders w:offsetFrom="page">
            <w:top w:val="none" w:sz="0" w:space="0"/>
            <w:left w:val="none" w:sz="0" w:space="0"/>
            <w:bottom w:val="none" w:sz="0" w:space="0"/>
            <w:right w:val="none" w:sz="0" w:space="0"/>
          </w:pgBorders>
          <w:cols w:space="0" w:num="1"/>
          <w:rtlGutter w:val="0"/>
          <w:docGrid w:type="lines" w:linePitch="312" w:charSpace="0"/>
        </w:sectPr>
      </w:pPr>
      <w:r>
        <w:rPr>
          <w:rFonts w:hint="default" w:ascii="Times New Roman" w:hAnsi="Times New Roman" w:eastAsia="仿宋" w:cs="Times New Roman"/>
          <w:b/>
          <w:bCs/>
          <w:color w:val="FF0000"/>
          <w:sz w:val="32"/>
          <w:szCs w:val="32"/>
          <w:u w:val="single"/>
          <w:lang w:val="en-US" w:eastAsia="zh-CN"/>
        </w:rPr>
        <w:t>中联新材标杆(湘阴)工厂项目（年产65万吨机制砂、98万吨干粉砂浆）环境影响报告表</w:t>
      </w:r>
    </w:p>
    <w:p>
      <w:pPr>
        <w:ind w:left="0" w:leftChars="0" w:firstLine="0" w:firstLineChars="0"/>
        <w:jc w:val="center"/>
        <w:rPr>
          <w:rFonts w:hint="default" w:ascii="Times New Roman" w:hAnsi="Times New Roman" w:eastAsia="仿宋" w:cs="Times New Roman"/>
          <w:b/>
          <w:bCs/>
          <w:color w:val="FF0000"/>
          <w:sz w:val="21"/>
          <w:szCs w:val="21"/>
          <w:u w:val="single"/>
          <w:lang w:val="en-US" w:eastAsia="zh-CN"/>
        </w:rPr>
      </w:pPr>
    </w:p>
    <w:p>
      <w:pPr>
        <w:ind w:left="0" w:leftChars="0" w:firstLine="0" w:firstLineChars="0"/>
        <w:jc w:val="center"/>
        <w:rPr>
          <w:rFonts w:hint="default" w:ascii="Times New Roman" w:hAnsi="Times New Roman" w:eastAsia="仿宋" w:cs="Times New Roman"/>
          <w:b/>
          <w:bCs/>
          <w:color w:val="FF0000"/>
          <w:sz w:val="21"/>
          <w:szCs w:val="21"/>
          <w:u w:val="single"/>
          <w:lang w:val="en-US" w:eastAsia="zh-CN"/>
        </w:rPr>
      </w:pPr>
      <w:r>
        <w:rPr>
          <w:rFonts w:hint="default" w:ascii="Times New Roman" w:hAnsi="Times New Roman" w:cs="Times New Roman"/>
          <w:color w:val="000000" w:themeColor="text1"/>
          <w14:textFill>
            <w14:solidFill>
              <w14:schemeClr w14:val="tx1"/>
            </w14:solidFill>
          </w14:textFill>
        </w:rPr>
        <w:drawing>
          <wp:anchor distT="0" distB="0" distL="114935" distR="114935" simplePos="0" relativeHeight="251661312" behindDoc="1" locked="0" layoutInCell="1" allowOverlap="1">
            <wp:simplePos x="0" y="0"/>
            <wp:positionH relativeFrom="column">
              <wp:posOffset>-1546860</wp:posOffset>
            </wp:positionH>
            <wp:positionV relativeFrom="paragraph">
              <wp:posOffset>1437640</wp:posOffset>
            </wp:positionV>
            <wp:extent cx="8843645" cy="5495290"/>
            <wp:effectExtent l="0" t="0" r="10160" b="14605"/>
            <wp:wrapNone/>
            <wp:docPr id="83" name="图片 1" descr="d99e0a029fb80056002bac0b73e5f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 descr="d99e0a029fb80056002bac0b73e5f84"/>
                    <pic:cNvPicPr>
                      <a:picLocks noChangeAspect="1"/>
                    </pic:cNvPicPr>
                  </pic:nvPicPr>
                  <pic:blipFill>
                    <a:blip r:embed="rId12"/>
                    <a:srcRect l="1173" r="21010"/>
                    <a:stretch>
                      <a:fillRect/>
                    </a:stretch>
                  </pic:blipFill>
                  <pic:spPr>
                    <a:xfrm rot="16200000">
                      <a:off x="0" y="0"/>
                      <a:ext cx="8843645" cy="5495290"/>
                    </a:xfrm>
                    <a:prstGeom prst="rect">
                      <a:avLst/>
                    </a:prstGeom>
                    <a:noFill/>
                    <a:ln>
                      <a:noFill/>
                    </a:ln>
                  </pic:spPr>
                </pic:pic>
              </a:graphicData>
            </a:graphic>
          </wp:anchor>
        </w:drawing>
      </w:r>
    </w:p>
    <w:p>
      <w:pPr>
        <w:ind w:left="0" w:leftChars="0" w:firstLine="0" w:firstLineChars="0"/>
        <w:jc w:val="center"/>
        <w:rPr>
          <w:rFonts w:hint="default" w:ascii="Times New Roman" w:hAnsi="Times New Roman" w:eastAsia="仿宋" w:cs="Times New Roman"/>
          <w:b/>
          <w:bCs/>
          <w:color w:val="FF0000"/>
          <w:sz w:val="21"/>
          <w:szCs w:val="21"/>
          <w:u w:val="single"/>
          <w:lang w:val="en-US" w:eastAsia="zh-CN"/>
        </w:rPr>
      </w:pPr>
    </w:p>
    <w:p>
      <w:pPr>
        <w:ind w:left="0" w:leftChars="0" w:firstLine="0" w:firstLineChars="0"/>
        <w:jc w:val="center"/>
        <w:rPr>
          <w:rFonts w:hint="default" w:ascii="Times New Roman" w:hAnsi="Times New Roman" w:eastAsia="仿宋" w:cs="Times New Roman"/>
          <w:b/>
          <w:bCs/>
          <w:color w:val="FF0000"/>
          <w:sz w:val="21"/>
          <w:szCs w:val="21"/>
          <w:u w:val="single"/>
          <w:lang w:val="en-US" w:eastAsia="zh-CN"/>
        </w:rPr>
      </w:pPr>
    </w:p>
    <w:p>
      <w:pPr>
        <w:ind w:left="0" w:leftChars="0" w:firstLine="0" w:firstLineChars="0"/>
        <w:jc w:val="center"/>
        <w:rPr>
          <w:rFonts w:hint="default" w:ascii="Times New Roman" w:hAnsi="Times New Roman" w:eastAsia="仿宋" w:cs="Times New Roman"/>
          <w:b/>
          <w:bCs/>
          <w:color w:val="FF0000"/>
          <w:sz w:val="21"/>
          <w:szCs w:val="21"/>
          <w:u w:val="single"/>
          <w:lang w:val="en-US" w:eastAsia="zh-CN"/>
        </w:rPr>
      </w:pPr>
    </w:p>
    <w:p>
      <w:pPr>
        <w:ind w:left="0" w:leftChars="0" w:firstLine="0" w:firstLineChars="0"/>
        <w:jc w:val="center"/>
        <w:rPr>
          <w:rFonts w:hint="default" w:ascii="Times New Roman" w:hAnsi="Times New Roman" w:eastAsia="仿宋" w:cs="Times New Roman"/>
          <w:b/>
          <w:bCs/>
          <w:color w:val="FF0000"/>
          <w:sz w:val="21"/>
          <w:szCs w:val="21"/>
          <w:u w:val="single"/>
          <w:lang w:val="en-US" w:eastAsia="zh-CN"/>
        </w:rPr>
      </w:pPr>
    </w:p>
    <w:p>
      <w:pPr>
        <w:ind w:left="0" w:leftChars="0" w:firstLine="0" w:firstLineChars="0"/>
        <w:jc w:val="center"/>
        <w:rPr>
          <w:rFonts w:hint="default" w:ascii="Times New Roman" w:hAnsi="Times New Roman" w:eastAsia="仿宋" w:cs="Times New Roman"/>
          <w:b/>
          <w:bCs/>
          <w:color w:val="FF0000"/>
          <w:sz w:val="21"/>
          <w:szCs w:val="21"/>
          <w:u w:val="single"/>
          <w:lang w:val="en-US" w:eastAsia="zh-CN"/>
        </w:rPr>
      </w:pPr>
    </w:p>
    <w:p>
      <w:pPr>
        <w:ind w:left="0" w:leftChars="0" w:firstLine="0" w:firstLineChars="0"/>
        <w:jc w:val="center"/>
        <w:rPr>
          <w:rFonts w:hint="default" w:ascii="Times New Roman" w:hAnsi="Times New Roman" w:eastAsia="仿宋" w:cs="Times New Roman"/>
          <w:b/>
          <w:bCs/>
          <w:color w:val="FF0000"/>
          <w:sz w:val="21"/>
          <w:szCs w:val="21"/>
          <w:u w:val="single"/>
          <w:lang w:val="en-US" w:eastAsia="zh-CN"/>
        </w:rPr>
      </w:pPr>
    </w:p>
    <w:p>
      <w:pPr>
        <w:ind w:left="0" w:leftChars="0" w:firstLine="0" w:firstLineChars="0"/>
        <w:jc w:val="center"/>
        <w:rPr>
          <w:rFonts w:hint="default" w:ascii="Times New Roman" w:hAnsi="Times New Roman" w:eastAsia="仿宋" w:cs="Times New Roman"/>
          <w:b/>
          <w:bCs/>
          <w:color w:val="FF0000"/>
          <w:sz w:val="21"/>
          <w:szCs w:val="21"/>
          <w:u w:val="single"/>
          <w:lang w:val="en-US" w:eastAsia="zh-CN"/>
        </w:rPr>
      </w:pPr>
    </w:p>
    <w:p>
      <w:pPr>
        <w:jc w:val="center"/>
        <w:rPr>
          <w:rFonts w:hint="default" w:ascii="Times New Roman" w:hAnsi="Times New Roman" w:eastAsia="仿宋" w:cs="Times New Roman"/>
          <w:b/>
          <w:bCs/>
          <w:color w:val="FF0000"/>
          <w:sz w:val="32"/>
          <w:szCs w:val="32"/>
          <w:u w:val="single"/>
          <w:lang w:val="en-US" w:eastAsia="zh-CN"/>
        </w:rPr>
      </w:pPr>
      <w:r>
        <w:rPr>
          <w:rFonts w:hint="default" w:ascii="Times New Roman" w:hAnsi="Times New Roman" w:eastAsia="仿宋" w:cs="Times New Roman"/>
          <w:b/>
          <w:bCs/>
          <w:color w:val="FF0000"/>
          <w:sz w:val="32"/>
          <w:szCs w:val="32"/>
          <w:u w:val="single"/>
          <w:lang w:val="en-US" w:eastAsia="zh-CN"/>
        </w:rPr>
        <w:t>中联新材标杆(湘阴)工厂项目（年产65万吨机制砂、98万吨干粉砂浆）环境影响报告表</w:t>
      </w:r>
    </w:p>
    <w:p>
      <w:pPr>
        <w:pStyle w:val="2"/>
        <w:rPr>
          <w:rFonts w:hint="default" w:ascii="Times New Roman" w:hAnsi="Times New Roman" w:cs="Times New Roman"/>
          <w:lang w:val="en-US" w:eastAsia="zh-CN"/>
        </w:rPr>
        <w:sectPr>
          <w:pgSz w:w="11906" w:h="16838"/>
          <w:pgMar w:top="1440" w:right="1417" w:bottom="1440" w:left="1417" w:header="851" w:footer="992" w:gutter="0"/>
          <w:pgBorders w:offsetFrom="page">
            <w:top w:val="none" w:sz="0" w:space="0"/>
            <w:left w:val="none" w:sz="0" w:space="0"/>
            <w:bottom w:val="none" w:sz="0" w:space="0"/>
            <w:right w:val="none" w:sz="0" w:space="0"/>
          </w:pgBorders>
          <w:cols w:space="0" w:num="1"/>
          <w:rtlGutter w:val="0"/>
          <w:docGrid w:type="lines" w:linePitch="312" w:charSpace="0"/>
        </w:sectPr>
      </w:pPr>
    </w:p>
    <w:p>
      <w:pPr>
        <w:jc w:val="center"/>
        <w:rPr>
          <w:rFonts w:hint="default" w:ascii="Times New Roman" w:hAnsi="Times New Roman" w:eastAsia="宋体" w:cs="Times New Roman"/>
          <w:b/>
          <w:bCs/>
          <w:color w:val="auto"/>
          <w:sz w:val="28"/>
          <w:szCs w:val="28"/>
          <w:lang w:val="en-US" w:eastAsia="zh-CN"/>
        </w:rPr>
      </w:pPr>
      <w:bookmarkStart w:id="2" w:name="_Hlk80798534"/>
      <w:bookmarkStart w:id="3" w:name="_Hlk80803519"/>
      <w:bookmarkStart w:id="4" w:name="_Hlk79151493"/>
      <w:r>
        <w:rPr>
          <w:rFonts w:hint="default" w:ascii="Times New Roman" w:hAnsi="Times New Roman" w:eastAsia="宋体" w:cs="Times New Roman"/>
          <w:b/>
          <w:bCs/>
          <w:color w:val="auto"/>
          <w:sz w:val="28"/>
          <w:szCs w:val="28"/>
        </w:rPr>
        <w:t>中联新材标杆(湘阴)工厂项目（年产65万吨机制砂、98万吨干粉砂浆）</w:t>
      </w:r>
      <w:bookmarkEnd w:id="2"/>
      <w:bookmarkEnd w:id="3"/>
      <w:bookmarkEnd w:id="4"/>
      <w:r>
        <w:rPr>
          <w:rFonts w:hint="default" w:ascii="Times New Roman" w:hAnsi="Times New Roman" w:eastAsia="宋体" w:cs="Times New Roman"/>
          <w:b/>
          <w:bCs/>
          <w:color w:val="auto"/>
          <w:sz w:val="28"/>
          <w:szCs w:val="28"/>
        </w:rPr>
        <w:t>环境影响报告表技术</w:t>
      </w:r>
      <w:bookmarkStart w:id="5" w:name="_Hlk61255558"/>
      <w:bookmarkStart w:id="6" w:name="_Hlk61254126"/>
      <w:r>
        <w:rPr>
          <w:rFonts w:hint="default" w:ascii="Times New Roman" w:hAnsi="Times New Roman" w:eastAsia="宋体" w:cs="Times New Roman"/>
          <w:b/>
          <w:bCs/>
          <w:color w:val="auto"/>
          <w:sz w:val="28"/>
          <w:szCs w:val="28"/>
        </w:rPr>
        <w:t>审查</w:t>
      </w:r>
      <w:bookmarkEnd w:id="5"/>
      <w:r>
        <w:rPr>
          <w:rFonts w:hint="default" w:ascii="Times New Roman" w:hAnsi="Times New Roman" w:eastAsia="宋体" w:cs="Times New Roman"/>
          <w:b/>
          <w:bCs/>
          <w:color w:val="auto"/>
          <w:sz w:val="28"/>
          <w:szCs w:val="28"/>
        </w:rPr>
        <w:t>会</w:t>
      </w:r>
      <w:bookmarkEnd w:id="6"/>
      <w:r>
        <w:rPr>
          <w:rFonts w:hint="default" w:ascii="Times New Roman" w:hAnsi="Times New Roman" w:eastAsia="宋体" w:cs="Times New Roman"/>
          <w:b/>
          <w:bCs/>
          <w:color w:val="auto"/>
          <w:sz w:val="28"/>
          <w:szCs w:val="28"/>
        </w:rPr>
        <w:t>专家意见</w:t>
      </w:r>
      <w:r>
        <w:rPr>
          <w:rFonts w:hint="default" w:ascii="Times New Roman" w:hAnsi="Times New Roman" w:eastAsia="宋体" w:cs="Times New Roman"/>
          <w:b/>
          <w:bCs/>
          <w:color w:val="auto"/>
          <w:sz w:val="28"/>
          <w:szCs w:val="28"/>
          <w:lang w:val="en-US" w:eastAsia="zh-CN"/>
        </w:rPr>
        <w:t>修改说明</w:t>
      </w:r>
    </w:p>
    <w:tbl>
      <w:tblPr>
        <w:tblStyle w:val="2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1"/>
        <w:gridCol w:w="3958"/>
        <w:gridCol w:w="45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序号</w:t>
            </w:r>
          </w:p>
        </w:tc>
        <w:tc>
          <w:tcPr>
            <w:tcW w:w="2130"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专家意见</w:t>
            </w:r>
          </w:p>
        </w:tc>
        <w:tc>
          <w:tcPr>
            <w:tcW w:w="2442"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修改说明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1</w:t>
            </w:r>
          </w:p>
        </w:tc>
        <w:tc>
          <w:tcPr>
            <w:tcW w:w="2130"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补充完善项目与《长江经济带发展负面清单指南》（试行，2022年版）、《湖南省砂石骨料行业规范条件》等相关要求的符合性分析。</w:t>
            </w:r>
          </w:p>
        </w:tc>
        <w:tc>
          <w:tcPr>
            <w:tcW w:w="2442"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①P11~13：补充《长江经济带发展负面清单指南》（试行，2022年版）符合性分析；</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②P9~11：补充《湖南省砂石骨料行业规范条件》符合性分析。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2</w:t>
            </w:r>
          </w:p>
        </w:tc>
        <w:tc>
          <w:tcPr>
            <w:tcW w:w="2130"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明确原料的含水率和泥沙含量，根据项目产能及损耗情况，核实主要原辅材料的种类和用量，明确颜料的具体成分及是否涉及重金属，提出使用限制要求；校核主要产品的最大储存量。</w:t>
            </w:r>
          </w:p>
        </w:tc>
        <w:tc>
          <w:tcPr>
            <w:tcW w:w="2442"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①P20：明确原料的含水率和泥沙含量；</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②P19：表2-3，根据项目产能及损耗情况，核实主要原辅材料的种类和用量；</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③P21~22：明确颜料的具体成分及是否涉及重金属，提出使用限制要求；</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④P18：表2-2，校核主要产品的最大储存量。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3</w:t>
            </w:r>
          </w:p>
        </w:tc>
        <w:tc>
          <w:tcPr>
            <w:tcW w:w="2130"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根据主要设备的生产能力及生产时间，完善设备与产能的匹配性分析。</w:t>
            </w:r>
          </w:p>
        </w:tc>
        <w:tc>
          <w:tcPr>
            <w:tcW w:w="2442"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P</w:t>
            </w:r>
            <w:r>
              <w:rPr>
                <w:rFonts w:hint="default" w:ascii="Times New Roman" w:hAnsi="Times New Roman" w:cs="Times New Roman"/>
                <w:b w:val="0"/>
                <w:bCs w:val="0"/>
                <w:color w:val="auto"/>
                <w:sz w:val="21"/>
                <w:szCs w:val="21"/>
                <w:vertAlign w:val="baseline"/>
                <w:lang w:val="en-US" w:eastAsia="zh-CN"/>
              </w:rPr>
              <w:t>24~</w:t>
            </w:r>
            <w:r>
              <w:rPr>
                <w:rFonts w:hint="default" w:ascii="Times New Roman" w:hAnsi="Times New Roman" w:eastAsia="宋体" w:cs="Times New Roman"/>
                <w:b w:val="0"/>
                <w:bCs w:val="0"/>
                <w:color w:val="auto"/>
                <w:sz w:val="21"/>
                <w:szCs w:val="21"/>
                <w:vertAlign w:val="baseline"/>
                <w:lang w:val="en-US" w:eastAsia="zh-CN"/>
              </w:rPr>
              <w:t>25：表2-5，补充了生产能力和生产时间，完善了设备与产能的匹配性分析。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426"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4</w:t>
            </w:r>
          </w:p>
        </w:tc>
        <w:tc>
          <w:tcPr>
            <w:tcW w:w="213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核实本项目的建设内容是否包括原料从码头至项目区的输送过程，强化本项目依托建华码头、天然气供应等相关设施的可行性分析。</w:t>
            </w:r>
          </w:p>
        </w:tc>
        <w:tc>
          <w:tcPr>
            <w:tcW w:w="2442"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P16：表2-1储运工程，明确本项目原料从码头至项目区的输送采用皮带输送。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42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color w:val="auto"/>
              </w:rPr>
            </w:pPr>
          </w:p>
        </w:tc>
        <w:tc>
          <w:tcPr>
            <w:tcW w:w="21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color w:val="auto"/>
              </w:rPr>
            </w:pPr>
          </w:p>
        </w:tc>
        <w:tc>
          <w:tcPr>
            <w:tcW w:w="2442"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P18：2.2.1一节，强化本项目依托建华码头的可行性分析。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8" w:hRule="atLeast"/>
        </w:trPr>
        <w:tc>
          <w:tcPr>
            <w:tcW w:w="42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val="0"/>
                <w:bCs w:val="0"/>
                <w:color w:val="auto"/>
                <w:sz w:val="21"/>
                <w:szCs w:val="21"/>
                <w:vertAlign w:val="baseline"/>
                <w:lang w:val="en-US" w:eastAsia="zh-CN"/>
              </w:rPr>
            </w:pPr>
          </w:p>
        </w:tc>
        <w:tc>
          <w:tcPr>
            <w:tcW w:w="21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val="0"/>
                <w:bCs w:val="0"/>
                <w:color w:val="auto"/>
                <w:sz w:val="21"/>
                <w:szCs w:val="21"/>
                <w:vertAlign w:val="baseline"/>
                <w:lang w:val="en-US" w:eastAsia="zh-CN"/>
              </w:rPr>
            </w:pPr>
          </w:p>
        </w:tc>
        <w:tc>
          <w:tcPr>
            <w:tcW w:w="2442"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P2</w:t>
            </w:r>
            <w:r>
              <w:rPr>
                <w:rFonts w:hint="default" w:ascii="Times New Roman" w:hAnsi="Times New Roman" w:cs="Times New Roman"/>
                <w:b w:val="0"/>
                <w:bCs w:val="0"/>
                <w:color w:val="auto"/>
                <w:sz w:val="21"/>
                <w:szCs w:val="21"/>
                <w:vertAlign w:val="baseline"/>
                <w:lang w:val="en-US" w:eastAsia="zh-CN"/>
              </w:rPr>
              <w:t>7</w:t>
            </w:r>
            <w:r>
              <w:rPr>
                <w:rFonts w:hint="default" w:ascii="Times New Roman" w:hAnsi="Times New Roman" w:eastAsia="宋体" w:cs="Times New Roman"/>
                <w:b w:val="0"/>
                <w:bCs w:val="0"/>
                <w:color w:val="auto"/>
                <w:sz w:val="21"/>
                <w:szCs w:val="21"/>
                <w:vertAlign w:val="baseline"/>
                <w:lang w:val="en-US" w:eastAsia="zh-CN"/>
              </w:rPr>
              <w:t>：2.2.6一节，强化本项目天然气供应等相关设施的可行性分析。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426"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5</w:t>
            </w:r>
          </w:p>
        </w:tc>
        <w:tc>
          <w:tcPr>
            <w:tcW w:w="213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完善项目工艺流程和产排污节点，明确机制砂的副产情况和去向；核实项目用排水量和水平衡。</w:t>
            </w:r>
          </w:p>
        </w:tc>
        <w:tc>
          <w:tcPr>
            <w:tcW w:w="2442"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①P29~30：2.4一节，完善了鹅卵石机制砂工艺流程和产排污节点，明确机制砂的副产情况和去向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42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rPr>
            </w:pPr>
          </w:p>
        </w:tc>
        <w:tc>
          <w:tcPr>
            <w:tcW w:w="21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rPr>
            </w:pPr>
          </w:p>
        </w:tc>
        <w:tc>
          <w:tcPr>
            <w:tcW w:w="2442"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②P26~27：2.2.6一节，核实项目用排水量和水平衡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trPr>
        <w:tc>
          <w:tcPr>
            <w:tcW w:w="426"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6</w:t>
            </w:r>
          </w:p>
        </w:tc>
        <w:tc>
          <w:tcPr>
            <w:tcW w:w="213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进一步核实本项目敏感目标的数量、方位和距离，以此完善声环境质量现状监测；细化项目平面布置情况，根据周边敏感目标的分布情况，优化平面布局。</w:t>
            </w:r>
          </w:p>
        </w:tc>
        <w:tc>
          <w:tcPr>
            <w:tcW w:w="2442"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①P39：表3-6，进一步核实本项目敏感目标的数量、方位和距离；</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②P38：3.3一节，完善声环境质量现状监测；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trPr>
        <w:tc>
          <w:tcPr>
            <w:tcW w:w="42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rPr>
            </w:pPr>
          </w:p>
        </w:tc>
        <w:tc>
          <w:tcPr>
            <w:tcW w:w="21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rPr>
            </w:pPr>
          </w:p>
        </w:tc>
        <w:tc>
          <w:tcPr>
            <w:tcW w:w="2442"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②P14：1.8节，细化项目平面布置情况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trPr>
        <w:tc>
          <w:tcPr>
            <w:tcW w:w="426"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7</w:t>
            </w:r>
          </w:p>
        </w:tc>
        <w:tc>
          <w:tcPr>
            <w:tcW w:w="213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根据项目生产工艺及采取的环保措施，核实物料输送、烘干、筛分、包装等部分废气污染源强，补充烘干废气中二氧化硫排放量，校核项目大气污染物总量及来源，核实各排气筒高度；强化噪声控制措施；核实项目废润滑油等各类固废产生量、储存位置、最大暂存量及其处理处置去向。</w:t>
            </w:r>
          </w:p>
        </w:tc>
        <w:tc>
          <w:tcPr>
            <w:tcW w:w="2442"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①P52~57：根据项目生产工艺及采取的环保措施，核实物料输送、烘干、筛分、包装等部分废气污染源强；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trPr>
        <w:tc>
          <w:tcPr>
            <w:tcW w:w="42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rPr>
            </w:pPr>
          </w:p>
        </w:tc>
        <w:tc>
          <w:tcPr>
            <w:tcW w:w="21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rPr>
            </w:pPr>
          </w:p>
        </w:tc>
        <w:tc>
          <w:tcPr>
            <w:tcW w:w="2442"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②P</w:t>
            </w:r>
            <w:r>
              <w:rPr>
                <w:rFonts w:hint="default" w:ascii="Times New Roman" w:hAnsi="Times New Roman" w:cs="Times New Roman"/>
                <w:b w:val="0"/>
                <w:bCs w:val="0"/>
                <w:color w:val="auto"/>
                <w:sz w:val="21"/>
                <w:szCs w:val="21"/>
                <w:vertAlign w:val="baseline"/>
                <w:lang w:val="en-US" w:eastAsia="zh-CN"/>
              </w:rPr>
              <w:t>43</w:t>
            </w:r>
            <w:r>
              <w:rPr>
                <w:rFonts w:hint="default" w:ascii="Times New Roman" w:hAnsi="Times New Roman" w:eastAsia="宋体" w:cs="Times New Roman"/>
                <w:b w:val="0"/>
                <w:bCs w:val="0"/>
                <w:color w:val="auto"/>
                <w:sz w:val="21"/>
                <w:szCs w:val="21"/>
                <w:vertAlign w:val="baseline"/>
                <w:lang w:val="en-US" w:eastAsia="zh-CN"/>
              </w:rPr>
              <w:t>：补充烘干废气中二氧化硫排放量</w:t>
            </w:r>
            <w:r>
              <w:rPr>
                <w:rFonts w:hint="default" w:ascii="Times New Roman" w:hAnsi="Times New Roman" w:cs="Times New Roman"/>
                <w:b w:val="0"/>
                <w:bCs w:val="0"/>
                <w:color w:val="auto"/>
                <w:sz w:val="21"/>
                <w:szCs w:val="21"/>
                <w:vertAlign w:val="baseline"/>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③P42</w:t>
            </w:r>
            <w:r>
              <w:rPr>
                <w:rFonts w:hint="default" w:ascii="Times New Roman" w:hAnsi="Times New Roman" w:eastAsia="宋体" w:cs="Times New Roman"/>
                <w:b w:val="0"/>
                <w:bCs w:val="0"/>
                <w:color w:val="auto"/>
                <w:sz w:val="21"/>
                <w:szCs w:val="21"/>
                <w:vertAlign w:val="baseline"/>
                <w:lang w:val="en-US" w:eastAsia="zh-CN"/>
              </w:rPr>
              <w:t>：校核项目大气污染物总量及来源；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trPr>
        <w:tc>
          <w:tcPr>
            <w:tcW w:w="42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21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2442"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④</w:t>
            </w:r>
            <w:r>
              <w:rPr>
                <w:rFonts w:hint="default" w:ascii="Times New Roman" w:hAnsi="Times New Roman" w:eastAsia="宋体" w:cs="Times New Roman"/>
                <w:b w:val="0"/>
                <w:bCs w:val="0"/>
                <w:color w:val="auto"/>
                <w:sz w:val="21"/>
                <w:szCs w:val="21"/>
                <w:vertAlign w:val="baseline"/>
                <w:lang w:val="en-US" w:eastAsia="zh-CN"/>
              </w:rPr>
              <w:t>P6</w:t>
            </w:r>
            <w:r>
              <w:rPr>
                <w:rFonts w:hint="default" w:ascii="Times New Roman" w:hAnsi="Times New Roman" w:cs="Times New Roman"/>
                <w:b w:val="0"/>
                <w:bCs w:val="0"/>
                <w:color w:val="auto"/>
                <w:sz w:val="21"/>
                <w:szCs w:val="21"/>
                <w:vertAlign w:val="baseline"/>
                <w:lang w:val="en-US" w:eastAsia="zh-CN"/>
              </w:rPr>
              <w:t>2</w:t>
            </w:r>
            <w:r>
              <w:rPr>
                <w:rFonts w:hint="default" w:ascii="Times New Roman" w:hAnsi="Times New Roman" w:eastAsia="宋体" w:cs="Times New Roman"/>
                <w:b w:val="0"/>
                <w:bCs w:val="0"/>
                <w:color w:val="auto"/>
                <w:sz w:val="21"/>
                <w:szCs w:val="21"/>
                <w:vertAlign w:val="baseline"/>
                <w:lang w:val="en-US" w:eastAsia="zh-CN"/>
              </w:rPr>
              <w:t>：4.6.6一节，</w:t>
            </w:r>
            <w:r>
              <w:rPr>
                <w:rFonts w:hint="default" w:ascii="Times New Roman" w:hAnsi="Times New Roman" w:cs="Times New Roman"/>
                <w:b w:val="0"/>
                <w:bCs w:val="0"/>
                <w:color w:val="auto"/>
                <w:sz w:val="21"/>
                <w:szCs w:val="21"/>
                <w:vertAlign w:val="baseline"/>
                <w:lang w:val="en-US" w:eastAsia="zh-CN"/>
              </w:rPr>
              <w:t>明确了</w:t>
            </w:r>
            <w:r>
              <w:rPr>
                <w:rFonts w:hint="default" w:ascii="Times New Roman" w:hAnsi="Times New Roman" w:eastAsia="宋体" w:cs="Times New Roman"/>
                <w:b w:val="0"/>
                <w:bCs w:val="0"/>
                <w:color w:val="auto"/>
                <w:sz w:val="21"/>
                <w:szCs w:val="21"/>
                <w:vertAlign w:val="baseline"/>
                <w:lang w:val="en-US" w:eastAsia="zh-CN"/>
              </w:rPr>
              <w:t>各排气筒高度；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trPr>
        <w:tc>
          <w:tcPr>
            <w:tcW w:w="42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21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2442"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④P7</w:t>
            </w:r>
            <w:r>
              <w:rPr>
                <w:rFonts w:hint="default" w:ascii="Times New Roman" w:hAnsi="Times New Roman" w:cs="Times New Roman"/>
                <w:b w:val="0"/>
                <w:bCs w:val="0"/>
                <w:color w:val="auto"/>
                <w:sz w:val="21"/>
                <w:szCs w:val="21"/>
                <w:vertAlign w:val="baseline"/>
                <w:lang w:val="en-US" w:eastAsia="zh-CN"/>
              </w:rPr>
              <w:t>3</w:t>
            </w:r>
            <w:r>
              <w:rPr>
                <w:rFonts w:hint="default" w:ascii="Times New Roman" w:hAnsi="Times New Roman" w:eastAsia="宋体" w:cs="Times New Roman"/>
                <w:b w:val="0"/>
                <w:bCs w:val="0"/>
                <w:color w:val="auto"/>
                <w:sz w:val="21"/>
                <w:szCs w:val="21"/>
                <w:vertAlign w:val="baseline"/>
                <w:lang w:val="en-US" w:eastAsia="zh-CN"/>
              </w:rPr>
              <w:t>：强化噪声控制措施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trPr>
        <w:tc>
          <w:tcPr>
            <w:tcW w:w="42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21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2442"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⑤P74~75：</w:t>
            </w:r>
            <w:r>
              <w:rPr>
                <w:rFonts w:hint="default" w:ascii="Times New Roman" w:hAnsi="Times New Roman" w:cs="Times New Roman"/>
                <w:b w:val="0"/>
                <w:bCs w:val="0"/>
                <w:color w:val="auto"/>
                <w:sz w:val="21"/>
                <w:szCs w:val="21"/>
                <w:vertAlign w:val="baseline"/>
                <w:lang w:val="en-US" w:eastAsia="zh-CN"/>
              </w:rPr>
              <w:t>表4-26，核实和完善了</w:t>
            </w:r>
            <w:r>
              <w:rPr>
                <w:rFonts w:hint="default" w:ascii="Times New Roman" w:hAnsi="Times New Roman" w:eastAsia="宋体" w:cs="Times New Roman"/>
                <w:b w:val="0"/>
                <w:bCs w:val="0"/>
                <w:color w:val="auto"/>
                <w:sz w:val="21"/>
                <w:szCs w:val="21"/>
                <w:vertAlign w:val="baseline"/>
                <w:lang w:val="en-US" w:eastAsia="zh-CN"/>
              </w:rPr>
              <w:t>项目废润滑油等各类固废产生量、储存位置、最大暂存量及其处理处置去向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426"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8</w:t>
            </w:r>
          </w:p>
        </w:tc>
        <w:tc>
          <w:tcPr>
            <w:tcW w:w="2130"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根据园区规划、规划环评审查意见及规划环评中负面清单动态更新建议等要求，完善项目选址的合理性及“三线一单”的符合性分析；完善环境监测计划及排污口规范化设置要求。</w:t>
            </w:r>
          </w:p>
        </w:tc>
        <w:tc>
          <w:tcPr>
            <w:tcW w:w="2442"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①P2~5、P7、P13：补充了规划设计文件中环境准入内容，完善了规划环评中负面清单动态更新建议等要求，完善项目选址的合理性及“三线一单”的符合性分析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42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rPr>
            </w:pPr>
          </w:p>
        </w:tc>
        <w:tc>
          <w:tcPr>
            <w:tcW w:w="21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rPr>
            </w:pPr>
          </w:p>
        </w:tc>
        <w:tc>
          <w:tcPr>
            <w:tcW w:w="2442"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②P66：表4-18，完善</w:t>
            </w:r>
            <w:r>
              <w:rPr>
                <w:rFonts w:hint="default" w:ascii="Times New Roman" w:hAnsi="Times New Roman" w:cs="Times New Roman"/>
                <w:b w:val="0"/>
                <w:bCs w:val="0"/>
                <w:color w:val="auto"/>
                <w:sz w:val="21"/>
                <w:szCs w:val="21"/>
                <w:vertAlign w:val="baseline"/>
                <w:lang w:val="en-US" w:eastAsia="zh-CN"/>
              </w:rPr>
              <w:t>了</w:t>
            </w:r>
            <w:r>
              <w:rPr>
                <w:rFonts w:hint="default" w:ascii="Times New Roman" w:hAnsi="Times New Roman" w:eastAsia="宋体" w:cs="Times New Roman"/>
                <w:b w:val="0"/>
                <w:bCs w:val="0"/>
                <w:color w:val="auto"/>
                <w:sz w:val="21"/>
                <w:szCs w:val="21"/>
                <w:vertAlign w:val="baseline"/>
                <w:lang w:val="en-US" w:eastAsia="zh-CN"/>
              </w:rPr>
              <w:t>环境监测计划</w:t>
            </w:r>
            <w:r>
              <w:rPr>
                <w:rFonts w:hint="default" w:ascii="Times New Roman" w:hAnsi="Times New Roman" w:cs="Times New Roman"/>
                <w:b w:val="0"/>
                <w:bCs w:val="0"/>
                <w:color w:val="auto"/>
                <w:sz w:val="21"/>
                <w:szCs w:val="21"/>
                <w:vertAlign w:val="baseline"/>
                <w:lang w:val="en-US" w:eastAsia="zh-CN"/>
              </w:rPr>
              <w:t>，补充了厂区内监测要求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42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rPr>
            </w:pPr>
          </w:p>
        </w:tc>
        <w:tc>
          <w:tcPr>
            <w:tcW w:w="2130"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rPr>
            </w:pPr>
          </w:p>
        </w:tc>
        <w:tc>
          <w:tcPr>
            <w:tcW w:w="2442"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③P79：4.11节完善排污口规范化设置要求</w:t>
            </w:r>
          </w:p>
        </w:tc>
      </w:tr>
    </w:tbl>
    <w:p>
      <w:pPr>
        <w:pStyle w:val="3"/>
        <w:rPr>
          <w:rFonts w:hint="default" w:ascii="Times New Roman" w:hAnsi="Times New Roman" w:cs="Times New Roman"/>
          <w:lang w:val="en-US" w:eastAsia="zh-CN"/>
        </w:rPr>
        <w:sectPr>
          <w:pgSz w:w="11906" w:h="16838"/>
          <w:pgMar w:top="1440" w:right="1417" w:bottom="1440" w:left="1417" w:header="851" w:footer="992" w:gutter="0"/>
          <w:pgBorders w:offsetFrom="page">
            <w:top w:val="none" w:sz="0" w:space="0"/>
            <w:left w:val="none" w:sz="0" w:space="0"/>
            <w:bottom w:val="none" w:sz="0" w:space="0"/>
            <w:right w:val="none" w:sz="0" w:space="0"/>
          </w:pgBorders>
          <w:cols w:space="0" w:num="1"/>
          <w:rtlGutter w:val="0"/>
          <w:docGrid w:type="lines" w:linePitch="312" w:charSpace="0"/>
        </w:sectPr>
      </w:pPr>
    </w:p>
    <w:sdt>
      <w:sdtPr>
        <w:rPr>
          <w:rFonts w:hint="default" w:ascii="Times New Roman" w:hAnsi="Times New Roman" w:eastAsia="宋体" w:cs="Times New Roman"/>
          <w:kern w:val="2"/>
          <w:sz w:val="32"/>
          <w:szCs w:val="32"/>
          <w:lang w:val="en-US" w:eastAsia="zh-CN" w:bidi="ar-SA"/>
        </w:rPr>
        <w:id w:val="147452126"/>
        <w15:color w:val="DBDBDB"/>
        <w:docPartObj>
          <w:docPartGallery w:val="Table of Contents"/>
          <w:docPartUnique/>
        </w:docPartObj>
      </w:sdtPr>
      <w:sdtEndPr>
        <w:rPr>
          <w:rFonts w:hint="default" w:ascii="Times New Roman" w:hAnsi="Times New Roman" w:eastAsia="宋体" w:cs="Times New Roman"/>
          <w:kern w:val="2"/>
          <w:sz w:val="24"/>
          <w:szCs w:val="22"/>
          <w:lang w:val="en-US" w:eastAsia="zh-CN" w:bidi="ar-SA"/>
        </w:rPr>
      </w:sdtEndPr>
      <w:sdtContent>
        <w:p>
          <w:pPr>
            <w:keepNext w:val="0"/>
            <w:keepLines w:val="0"/>
            <w:pageBreakBefore w:val="0"/>
            <w:widowControl w:val="0"/>
            <w:kinsoku/>
            <w:wordWrap/>
            <w:overflowPunct/>
            <w:topLinePunct w:val="0"/>
            <w:autoSpaceDE/>
            <w:autoSpaceDN/>
            <w:bidi w:val="0"/>
            <w:adjustRightInd/>
            <w:snapToGrid/>
            <w:spacing w:before="0" w:after="0" w:line="312" w:lineRule="auto"/>
            <w:ind w:left="0" w:leftChars="0" w:right="0" w:rightChars="0" w:firstLine="0" w:firstLineChars="0"/>
            <w:jc w:val="center"/>
            <w:textAlignment w:val="auto"/>
            <w:rPr>
              <w:rFonts w:hint="default" w:ascii="Times New Roman" w:hAnsi="Times New Roman" w:cs="Times New Roman"/>
              <w:sz w:val="32"/>
              <w:szCs w:val="32"/>
            </w:rPr>
          </w:pPr>
          <w:r>
            <w:rPr>
              <w:rFonts w:hint="default" w:ascii="Times New Roman" w:hAnsi="Times New Roman" w:eastAsia="宋体" w:cs="Times New Roman"/>
              <w:sz w:val="32"/>
              <w:szCs w:val="32"/>
            </w:rPr>
            <w:t>目</w:t>
          </w:r>
          <w:r>
            <w:rPr>
              <w:rFonts w:hint="default" w:ascii="Times New Roman" w:hAnsi="Times New Roman" w:eastAsia="宋体" w:cs="Times New Roman"/>
              <w:sz w:val="32"/>
              <w:szCs w:val="32"/>
              <w:lang w:val="en-US" w:eastAsia="zh-CN"/>
            </w:rPr>
            <w:t xml:space="preserve"> </w:t>
          </w:r>
          <w:r>
            <w:rPr>
              <w:rFonts w:hint="default" w:ascii="Times New Roman" w:hAnsi="Times New Roman" w:eastAsia="宋体" w:cs="Times New Roman"/>
              <w:sz w:val="32"/>
              <w:szCs w:val="32"/>
            </w:rPr>
            <w:t>录</w:t>
          </w:r>
        </w:p>
        <w:p>
          <w:pPr>
            <w:pStyle w:val="16"/>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TOC \o "1-3" \h \u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_Toc4539 </w:instrText>
          </w:r>
          <w:r>
            <w:rPr>
              <w:rFonts w:hint="default" w:ascii="Times New Roman" w:hAnsi="Times New Roman" w:cs="Times New Roman"/>
              <w:lang w:val="en-US" w:eastAsia="zh-CN"/>
            </w:rPr>
            <w:fldChar w:fldCharType="separate"/>
          </w:r>
          <w:r>
            <w:rPr>
              <w:rFonts w:hint="default" w:ascii="Times New Roman" w:hAnsi="Times New Roman" w:cs="Times New Roman"/>
            </w:rPr>
            <w:t xml:space="preserve">一、 </w:t>
          </w:r>
          <w:r>
            <w:rPr>
              <w:rFonts w:hint="default" w:ascii="Times New Roman" w:hAnsi="Times New Roman" w:cs="Times New Roman"/>
              <w:lang w:val="en-US" w:eastAsia="zh-CN"/>
            </w:rPr>
            <w:t>建设项目基本情况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_Toc4539 \h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6"/>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_Toc7441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二、建设项目工程分析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_Toc7441 \h </w:instrText>
          </w:r>
          <w:r>
            <w:rPr>
              <w:rFonts w:hint="default" w:ascii="Times New Roman" w:hAnsi="Times New Roman" w:cs="Times New Roman"/>
            </w:rPr>
            <w:fldChar w:fldCharType="separate"/>
          </w:r>
          <w:r>
            <w:rPr>
              <w:rFonts w:hint="default" w:ascii="Times New Roman" w:hAnsi="Times New Roman" w:cs="Times New Roman"/>
            </w:rPr>
            <w:t>15</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6"/>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_Toc2652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三、区域环境质量现状、环境保护目标及评价标准</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_Toc2652 \h </w:instrText>
          </w:r>
          <w:r>
            <w:rPr>
              <w:rFonts w:hint="default" w:ascii="Times New Roman" w:hAnsi="Times New Roman" w:cs="Times New Roman"/>
            </w:rPr>
            <w:fldChar w:fldCharType="separate"/>
          </w:r>
          <w:r>
            <w:rPr>
              <w:rFonts w:hint="default" w:ascii="Times New Roman" w:hAnsi="Times New Roman" w:cs="Times New Roman"/>
            </w:rPr>
            <w:t>35</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6"/>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_Toc22919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四、主要环境影响和保护措施</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_Toc22919 \h </w:instrText>
          </w:r>
          <w:r>
            <w:rPr>
              <w:rFonts w:hint="default" w:ascii="Times New Roman" w:hAnsi="Times New Roman" w:cs="Times New Roman"/>
            </w:rPr>
            <w:fldChar w:fldCharType="separate"/>
          </w:r>
          <w:r>
            <w:rPr>
              <w:rFonts w:hint="default" w:ascii="Times New Roman" w:hAnsi="Times New Roman" w:cs="Times New Roman"/>
            </w:rPr>
            <w:t>43</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6"/>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_Toc6164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五、环境保护措施督察检查清单</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_Toc6164 \h </w:instrText>
          </w:r>
          <w:r>
            <w:rPr>
              <w:rFonts w:hint="default" w:ascii="Times New Roman" w:hAnsi="Times New Roman" w:cs="Times New Roman"/>
            </w:rPr>
            <w:fldChar w:fldCharType="separate"/>
          </w:r>
          <w:r>
            <w:rPr>
              <w:rFonts w:hint="default" w:ascii="Times New Roman" w:hAnsi="Times New Roman" w:cs="Times New Roman"/>
            </w:rPr>
            <w:t>81</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6"/>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_Toc17580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六、结论</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_Toc17580 \h </w:instrText>
          </w:r>
          <w:r>
            <w:rPr>
              <w:rFonts w:hint="default" w:ascii="Times New Roman" w:hAnsi="Times New Roman" w:cs="Times New Roman"/>
            </w:rPr>
            <w:fldChar w:fldCharType="separate"/>
          </w:r>
          <w:r>
            <w:rPr>
              <w:rFonts w:hint="default" w:ascii="Times New Roman" w:hAnsi="Times New Roman" w:cs="Times New Roman"/>
            </w:rPr>
            <w:t>83</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7"/>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_Toc218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附表：建设项目污染物排放量汇总表</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_Toc218 \h </w:instrText>
          </w:r>
          <w:r>
            <w:rPr>
              <w:rFonts w:hint="default" w:ascii="Times New Roman" w:hAnsi="Times New Roman" w:cs="Times New Roman"/>
            </w:rPr>
            <w:fldChar w:fldCharType="separate"/>
          </w:r>
          <w:r>
            <w:rPr>
              <w:rFonts w:hint="default" w:ascii="Times New Roman" w:hAnsi="Times New Roman" w:cs="Times New Roman"/>
            </w:rPr>
            <w:t>84</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7"/>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_Toc22118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附件1：项目委托书</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_Toc22118 \h </w:instrText>
          </w:r>
          <w:r>
            <w:rPr>
              <w:rFonts w:hint="default" w:ascii="Times New Roman" w:hAnsi="Times New Roman" w:cs="Times New Roman"/>
            </w:rPr>
            <w:fldChar w:fldCharType="separate"/>
          </w:r>
          <w:r>
            <w:rPr>
              <w:rFonts w:hint="default" w:ascii="Times New Roman" w:hAnsi="Times New Roman" w:cs="Times New Roman"/>
            </w:rPr>
            <w:t>85</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7"/>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_Toc1967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附件2：建设单位营业执照</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_Toc1967 \h </w:instrText>
          </w:r>
          <w:r>
            <w:rPr>
              <w:rFonts w:hint="default" w:ascii="Times New Roman" w:hAnsi="Times New Roman" w:cs="Times New Roman"/>
            </w:rPr>
            <w:fldChar w:fldCharType="separate"/>
          </w:r>
          <w:r>
            <w:rPr>
              <w:rFonts w:hint="default" w:ascii="Times New Roman" w:hAnsi="Times New Roman" w:cs="Times New Roman"/>
            </w:rPr>
            <w:t>86</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7"/>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_Toc11644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附件3：项目立项文件</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_Toc11644 \h </w:instrText>
          </w:r>
          <w:r>
            <w:rPr>
              <w:rFonts w:hint="default" w:ascii="Times New Roman" w:hAnsi="Times New Roman" w:cs="Times New Roman"/>
            </w:rPr>
            <w:fldChar w:fldCharType="separate"/>
          </w:r>
          <w:r>
            <w:rPr>
              <w:rFonts w:hint="default" w:ascii="Times New Roman" w:hAnsi="Times New Roman" w:cs="Times New Roman"/>
            </w:rPr>
            <w:t>87</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7"/>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_Toc24778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附件4：土地证明文件</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_Toc24778 \h </w:instrText>
          </w:r>
          <w:r>
            <w:rPr>
              <w:rFonts w:hint="default" w:ascii="Times New Roman" w:hAnsi="Times New Roman" w:cs="Times New Roman"/>
            </w:rPr>
            <w:fldChar w:fldCharType="separate"/>
          </w:r>
          <w:r>
            <w:rPr>
              <w:rFonts w:hint="default" w:ascii="Times New Roman" w:hAnsi="Times New Roman" w:cs="Times New Roman"/>
            </w:rPr>
            <w:t>89</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7"/>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_Toc9134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附件5：项目所在区域规划环评批复</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_Toc9134 \h </w:instrText>
          </w:r>
          <w:r>
            <w:rPr>
              <w:rFonts w:hint="default" w:ascii="Times New Roman" w:hAnsi="Times New Roman" w:cs="Times New Roman"/>
            </w:rPr>
            <w:fldChar w:fldCharType="separate"/>
          </w:r>
          <w:r>
            <w:rPr>
              <w:rFonts w:hint="default" w:ascii="Times New Roman" w:hAnsi="Times New Roman" w:cs="Times New Roman"/>
            </w:rPr>
            <w:t>91</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7"/>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_Toc9159 </w:instrText>
          </w:r>
          <w:r>
            <w:rPr>
              <w:rFonts w:hint="default" w:ascii="Times New Roman" w:hAnsi="Times New Roman" w:cs="Times New Roman"/>
              <w:lang w:val="en-US" w:eastAsia="zh-CN"/>
            </w:rPr>
            <w:fldChar w:fldCharType="separate"/>
          </w:r>
          <w:r>
            <w:rPr>
              <w:rFonts w:hint="default" w:ascii="Times New Roman" w:hAnsi="Times New Roman" w:cs="Times New Roman"/>
              <w:lang w:eastAsia="zh-CN"/>
            </w:rPr>
            <w:t>附件</w:t>
          </w:r>
          <w:r>
            <w:rPr>
              <w:rFonts w:hint="default" w:ascii="Times New Roman" w:hAnsi="Times New Roman" w:cs="Times New Roman"/>
              <w:lang w:val="en-US" w:eastAsia="zh-CN"/>
            </w:rPr>
            <w:t>6：原料来源合法证明</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_Toc9159 \h </w:instrText>
          </w:r>
          <w:r>
            <w:rPr>
              <w:rFonts w:hint="default" w:ascii="Times New Roman" w:hAnsi="Times New Roman" w:cs="Times New Roman"/>
            </w:rPr>
            <w:fldChar w:fldCharType="separate"/>
          </w:r>
          <w:r>
            <w:rPr>
              <w:rFonts w:hint="default" w:ascii="Times New Roman" w:hAnsi="Times New Roman" w:cs="Times New Roman"/>
            </w:rPr>
            <w:t>96</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7"/>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_Toc27547 </w:instrText>
          </w:r>
          <w:r>
            <w:rPr>
              <w:rFonts w:hint="default" w:ascii="Times New Roman" w:hAnsi="Times New Roman" w:cs="Times New Roman"/>
              <w:lang w:val="en-US" w:eastAsia="zh-CN"/>
            </w:rPr>
            <w:fldChar w:fldCharType="separate"/>
          </w:r>
          <w:r>
            <w:rPr>
              <w:rFonts w:hint="default" w:ascii="Times New Roman" w:hAnsi="Times New Roman" w:cs="Times New Roman"/>
              <w:lang w:eastAsia="zh-CN"/>
            </w:rPr>
            <w:t>附件</w:t>
          </w:r>
          <w:r>
            <w:rPr>
              <w:rFonts w:hint="default" w:ascii="Times New Roman" w:hAnsi="Times New Roman" w:cs="Times New Roman"/>
              <w:lang w:val="en-US" w:eastAsia="zh-CN"/>
            </w:rPr>
            <w:t>7：砂石保供协议</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_Toc27547 \h </w:instrText>
          </w:r>
          <w:r>
            <w:rPr>
              <w:rFonts w:hint="default" w:ascii="Times New Roman" w:hAnsi="Times New Roman" w:cs="Times New Roman"/>
            </w:rPr>
            <w:fldChar w:fldCharType="separate"/>
          </w:r>
          <w:r>
            <w:rPr>
              <w:rFonts w:hint="default" w:ascii="Times New Roman" w:hAnsi="Times New Roman" w:cs="Times New Roman"/>
            </w:rPr>
            <w:t>98</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7"/>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_Toc5235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附件8：依托码头合法证明</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_Toc5235 \h </w:instrText>
          </w:r>
          <w:r>
            <w:rPr>
              <w:rFonts w:hint="default" w:ascii="Times New Roman" w:hAnsi="Times New Roman" w:cs="Times New Roman"/>
            </w:rPr>
            <w:fldChar w:fldCharType="separate"/>
          </w:r>
          <w:r>
            <w:rPr>
              <w:rFonts w:hint="default" w:ascii="Times New Roman" w:hAnsi="Times New Roman" w:cs="Times New Roman"/>
            </w:rPr>
            <w:t>105</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7"/>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_Toc20189 </w:instrText>
          </w:r>
          <w:r>
            <w:rPr>
              <w:rFonts w:hint="default" w:ascii="Times New Roman" w:hAnsi="Times New Roman" w:cs="Times New Roman"/>
              <w:lang w:val="en-US" w:eastAsia="zh-CN"/>
            </w:rPr>
            <w:fldChar w:fldCharType="separate"/>
          </w:r>
          <w:r>
            <w:rPr>
              <w:rFonts w:hint="default" w:ascii="Times New Roman" w:hAnsi="Times New Roman" w:cs="Times New Roman"/>
              <w:lang w:eastAsia="zh-CN"/>
            </w:rPr>
            <w:t>附件</w:t>
          </w:r>
          <w:r>
            <w:rPr>
              <w:rFonts w:hint="default" w:ascii="Times New Roman" w:hAnsi="Times New Roman" w:cs="Times New Roman"/>
              <w:lang w:val="en-US" w:eastAsia="zh-CN"/>
            </w:rPr>
            <w:t>9：环境质量现状监测报告及质保单</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_Toc20189 \h </w:instrText>
          </w:r>
          <w:r>
            <w:rPr>
              <w:rFonts w:hint="default" w:ascii="Times New Roman" w:hAnsi="Times New Roman" w:cs="Times New Roman"/>
            </w:rPr>
            <w:fldChar w:fldCharType="separate"/>
          </w:r>
          <w:r>
            <w:rPr>
              <w:rFonts w:hint="default" w:ascii="Times New Roman" w:hAnsi="Times New Roman" w:cs="Times New Roman"/>
            </w:rPr>
            <w:t>107</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7"/>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_Toc7931 </w:instrText>
          </w:r>
          <w:r>
            <w:rPr>
              <w:rFonts w:hint="default" w:ascii="Times New Roman" w:hAnsi="Times New Roman" w:cs="Times New Roman"/>
              <w:lang w:val="en-US" w:eastAsia="zh-CN"/>
            </w:rPr>
            <w:fldChar w:fldCharType="separate"/>
          </w:r>
          <w:r>
            <w:rPr>
              <w:rFonts w:hint="default" w:ascii="Times New Roman" w:hAnsi="Times New Roman" w:cs="Times New Roman"/>
              <w:lang w:eastAsia="zh-CN"/>
            </w:rPr>
            <w:t>附件</w:t>
          </w:r>
          <w:r>
            <w:rPr>
              <w:rFonts w:hint="default" w:ascii="Times New Roman" w:hAnsi="Times New Roman" w:cs="Times New Roman"/>
              <w:lang w:val="en-US" w:eastAsia="zh-CN"/>
            </w:rPr>
            <w:t>10：水性油墨检测报告</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_Toc7931 \h </w:instrText>
          </w:r>
          <w:r>
            <w:rPr>
              <w:rFonts w:hint="default" w:ascii="Times New Roman" w:hAnsi="Times New Roman" w:cs="Times New Roman"/>
            </w:rPr>
            <w:fldChar w:fldCharType="separate"/>
          </w:r>
          <w:r>
            <w:rPr>
              <w:rFonts w:hint="default" w:ascii="Times New Roman" w:hAnsi="Times New Roman" w:cs="Times New Roman"/>
            </w:rPr>
            <w:t>112</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7"/>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_Toc5633 </w:instrText>
          </w:r>
          <w:r>
            <w:rPr>
              <w:rFonts w:hint="default" w:ascii="Times New Roman" w:hAnsi="Times New Roman" w:cs="Times New Roman"/>
              <w:lang w:val="en-US" w:eastAsia="zh-CN"/>
            </w:rPr>
            <w:fldChar w:fldCharType="separate"/>
          </w:r>
          <w:r>
            <w:rPr>
              <w:rFonts w:hint="default" w:ascii="Times New Roman" w:hAnsi="Times New Roman" w:cs="Times New Roman"/>
              <w:lang w:eastAsia="zh-CN"/>
            </w:rPr>
            <w:t>附件</w:t>
          </w:r>
          <w:r>
            <w:rPr>
              <w:rFonts w:hint="default" w:ascii="Times New Roman" w:hAnsi="Times New Roman" w:cs="Times New Roman"/>
              <w:lang w:val="en-US" w:eastAsia="zh-CN"/>
            </w:rPr>
            <w:t>11：关于关于中联新型材料标杆工程项目的联审意见</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_Toc5633 \h </w:instrText>
          </w:r>
          <w:r>
            <w:rPr>
              <w:rFonts w:hint="default" w:ascii="Times New Roman" w:hAnsi="Times New Roman" w:cs="Times New Roman"/>
            </w:rPr>
            <w:fldChar w:fldCharType="separate"/>
          </w:r>
          <w:r>
            <w:rPr>
              <w:rFonts w:hint="default" w:ascii="Times New Roman" w:hAnsi="Times New Roman" w:cs="Times New Roman"/>
            </w:rPr>
            <w:t>115</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7"/>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_Toc2687 </w:instrText>
          </w:r>
          <w:r>
            <w:rPr>
              <w:rFonts w:hint="default" w:ascii="Times New Roman" w:hAnsi="Times New Roman" w:cs="Times New Roman"/>
              <w:lang w:val="en-US" w:eastAsia="zh-CN"/>
            </w:rPr>
            <w:fldChar w:fldCharType="separate"/>
          </w:r>
          <w:r>
            <w:rPr>
              <w:rFonts w:hint="default" w:ascii="Times New Roman" w:hAnsi="Times New Roman" w:cs="Times New Roman"/>
              <w:lang w:eastAsia="zh-CN"/>
            </w:rPr>
            <w:t>附件</w:t>
          </w:r>
          <w:r>
            <w:rPr>
              <w:rFonts w:hint="default" w:ascii="Times New Roman" w:hAnsi="Times New Roman" w:cs="Times New Roman"/>
              <w:lang w:val="en-US" w:eastAsia="zh-CN"/>
            </w:rPr>
            <w:t>12：专家评审意见及签到表</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_Toc2687 \h </w:instrText>
          </w:r>
          <w:r>
            <w:rPr>
              <w:rFonts w:hint="default" w:ascii="Times New Roman" w:hAnsi="Times New Roman" w:cs="Times New Roman"/>
            </w:rPr>
            <w:fldChar w:fldCharType="separate"/>
          </w:r>
          <w:r>
            <w:rPr>
              <w:rFonts w:hint="default" w:ascii="Times New Roman" w:hAnsi="Times New Roman" w:cs="Times New Roman"/>
            </w:rPr>
            <w:t>117</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7"/>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_Toc12614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附图1：项目地理位置图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_Toc12614 \h </w:instrText>
          </w:r>
          <w:r>
            <w:rPr>
              <w:rFonts w:hint="default" w:ascii="Times New Roman" w:hAnsi="Times New Roman" w:cs="Times New Roman"/>
            </w:rPr>
            <w:fldChar w:fldCharType="separate"/>
          </w:r>
          <w:r>
            <w:rPr>
              <w:rFonts w:hint="default" w:ascii="Times New Roman" w:hAnsi="Times New Roman" w:cs="Times New Roman"/>
            </w:rPr>
            <w:t>120</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7"/>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_Toc15708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附图2：项目地理位置卫星地图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_Toc15708 \h </w:instrText>
          </w:r>
          <w:r>
            <w:rPr>
              <w:rFonts w:hint="default" w:ascii="Times New Roman" w:hAnsi="Times New Roman" w:cs="Times New Roman"/>
            </w:rPr>
            <w:fldChar w:fldCharType="separate"/>
          </w:r>
          <w:r>
            <w:rPr>
              <w:rFonts w:hint="default" w:ascii="Times New Roman" w:hAnsi="Times New Roman" w:cs="Times New Roman"/>
            </w:rPr>
            <w:t>121</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7"/>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_Toc12359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附图3：项目四至关系图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_Toc12359 \h </w:instrText>
          </w:r>
          <w:r>
            <w:rPr>
              <w:rFonts w:hint="default" w:ascii="Times New Roman" w:hAnsi="Times New Roman" w:cs="Times New Roman"/>
            </w:rPr>
            <w:fldChar w:fldCharType="separate"/>
          </w:r>
          <w:r>
            <w:rPr>
              <w:rFonts w:hint="default" w:ascii="Times New Roman" w:hAnsi="Times New Roman" w:cs="Times New Roman"/>
            </w:rPr>
            <w:t>122</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7"/>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_Toc2220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附图4 地表水系及环保目标图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_Toc2220 \h </w:instrText>
          </w:r>
          <w:r>
            <w:rPr>
              <w:rFonts w:hint="default" w:ascii="Times New Roman" w:hAnsi="Times New Roman" w:cs="Times New Roman"/>
            </w:rPr>
            <w:fldChar w:fldCharType="separate"/>
          </w:r>
          <w:r>
            <w:rPr>
              <w:rFonts w:hint="default" w:ascii="Times New Roman" w:hAnsi="Times New Roman" w:cs="Times New Roman"/>
            </w:rPr>
            <w:t>123</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7"/>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_Toc18428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附图5：岳阳市生态红线图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_Toc18428 \h </w:instrText>
          </w:r>
          <w:r>
            <w:rPr>
              <w:rFonts w:hint="default" w:ascii="Times New Roman" w:hAnsi="Times New Roman" w:cs="Times New Roman"/>
            </w:rPr>
            <w:fldChar w:fldCharType="separate"/>
          </w:r>
          <w:r>
            <w:rPr>
              <w:rFonts w:hint="default" w:ascii="Times New Roman" w:hAnsi="Times New Roman" w:cs="Times New Roman"/>
            </w:rPr>
            <w:t>124</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7"/>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_Toc23749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附图6：湘阴高新区临港片区土地利用规划图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_Toc23749 \h </w:instrText>
          </w:r>
          <w:r>
            <w:rPr>
              <w:rFonts w:hint="default" w:ascii="Times New Roman" w:hAnsi="Times New Roman" w:cs="Times New Roman"/>
            </w:rPr>
            <w:fldChar w:fldCharType="separate"/>
          </w:r>
          <w:r>
            <w:rPr>
              <w:rFonts w:hint="default" w:ascii="Times New Roman" w:hAnsi="Times New Roman" w:cs="Times New Roman"/>
            </w:rPr>
            <w:t>125</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7"/>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_Toc25009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附图7：湘阴高新区临港片区产业规划图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_Toc25009 \h </w:instrText>
          </w:r>
          <w:r>
            <w:rPr>
              <w:rFonts w:hint="default" w:ascii="Times New Roman" w:hAnsi="Times New Roman" w:cs="Times New Roman"/>
            </w:rPr>
            <w:fldChar w:fldCharType="separate"/>
          </w:r>
          <w:r>
            <w:rPr>
              <w:rFonts w:hint="default" w:ascii="Times New Roman" w:hAnsi="Times New Roman" w:cs="Times New Roman"/>
            </w:rPr>
            <w:t>126</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7"/>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_Toc5828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附图8：环境保护目标</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_Toc5828 \h </w:instrText>
          </w:r>
          <w:r>
            <w:rPr>
              <w:rFonts w:hint="default" w:ascii="Times New Roman" w:hAnsi="Times New Roman" w:cs="Times New Roman"/>
            </w:rPr>
            <w:fldChar w:fldCharType="separate"/>
          </w:r>
          <w:r>
            <w:rPr>
              <w:rFonts w:hint="default" w:ascii="Times New Roman" w:hAnsi="Times New Roman" w:cs="Times New Roman"/>
            </w:rPr>
            <w:t>127</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7"/>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_Toc17137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附图9：平面布置图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_Toc17137 \h </w:instrText>
          </w:r>
          <w:r>
            <w:rPr>
              <w:rFonts w:hint="default" w:ascii="Times New Roman" w:hAnsi="Times New Roman" w:cs="Times New Roman"/>
            </w:rPr>
            <w:fldChar w:fldCharType="separate"/>
          </w:r>
          <w:r>
            <w:rPr>
              <w:rFonts w:hint="default" w:ascii="Times New Roman" w:hAnsi="Times New Roman" w:cs="Times New Roman"/>
            </w:rPr>
            <w:t>128</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7"/>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_Toc22379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附图10：项目雨水污水走向图</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_Toc22379 \h </w:instrText>
          </w:r>
          <w:r>
            <w:rPr>
              <w:rFonts w:hint="default" w:ascii="Times New Roman" w:hAnsi="Times New Roman" w:cs="Times New Roman"/>
            </w:rPr>
            <w:fldChar w:fldCharType="separate"/>
          </w:r>
          <w:r>
            <w:rPr>
              <w:rFonts w:hint="default" w:ascii="Times New Roman" w:hAnsi="Times New Roman" w:cs="Times New Roman"/>
            </w:rPr>
            <w:t>129</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7"/>
            <w:keepNext w:val="0"/>
            <w:keepLines w:val="0"/>
            <w:pageBreakBefore w:val="0"/>
            <w:widowControl w:val="0"/>
            <w:tabs>
              <w:tab w:val="right" w:leader="dot" w:pos="9072"/>
            </w:tabs>
            <w:kinsoku/>
            <w:wordWrap/>
            <w:overflowPunct/>
            <w:topLinePunct w:val="0"/>
            <w:autoSpaceDE/>
            <w:autoSpaceDN/>
            <w:bidi w:val="0"/>
            <w:adjustRightInd/>
            <w:snapToGrid/>
            <w:spacing w:line="312" w:lineRule="auto"/>
            <w:textAlignment w:val="auto"/>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_Toc7532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附图11：项目现场踏勘照片</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_Toc7532 \h </w:instrText>
          </w:r>
          <w:r>
            <w:rPr>
              <w:rFonts w:hint="default" w:ascii="Times New Roman" w:hAnsi="Times New Roman" w:cs="Times New Roman"/>
            </w:rPr>
            <w:fldChar w:fldCharType="separate"/>
          </w:r>
          <w:r>
            <w:rPr>
              <w:rFonts w:hint="default" w:ascii="Times New Roman" w:hAnsi="Times New Roman" w:cs="Times New Roman"/>
            </w:rPr>
            <w:t>131</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keepNext w:val="0"/>
            <w:keepLines w:val="0"/>
            <w:pageBreakBefore w:val="0"/>
            <w:widowControl w:val="0"/>
            <w:kinsoku/>
            <w:wordWrap/>
            <w:overflowPunct/>
            <w:topLinePunct w:val="0"/>
            <w:autoSpaceDE/>
            <w:autoSpaceDN/>
            <w:bidi w:val="0"/>
            <w:adjustRightInd/>
            <w:snapToGrid/>
            <w:spacing w:line="312" w:lineRule="auto"/>
            <w:ind w:firstLine="0" w:firstLineChars="0"/>
            <w:jc w:val="both"/>
            <w:textAlignment w:val="auto"/>
            <w:rPr>
              <w:rFonts w:hint="default" w:ascii="Times New Roman" w:hAnsi="Times New Roman" w:cs="Times New Roman"/>
              <w:lang w:val="en-US" w:eastAsia="zh-CN"/>
            </w:rPr>
            <w:sectPr>
              <w:pgSz w:w="11906" w:h="16838"/>
              <w:pgMar w:top="1440" w:right="1417" w:bottom="1440" w:left="1417" w:header="851" w:footer="992" w:gutter="0"/>
              <w:pgBorders w:offsetFrom="page">
                <w:top w:val="none" w:sz="0" w:space="0"/>
                <w:left w:val="none" w:sz="0" w:space="0"/>
                <w:bottom w:val="none" w:sz="0" w:space="0"/>
                <w:right w:val="none" w:sz="0" w:space="0"/>
              </w:pgBorders>
              <w:cols w:space="0" w:num="1"/>
              <w:rtlGutter w:val="0"/>
              <w:docGrid w:type="lines" w:linePitch="312" w:charSpace="0"/>
            </w:sectPr>
          </w:pPr>
          <w:r>
            <w:rPr>
              <w:rFonts w:hint="default" w:ascii="Times New Roman" w:hAnsi="Times New Roman" w:cs="Times New Roman"/>
              <w:lang w:val="en-US" w:eastAsia="zh-CN"/>
            </w:rPr>
            <w:fldChar w:fldCharType="end"/>
          </w:r>
        </w:p>
      </w:sdtContent>
    </w:sdt>
    <w:p>
      <w:pPr>
        <w:pStyle w:val="4"/>
        <w:numPr>
          <w:ilvl w:val="0"/>
          <w:numId w:val="1"/>
        </w:numPr>
        <w:bidi w:val="0"/>
        <w:ind w:left="0" w:leftChars="0" w:firstLine="0" w:firstLineChars="0"/>
        <w:jc w:val="left"/>
        <w:rPr>
          <w:rFonts w:hint="default" w:ascii="Times New Roman" w:hAnsi="Times New Roman" w:cs="Times New Roman"/>
        </w:rPr>
      </w:pPr>
      <w:bookmarkStart w:id="7" w:name="_Toc4539"/>
      <w:r>
        <w:rPr>
          <w:rFonts w:hint="default" w:ascii="Times New Roman" w:hAnsi="Times New Roman" w:cs="Times New Roman"/>
          <w:lang w:val="en-US" w:eastAsia="zh-CN"/>
        </w:rPr>
        <w:t>建设项目基本情况</w:t>
      </w:r>
      <w:bookmarkEnd w:id="7"/>
    </w:p>
    <w:tbl>
      <w:tblPr>
        <w:tblStyle w:val="22"/>
        <w:tblW w:w="92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0"/>
        <w:gridCol w:w="2660"/>
        <w:gridCol w:w="2208"/>
        <w:gridCol w:w="31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建设项目</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名称</w:t>
            </w:r>
          </w:p>
        </w:tc>
        <w:tc>
          <w:tcPr>
            <w:tcW w:w="8006" w:type="dxa"/>
            <w:gridSpan w:val="3"/>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中联新材标杆(湘阴)工厂项目（年产65万吨机制砂、98万吨干粉砂浆）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12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项目代码</w:t>
            </w:r>
          </w:p>
        </w:tc>
        <w:tc>
          <w:tcPr>
            <w:tcW w:w="8006" w:type="dxa"/>
            <w:gridSpan w:val="3"/>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2207-430624-04-01-</w:t>
            </w:r>
            <w:r>
              <w:rPr>
                <w:rFonts w:hint="default" w:ascii="Times New Roman" w:hAnsi="Times New Roman" w:cs="Times New Roman"/>
                <w:color w:val="auto"/>
                <w:sz w:val="24"/>
                <w:szCs w:val="24"/>
                <w:vertAlign w:val="baseline"/>
                <w:lang w:val="en-US" w:eastAsia="zh-CN"/>
              </w:rPr>
              <w:t>860283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12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建设单位</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联系人</w:t>
            </w:r>
          </w:p>
        </w:tc>
        <w:tc>
          <w:tcPr>
            <w:tcW w:w="266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高宇</w:t>
            </w:r>
          </w:p>
        </w:tc>
        <w:tc>
          <w:tcPr>
            <w:tcW w:w="220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联系方式</w:t>
            </w:r>
          </w:p>
        </w:tc>
        <w:tc>
          <w:tcPr>
            <w:tcW w:w="313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18874781199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2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建设地点</w:t>
            </w:r>
          </w:p>
        </w:tc>
        <w:tc>
          <w:tcPr>
            <w:tcW w:w="8006" w:type="dxa"/>
            <w:gridSpan w:val="3"/>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湖南省岳阳市湘阴县湘杨路以西、远大路及湘杨路交汇处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12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地理坐标</w:t>
            </w:r>
          </w:p>
        </w:tc>
        <w:tc>
          <w:tcPr>
            <w:tcW w:w="8006" w:type="dxa"/>
            <w:gridSpan w:val="3"/>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112度52分9.391秒，28度41分52.703秒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9" w:hRule="atLeast"/>
        </w:trPr>
        <w:tc>
          <w:tcPr>
            <w:tcW w:w="12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国民经济行业类别</w:t>
            </w:r>
          </w:p>
        </w:tc>
        <w:tc>
          <w:tcPr>
            <w:tcW w:w="266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C3039 其他建筑材料制造；C3099 其他非金属矿物制品制造</w:t>
            </w:r>
          </w:p>
        </w:tc>
        <w:tc>
          <w:tcPr>
            <w:tcW w:w="220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建设项目行业类别</w:t>
            </w:r>
          </w:p>
        </w:tc>
        <w:tc>
          <w:tcPr>
            <w:tcW w:w="313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cs="Times New Roman"/>
                <w:color w:val="auto"/>
                <w:lang w:val="en-US" w:eastAsia="zh-CN"/>
              </w:rPr>
              <w:t>二十七、非金属矿物制品业30，56砖瓦、石材等建筑材料制造303，其他建筑材料制造（含干粉砂浆搅拌站）；60石墨及其他非金属矿物制品制造309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3" w:hRule="atLeast"/>
        </w:trPr>
        <w:tc>
          <w:tcPr>
            <w:tcW w:w="12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建设性质</w:t>
            </w:r>
          </w:p>
        </w:tc>
        <w:tc>
          <w:tcPr>
            <w:tcW w:w="266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sym w:font="Wingdings 2" w:char="0052"/>
            </w:r>
            <w:r>
              <w:rPr>
                <w:rFonts w:hint="default" w:ascii="Times New Roman" w:hAnsi="Times New Roman" w:eastAsia="宋体" w:cs="Times New Roman"/>
                <w:color w:val="auto"/>
                <w:kern w:val="0"/>
                <w:sz w:val="24"/>
                <w:szCs w:val="24"/>
                <w:lang w:val="en-US" w:eastAsia="zh-CN" w:bidi="ar"/>
              </w:rPr>
              <w:t xml:space="preserve">新建（迁建） </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rPr>
            </w:pPr>
            <w:r>
              <w:rPr>
                <w:rFonts w:hint="default" w:ascii="Times New Roman" w:hAnsi="Times New Roman" w:eastAsia="宋体" w:cs="Times New Roman"/>
                <w:b/>
                <w:bCs/>
                <w:color w:val="auto"/>
                <w:kern w:val="0"/>
                <w:sz w:val="24"/>
                <w:szCs w:val="24"/>
                <w:lang w:val="en-US" w:eastAsia="zh-CN" w:bidi="ar"/>
              </w:rPr>
              <w:sym w:font="Wingdings 2" w:char="00A3"/>
            </w:r>
            <w:r>
              <w:rPr>
                <w:rFonts w:hint="default" w:ascii="Times New Roman" w:hAnsi="Times New Roman" w:eastAsia="宋体" w:cs="Times New Roman"/>
                <w:color w:val="auto"/>
                <w:kern w:val="0"/>
                <w:sz w:val="24"/>
                <w:szCs w:val="24"/>
                <w:lang w:val="en-US" w:eastAsia="zh-CN" w:bidi="ar"/>
              </w:rPr>
              <w:t xml:space="preserve">改建 </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rPr>
            </w:pPr>
            <w:r>
              <w:rPr>
                <w:rFonts w:hint="default" w:ascii="Times New Roman" w:hAnsi="Times New Roman" w:eastAsia="宋体" w:cs="Times New Roman"/>
                <w:b w:val="0"/>
                <w:bCs w:val="0"/>
                <w:color w:val="auto"/>
                <w:kern w:val="0"/>
                <w:sz w:val="24"/>
                <w:szCs w:val="24"/>
                <w:lang w:val="en-US" w:eastAsia="zh-CN" w:bidi="ar"/>
              </w:rPr>
              <w:sym w:font="Wingdings" w:char="00A8"/>
            </w:r>
            <w:r>
              <w:rPr>
                <w:rFonts w:hint="default" w:ascii="Times New Roman" w:hAnsi="Times New Roman" w:eastAsia="宋体" w:cs="Times New Roman"/>
                <w:color w:val="auto"/>
                <w:kern w:val="0"/>
                <w:sz w:val="24"/>
                <w:szCs w:val="24"/>
                <w:lang w:val="en-US" w:eastAsia="zh-CN" w:bidi="ar"/>
              </w:rPr>
              <w:t xml:space="preserve">扩建 </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kern w:val="0"/>
                <w:sz w:val="24"/>
                <w:szCs w:val="24"/>
                <w:lang w:val="en-US" w:eastAsia="zh-CN" w:bidi="ar"/>
              </w:rPr>
              <w:t>□技术改造</w:t>
            </w:r>
          </w:p>
        </w:tc>
        <w:tc>
          <w:tcPr>
            <w:tcW w:w="220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建设项目申报情形</w:t>
            </w:r>
          </w:p>
        </w:tc>
        <w:tc>
          <w:tcPr>
            <w:tcW w:w="313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sym w:font="Wingdings 2" w:char="0052"/>
            </w:r>
            <w:r>
              <w:rPr>
                <w:rFonts w:hint="default" w:ascii="Times New Roman" w:hAnsi="Times New Roman" w:eastAsia="宋体" w:cs="Times New Roman"/>
                <w:color w:val="auto"/>
                <w:kern w:val="0"/>
                <w:sz w:val="24"/>
                <w:szCs w:val="24"/>
                <w:lang w:val="en-US" w:eastAsia="zh-CN" w:bidi="ar"/>
              </w:rPr>
              <w:t xml:space="preserve">首次申报项目 </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□不予批准后再次申报项目</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kern w:val="0"/>
                <w:sz w:val="24"/>
                <w:szCs w:val="24"/>
                <w:lang w:val="en-US" w:eastAsia="zh-CN" w:bidi="ar"/>
              </w:rPr>
              <w:t xml:space="preserve">□超五年重新审核项目 </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kern w:val="0"/>
                <w:sz w:val="24"/>
                <w:szCs w:val="24"/>
                <w:lang w:val="en-US" w:eastAsia="zh-CN" w:bidi="ar"/>
              </w:rPr>
              <w:t>□重大变动重新报批项目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项目审批（核准/备案）部门（选填）</w:t>
            </w:r>
          </w:p>
        </w:tc>
        <w:tc>
          <w:tcPr>
            <w:tcW w:w="266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湘阴县发展和改革局</w:t>
            </w:r>
          </w:p>
        </w:tc>
        <w:tc>
          <w:tcPr>
            <w:tcW w:w="220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项目审批（核准/备案）文号（选填）</w:t>
            </w:r>
          </w:p>
        </w:tc>
        <w:tc>
          <w:tcPr>
            <w:tcW w:w="313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湘阴发改审</w:t>
            </w:r>
            <w:r>
              <w:rPr>
                <w:rFonts w:hint="default" w:ascii="Times New Roman" w:hAnsi="Times New Roman" w:eastAsia="宋体" w:cs="Times New Roman"/>
                <w:color w:val="auto"/>
                <w:sz w:val="24"/>
                <w:szCs w:val="24"/>
                <w:vertAlign w:val="baseline"/>
                <w:lang w:val="en-US" w:eastAsia="zh-CN"/>
              </w:rPr>
              <w:t>﹝20</w:t>
            </w:r>
            <w:r>
              <w:rPr>
                <w:rFonts w:hint="default" w:ascii="Times New Roman" w:hAnsi="Times New Roman" w:cs="Times New Roman"/>
                <w:color w:val="auto"/>
                <w:sz w:val="24"/>
                <w:szCs w:val="24"/>
                <w:vertAlign w:val="baseline"/>
                <w:lang w:val="en-US" w:eastAsia="zh-CN"/>
              </w:rPr>
              <w:t>22</w:t>
            </w:r>
            <w:r>
              <w:rPr>
                <w:rFonts w:hint="default" w:ascii="Times New Roman" w:hAnsi="Times New Roman" w:eastAsia="宋体" w:cs="Times New Roman"/>
                <w:color w:val="auto"/>
                <w:sz w:val="24"/>
                <w:szCs w:val="24"/>
                <w:vertAlign w:val="baseline"/>
                <w:lang w:val="en-US" w:eastAsia="zh-CN"/>
              </w:rPr>
              <w:t>﹞</w:t>
            </w:r>
            <w:r>
              <w:rPr>
                <w:rFonts w:hint="default" w:ascii="Times New Roman" w:hAnsi="Times New Roman" w:cs="Times New Roman"/>
                <w:color w:val="auto"/>
                <w:sz w:val="24"/>
                <w:szCs w:val="24"/>
                <w:vertAlign w:val="baseline"/>
                <w:lang w:val="en-US" w:eastAsia="zh-CN"/>
              </w:rPr>
              <w:t>74号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总投资</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（万元）</w:t>
            </w:r>
          </w:p>
        </w:tc>
        <w:tc>
          <w:tcPr>
            <w:tcW w:w="266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36008.25</w:t>
            </w:r>
          </w:p>
        </w:tc>
        <w:tc>
          <w:tcPr>
            <w:tcW w:w="220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环保投资（万元）</w:t>
            </w:r>
          </w:p>
        </w:tc>
        <w:tc>
          <w:tcPr>
            <w:tcW w:w="313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791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环保投资占比（%）</w:t>
            </w:r>
          </w:p>
        </w:tc>
        <w:tc>
          <w:tcPr>
            <w:tcW w:w="266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cs="Times New Roman"/>
                <w:color w:val="auto"/>
                <w:lang w:val="en-US" w:eastAsia="zh-CN"/>
              </w:rPr>
              <w:t>2.20</w:t>
            </w:r>
          </w:p>
        </w:tc>
        <w:tc>
          <w:tcPr>
            <w:tcW w:w="220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施工工期</w:t>
            </w:r>
          </w:p>
        </w:tc>
        <w:tc>
          <w:tcPr>
            <w:tcW w:w="313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12个月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trPr>
        <w:tc>
          <w:tcPr>
            <w:tcW w:w="12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是否开工建设</w:t>
            </w:r>
          </w:p>
        </w:tc>
        <w:tc>
          <w:tcPr>
            <w:tcW w:w="266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sym w:font="Wingdings 2" w:char="0052"/>
            </w:r>
            <w:r>
              <w:rPr>
                <w:rFonts w:hint="default" w:ascii="Times New Roman" w:hAnsi="Times New Roman" w:eastAsia="宋体" w:cs="Times New Roman"/>
                <w:color w:val="auto"/>
                <w:kern w:val="0"/>
                <w:sz w:val="24"/>
                <w:szCs w:val="24"/>
                <w:lang w:val="en-US" w:eastAsia="zh-CN" w:bidi="ar"/>
              </w:rPr>
              <w:t>否</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sz w:val="24"/>
                <w:szCs w:val="24"/>
                <w:vertAlign w:val="baseline"/>
              </w:rPr>
            </w:pPr>
            <w:r>
              <w:rPr>
                <w:rFonts w:hint="default" w:ascii="Times New Roman" w:hAnsi="Times New Roman" w:eastAsia="宋体" w:cs="Times New Roman"/>
                <w:color w:val="auto"/>
                <w:kern w:val="0"/>
                <w:sz w:val="24"/>
                <w:szCs w:val="24"/>
                <w:lang w:val="en-US" w:eastAsia="zh-CN" w:bidi="ar"/>
              </w:rPr>
              <w:t>□是</w:t>
            </w:r>
          </w:p>
        </w:tc>
        <w:tc>
          <w:tcPr>
            <w:tcW w:w="220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用地（用海）面积（m</w:t>
            </w:r>
            <w:r>
              <w:rPr>
                <w:rFonts w:hint="default"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vertAlign w:val="baseline"/>
                <w:lang w:val="en-US" w:eastAsia="zh-CN"/>
              </w:rPr>
              <w:t>）</w:t>
            </w:r>
          </w:p>
        </w:tc>
        <w:tc>
          <w:tcPr>
            <w:tcW w:w="3138"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69991.83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专项评价设置情况</w:t>
            </w:r>
          </w:p>
        </w:tc>
        <w:tc>
          <w:tcPr>
            <w:tcW w:w="8006" w:type="dxa"/>
            <w:gridSpan w:val="3"/>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trPr>
        <w:tc>
          <w:tcPr>
            <w:tcW w:w="12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规划情况</w:t>
            </w:r>
          </w:p>
        </w:tc>
        <w:tc>
          <w:tcPr>
            <w:tcW w:w="8006" w:type="dxa"/>
            <w:gridSpan w:val="3"/>
            <w:vAlign w:val="center"/>
          </w:tcPr>
          <w:p>
            <w:pPr>
              <w:pStyle w:val="31"/>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规划名称</w:t>
            </w:r>
            <w:r>
              <w:rPr>
                <w:rFonts w:hint="default" w:ascii="Times New Roman" w:hAnsi="Times New Roman" w:cs="Times New Roman"/>
                <w:color w:val="auto"/>
                <w:sz w:val="24"/>
                <w:szCs w:val="24"/>
                <w:vertAlign w:val="baseline"/>
                <w:lang w:val="en-US" w:eastAsia="zh-CN"/>
              </w:rPr>
              <w:t>：《湖南湘阴高新区近期规划（2020-2025）》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trPr>
        <w:tc>
          <w:tcPr>
            <w:tcW w:w="12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规划环境影响评价情况</w:t>
            </w:r>
          </w:p>
        </w:tc>
        <w:tc>
          <w:tcPr>
            <w:tcW w:w="8006" w:type="dxa"/>
            <w:gridSpan w:val="3"/>
            <w:vAlign w:val="center"/>
          </w:tcPr>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规划环境影响评价文件名称：《湘阴高新技术产业开发区调区扩区规划环境影响报告书》。</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召集审查机关：湖南省生态环境厅。</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lang w:val="en-US" w:eastAsia="zh-CN"/>
              </w:rPr>
            </w:pPr>
            <w:r>
              <w:rPr>
                <w:rFonts w:hint="default" w:ascii="Times New Roman" w:hAnsi="Times New Roman" w:eastAsia="宋体" w:cs="Times New Roman"/>
                <w:color w:val="auto"/>
                <w:sz w:val="24"/>
                <w:szCs w:val="24"/>
                <w:vertAlign w:val="baseline"/>
                <w:lang w:val="en-US" w:eastAsia="zh-CN"/>
              </w:rPr>
              <w:t>审查文件名称及文号：湘环评函</w:t>
            </w:r>
            <w:r>
              <w:rPr>
                <w:rFonts w:hint="default" w:ascii="Times New Roman" w:hAnsi="Times New Roman" w:cs="Times New Roman"/>
                <w:color w:val="auto"/>
                <w:sz w:val="24"/>
                <w:szCs w:val="24"/>
                <w:vertAlign w:val="baseline"/>
                <w:lang w:val="en-US" w:eastAsia="zh-CN"/>
              </w:rPr>
              <w:t>[</w:t>
            </w:r>
            <w:r>
              <w:rPr>
                <w:rFonts w:hint="default" w:ascii="Times New Roman" w:hAnsi="Times New Roman" w:eastAsia="宋体" w:cs="Times New Roman"/>
                <w:color w:val="auto"/>
                <w:sz w:val="24"/>
                <w:szCs w:val="24"/>
                <w:vertAlign w:val="baseline"/>
                <w:lang w:val="en-US" w:eastAsia="zh-CN"/>
              </w:rPr>
              <w:t>2022</w:t>
            </w:r>
            <w:r>
              <w:rPr>
                <w:rFonts w:hint="default" w:ascii="Times New Roman" w:hAnsi="Times New Roman" w:cs="Times New Roman"/>
                <w:color w:val="auto"/>
                <w:sz w:val="24"/>
                <w:szCs w:val="24"/>
                <w:vertAlign w:val="baseline"/>
                <w:lang w:val="en-US" w:eastAsia="zh-CN"/>
              </w:rPr>
              <w:t>]</w:t>
            </w:r>
            <w:r>
              <w:rPr>
                <w:rFonts w:hint="default" w:ascii="Times New Roman" w:hAnsi="Times New Roman" w:eastAsia="宋体" w:cs="Times New Roman"/>
                <w:color w:val="auto"/>
                <w:sz w:val="24"/>
                <w:szCs w:val="24"/>
                <w:vertAlign w:val="baseline"/>
                <w:lang w:val="en-US" w:eastAsia="zh-CN"/>
              </w:rPr>
              <w:t>65号。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7" w:hRule="atLeast"/>
        </w:trPr>
        <w:tc>
          <w:tcPr>
            <w:tcW w:w="12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规划及</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规划环境影响评价符合性分析</w:t>
            </w:r>
          </w:p>
        </w:tc>
        <w:tc>
          <w:tcPr>
            <w:tcW w:w="8006" w:type="dxa"/>
            <w:gridSpan w:val="3"/>
            <w:vAlign w:val="center"/>
          </w:tcPr>
          <w:p>
            <w:pPr>
              <w:bidi w:val="0"/>
              <w:ind w:left="0" w:leftChars="0" w:firstLine="0" w:firstLineChars="0"/>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1.1 项目与《湖南湘阴高新区近期规划（2020-2025）》相符性分析</w:t>
            </w:r>
          </w:p>
          <w:p>
            <w:pPr>
              <w:pStyle w:val="2"/>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湖南湘阴高新技术产业开发区为“一区三园”，即临港片区、洋沙湖片区和金龙片区，规划区范围面积共计约12.40 平方公里。本项目属于临港片区，根据规划相关内容，对本项目与《湖南湘阴高新区近期规划（2020-2025）》相符性分析列表如下。</w:t>
            </w:r>
          </w:p>
          <w:p>
            <w:pPr>
              <w:pStyle w:val="32"/>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表1-1 项目与《湖南湘阴高新区近期规划（2020-2025）》相符性分析</w:t>
            </w:r>
          </w:p>
          <w:tbl>
            <w:tblPr>
              <w:tblStyle w:val="22"/>
              <w:tblW w:w="77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3"/>
              <w:gridCol w:w="3162"/>
              <w:gridCol w:w="2879"/>
              <w:gridCol w:w="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793" w:type="dxa"/>
                  <w:vAlign w:val="center"/>
                </w:tcPr>
                <w:p>
                  <w:pPr>
                    <w:pStyle w:val="28"/>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项目</w:t>
                  </w:r>
                </w:p>
              </w:tc>
              <w:tc>
                <w:tcPr>
                  <w:tcW w:w="3162" w:type="dxa"/>
                  <w:vAlign w:val="center"/>
                </w:tcPr>
                <w:p>
                  <w:pPr>
                    <w:pStyle w:val="28"/>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规划内容</w:t>
                  </w:r>
                </w:p>
              </w:tc>
              <w:tc>
                <w:tcPr>
                  <w:tcW w:w="2879" w:type="dxa"/>
                  <w:vAlign w:val="center"/>
                </w:tcPr>
                <w:p>
                  <w:pPr>
                    <w:pStyle w:val="28"/>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本项目情况</w:t>
                  </w:r>
                </w:p>
              </w:tc>
              <w:tc>
                <w:tcPr>
                  <w:tcW w:w="924" w:type="dxa"/>
                  <w:vAlign w:val="center"/>
                </w:tcPr>
                <w:p>
                  <w:pPr>
                    <w:pStyle w:val="28"/>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5" w:hRule="atLeast"/>
                <w:jc w:val="center"/>
              </w:trPr>
              <w:tc>
                <w:tcPr>
                  <w:tcW w:w="793" w:type="dxa"/>
                  <w:vAlign w:val="center"/>
                </w:tcPr>
                <w:p>
                  <w:pPr>
                    <w:pStyle w:val="28"/>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区位划分</w:t>
                  </w:r>
                </w:p>
              </w:tc>
              <w:tc>
                <w:tcPr>
                  <w:tcW w:w="3162" w:type="dxa"/>
                  <w:vAlign w:val="center"/>
                </w:tcPr>
                <w:p>
                  <w:pPr>
                    <w:pStyle w:val="28"/>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临港片区位于县城北侧，范围东至太傅路、南至长岭路、西至湘江东岸、北至漕溪港火车站，规划范围约为276.73公顷</w:t>
                  </w:r>
                </w:p>
              </w:tc>
              <w:tc>
                <w:tcPr>
                  <w:tcW w:w="2879" w:type="dxa"/>
                  <w:vAlign w:val="center"/>
                </w:tcPr>
                <w:p>
                  <w:pPr>
                    <w:pStyle w:val="28"/>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本项目位于湘阴县文星街道乌龙社区湘杨路以西、远大路及湘杨路交汇处，属于临港片区范围内</w:t>
                  </w:r>
                </w:p>
              </w:tc>
              <w:tc>
                <w:tcPr>
                  <w:tcW w:w="924" w:type="dxa"/>
                  <w:vAlign w:val="center"/>
                </w:tcPr>
                <w:p>
                  <w:pPr>
                    <w:pStyle w:val="28"/>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7" w:hRule="atLeast"/>
                <w:jc w:val="center"/>
              </w:trPr>
              <w:tc>
                <w:tcPr>
                  <w:tcW w:w="793" w:type="dxa"/>
                  <w:vAlign w:val="center"/>
                </w:tcPr>
                <w:p>
                  <w:pPr>
                    <w:pStyle w:val="28"/>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功能定位</w:t>
                  </w:r>
                </w:p>
              </w:tc>
              <w:tc>
                <w:tcPr>
                  <w:tcW w:w="3162" w:type="dxa"/>
                  <w:vAlign w:val="center"/>
                </w:tcPr>
                <w:p>
                  <w:pPr>
                    <w:pStyle w:val="28"/>
                    <w:bidi w:val="0"/>
                    <w:jc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vertAlign w:val="baseline"/>
                      <w:lang w:val="en-US" w:eastAsia="zh-CN"/>
                    </w:rPr>
                    <w:t>发挥靠城(长沙)依江(湘江)的区位优势，立足对接长沙、省级高新技术开发区发展核心平台的有利条件，依托长株潭大经济圈及岳阳、益阳两城市的经济辐射，“以园兴工、以工兴县”的战略，千方百计加大园区基础建设力度，想方设法引进战略投资大户，把园区建成为规模工业企业的集聚区，商贸流通的重点区，城镇化发展的示范区，对外开放的先导区，以及全国较高水平的省级生态环保型城郊综合工业园区。</w:t>
                  </w:r>
                </w:p>
              </w:tc>
              <w:tc>
                <w:tcPr>
                  <w:tcW w:w="2879" w:type="dxa"/>
                  <w:vAlign w:val="center"/>
                </w:tcPr>
                <w:p>
                  <w:pPr>
                    <w:pStyle w:val="28"/>
                    <w:bidi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highlight w:val="none"/>
                      <w:lang w:val="en-US" w:eastAsia="zh-CN"/>
                    </w:rPr>
                    <w:t>本项目为湘阴中联重科新材料科技有限公司投资建设项目，总投资金额</w:t>
                  </w:r>
                  <w:r>
                    <w:rPr>
                      <w:rFonts w:hint="default" w:ascii="Times New Roman" w:hAnsi="Times New Roman" w:cs="Times New Roman"/>
                      <w:color w:val="auto"/>
                      <w:sz w:val="21"/>
                      <w:szCs w:val="21"/>
                      <w:highlight w:val="none"/>
                      <w:vertAlign w:val="baseline"/>
                      <w:lang w:val="en-US" w:eastAsia="zh-CN"/>
                    </w:rPr>
                    <w:t>36008.25万元，占地面积69991.83</w:t>
                  </w:r>
                  <w:r>
                    <w:rPr>
                      <w:rFonts w:hint="default" w:ascii="Times New Roman" w:hAnsi="Times New Roman" w:eastAsia="宋体" w:cs="Times New Roman"/>
                      <w:color w:val="auto"/>
                      <w:sz w:val="21"/>
                      <w:szCs w:val="21"/>
                      <w:highlight w:val="none"/>
                      <w:vertAlign w:val="baseli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vertAlign w:val="baseline"/>
                      <w:lang w:val="en-US" w:eastAsia="zh-CN"/>
                    </w:rPr>
                    <w:t>，建5条干粉砂浆生产线，2条原料生产线，可达年产普通干粉砂浆65万吨/年，特种干粉砂浆25万吨/年，彩色干粉砂浆8万吨/年，设计年产原料机制砂65万吨。本项目是中联重科的标杆（湘阴）工厂，是湘阴县重点招商引资项目，</w:t>
                  </w:r>
                  <w:r>
                    <w:rPr>
                      <w:rFonts w:hint="default" w:ascii="Times New Roman" w:hAnsi="Times New Roman" w:cs="Times New Roman"/>
                      <w:color w:val="auto"/>
                      <w:kern w:val="44"/>
                      <w:szCs w:val="28"/>
                      <w:highlight w:val="none"/>
                    </w:rPr>
                    <w:t>项目投产后</w:t>
                  </w:r>
                  <w:r>
                    <w:rPr>
                      <w:rFonts w:hint="default" w:ascii="Times New Roman" w:hAnsi="Times New Roman" w:cs="Times New Roman"/>
                      <w:color w:val="auto"/>
                      <w:highlight w:val="none"/>
                    </w:rPr>
                    <w:t>年销售收入</w:t>
                  </w:r>
                  <w:r>
                    <w:rPr>
                      <w:rFonts w:hint="default" w:ascii="Times New Roman" w:hAnsi="Times New Roman" w:cs="Times New Roman"/>
                      <w:color w:val="auto"/>
                      <w:highlight w:val="none"/>
                      <w:lang w:val="en-US" w:eastAsia="zh-CN"/>
                    </w:rPr>
                    <w:t>预估将达到</w:t>
                  </w:r>
                  <w:r>
                    <w:rPr>
                      <w:rFonts w:hint="default" w:ascii="Times New Roman" w:hAnsi="Times New Roman" w:cs="Times New Roman"/>
                      <w:color w:val="auto"/>
                      <w:highlight w:val="none"/>
                      <w:shd w:val="clear"/>
                      <w:lang w:val="en-US" w:eastAsia="zh-CN"/>
                    </w:rPr>
                    <w:t>25.66亿元</w:t>
                  </w:r>
                  <w:r>
                    <w:rPr>
                      <w:rFonts w:hint="default" w:ascii="Times New Roman" w:hAnsi="Times New Roman" w:cs="Times New Roman"/>
                      <w:color w:val="auto"/>
                      <w:highlight w:val="none"/>
                      <w:shd w:val="clear"/>
                      <w:lang w:eastAsia="zh-CN"/>
                    </w:rPr>
                    <w:t>，</w:t>
                  </w:r>
                  <w:r>
                    <w:rPr>
                      <w:rFonts w:hint="default" w:ascii="Times New Roman" w:hAnsi="Times New Roman" w:cs="Times New Roman"/>
                      <w:color w:val="auto"/>
                      <w:highlight w:val="none"/>
                      <w:shd w:val="clear"/>
                    </w:rPr>
                    <w:t>工业增加值</w:t>
                  </w:r>
                  <w:r>
                    <w:rPr>
                      <w:rFonts w:hint="default" w:ascii="Times New Roman" w:hAnsi="Times New Roman" w:cs="Times New Roman"/>
                      <w:color w:val="auto"/>
                      <w:highlight w:val="none"/>
                      <w:shd w:val="clear"/>
                      <w:lang w:val="en-US" w:eastAsia="zh-CN"/>
                    </w:rPr>
                    <w:t>10亿元，经济效益显著，将给当地经济和就业带来巨大的机会</w:t>
                  </w:r>
                  <w:r>
                    <w:rPr>
                      <w:rFonts w:hint="default" w:ascii="Times New Roman" w:hAnsi="Times New Roman" w:cs="Times New Roman"/>
                      <w:color w:val="auto"/>
                      <w:sz w:val="21"/>
                      <w:szCs w:val="21"/>
                      <w:highlight w:val="none"/>
                      <w:vertAlign w:val="baseline"/>
                      <w:lang w:val="en-US" w:eastAsia="zh-CN"/>
                    </w:rPr>
                    <w:t>。因此，本项目</w:t>
                  </w:r>
                  <w:r>
                    <w:rPr>
                      <w:rFonts w:hint="default" w:ascii="Times New Roman" w:hAnsi="Times New Roman" w:cs="Times New Roman"/>
                      <w:color w:val="auto"/>
                      <w:sz w:val="21"/>
                      <w:szCs w:val="21"/>
                      <w:highlight w:val="none"/>
                      <w:lang w:val="en-US" w:eastAsia="zh-CN"/>
                    </w:rPr>
                    <w:t>符合功能定位。</w:t>
                  </w:r>
                </w:p>
              </w:tc>
              <w:tc>
                <w:tcPr>
                  <w:tcW w:w="924" w:type="dxa"/>
                  <w:vAlign w:val="center"/>
                </w:tcPr>
                <w:p>
                  <w:pPr>
                    <w:pStyle w:val="28"/>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5" w:hRule="atLeast"/>
                <w:jc w:val="center"/>
              </w:trPr>
              <w:tc>
                <w:tcPr>
                  <w:tcW w:w="793" w:type="dxa"/>
                  <w:vAlign w:val="center"/>
                </w:tcPr>
                <w:p>
                  <w:pPr>
                    <w:pStyle w:val="31"/>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产业定位</w:t>
                  </w:r>
                </w:p>
              </w:tc>
              <w:tc>
                <w:tcPr>
                  <w:tcW w:w="3162" w:type="dxa"/>
                  <w:vAlign w:val="center"/>
                </w:tcPr>
                <w:p>
                  <w:pPr>
                    <w:pStyle w:val="31"/>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主导产业：绿色装备制造、绿色建筑建材、绿色食品加工</w:t>
                  </w:r>
                </w:p>
                <w:p>
                  <w:pPr>
                    <w:pStyle w:val="31"/>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配套产业：电子信息、新材料</w:t>
                  </w:r>
                </w:p>
              </w:tc>
              <w:tc>
                <w:tcPr>
                  <w:tcW w:w="2879" w:type="dxa"/>
                  <w:vAlign w:val="center"/>
                </w:tcPr>
                <w:p>
                  <w:pPr>
                    <w:pStyle w:val="31"/>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本项目产品为干粉砂浆，属于建筑材料制造行业，符合湘阴高新技术产业开发区产业定位</w:t>
                  </w:r>
                </w:p>
              </w:tc>
              <w:tc>
                <w:tcPr>
                  <w:tcW w:w="924" w:type="dxa"/>
                  <w:vAlign w:val="center"/>
                </w:tcPr>
                <w:p>
                  <w:pPr>
                    <w:pStyle w:val="28"/>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5" w:hRule="atLeast"/>
                <w:jc w:val="center"/>
              </w:trPr>
              <w:tc>
                <w:tcPr>
                  <w:tcW w:w="793" w:type="dxa"/>
                  <w:vAlign w:val="center"/>
                </w:tcPr>
                <w:p>
                  <w:pPr>
                    <w:pStyle w:val="28"/>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分区定位</w:t>
                  </w:r>
                </w:p>
              </w:tc>
              <w:tc>
                <w:tcPr>
                  <w:tcW w:w="3162" w:type="dxa"/>
                  <w:vAlign w:val="center"/>
                </w:tcPr>
                <w:p>
                  <w:pPr>
                    <w:pStyle w:val="28"/>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临港片区重点发展商贸物流、绿色建筑建材、绿色装备制造产业。</w:t>
                  </w:r>
                </w:p>
              </w:tc>
              <w:tc>
                <w:tcPr>
                  <w:tcW w:w="2879" w:type="dxa"/>
                  <w:vAlign w:val="center"/>
                </w:tcPr>
                <w:p>
                  <w:pPr>
                    <w:pStyle w:val="28"/>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本项目属于建筑材料制造行业，符合湘阴高新技术产业开发区临港片区分区定位</w:t>
                  </w:r>
                </w:p>
              </w:tc>
              <w:tc>
                <w:tcPr>
                  <w:tcW w:w="924" w:type="dxa"/>
                  <w:vAlign w:val="center"/>
                </w:tcPr>
                <w:p>
                  <w:pPr>
                    <w:pStyle w:val="28"/>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5" w:hRule="atLeast"/>
                <w:jc w:val="center"/>
              </w:trPr>
              <w:tc>
                <w:tcPr>
                  <w:tcW w:w="793" w:type="dxa"/>
                  <w:vAlign w:val="center"/>
                </w:tcPr>
                <w:p>
                  <w:pPr>
                    <w:pStyle w:val="28"/>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环境准入</w:t>
                  </w:r>
                </w:p>
              </w:tc>
              <w:tc>
                <w:tcPr>
                  <w:tcW w:w="3162" w:type="dxa"/>
                  <w:vAlign w:val="center"/>
                </w:tcPr>
                <w:p>
                  <w:pPr>
                    <w:pStyle w:val="28"/>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临港片区：禁止引入化工、平板玻璃、水泥项目；禁止引进 VOCs 排放量大、废水涉及重金属项 目；禁止引进C30非金属矿物制品业(C302、C3042、C3049 除外)</w:t>
                  </w:r>
                </w:p>
              </w:tc>
              <w:tc>
                <w:tcPr>
                  <w:tcW w:w="2879" w:type="dxa"/>
                  <w:vAlign w:val="center"/>
                </w:tcPr>
                <w:p>
                  <w:pPr>
                    <w:pStyle w:val="28"/>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本项目位于临港片区，属于3049其他建筑材料制造，不属于禁止准入类和限制类</w:t>
                  </w:r>
                </w:p>
              </w:tc>
              <w:tc>
                <w:tcPr>
                  <w:tcW w:w="924" w:type="dxa"/>
                  <w:vAlign w:val="center"/>
                </w:tcPr>
                <w:p>
                  <w:pPr>
                    <w:pStyle w:val="28"/>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符合</w:t>
                  </w:r>
                </w:p>
              </w:tc>
            </w:tr>
          </w:tbl>
          <w:p>
            <w:pPr>
              <w:bidi w:val="0"/>
              <w:ind w:left="0" w:leftChars="0" w:firstLine="0" w:firstLineChars="0"/>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1.2 规划环境影响评价符合性分析</w:t>
            </w:r>
          </w:p>
          <w:p>
            <w:pPr>
              <w:bidi w:val="0"/>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Cs w:val="24"/>
                <w:vertAlign w:val="baseline"/>
                <w:lang w:val="en-US" w:eastAsia="zh-CN"/>
              </w:rPr>
              <w:t>本项目位于</w:t>
            </w:r>
            <w:r>
              <w:rPr>
                <w:rFonts w:hint="default" w:ascii="Times New Roman" w:hAnsi="Times New Roman" w:eastAsia="宋体" w:cs="Times New Roman"/>
                <w:color w:val="auto"/>
                <w:sz w:val="24"/>
                <w:szCs w:val="24"/>
                <w:vertAlign w:val="baseline"/>
                <w:lang w:val="en-US" w:eastAsia="zh-CN"/>
              </w:rPr>
              <w:t>岳阳市湘阴县湘杨路以西、远大路及湘杨路交汇处，属于湖南湘阴高新技术产业开发区范围内，本项目与《湘阴高新技术产业开发区调区扩区规划环境影响报告书》</w:t>
            </w:r>
            <w:r>
              <w:rPr>
                <w:rFonts w:hint="default" w:ascii="Times New Roman" w:hAnsi="Times New Roman" w:cs="Times New Roman"/>
                <w:color w:val="auto"/>
                <w:sz w:val="24"/>
                <w:szCs w:val="24"/>
                <w:vertAlign w:val="baseline"/>
                <w:lang w:val="en-US" w:eastAsia="zh-CN"/>
              </w:rPr>
              <w:t>（湘环评函[2022]65号）</w:t>
            </w:r>
            <w:r>
              <w:rPr>
                <w:rFonts w:hint="default" w:ascii="Times New Roman" w:hAnsi="Times New Roman" w:eastAsia="宋体" w:cs="Times New Roman"/>
                <w:color w:val="auto"/>
                <w:sz w:val="24"/>
                <w:szCs w:val="24"/>
                <w:vertAlign w:val="baseline"/>
                <w:lang w:val="en-US" w:eastAsia="zh-CN"/>
              </w:rPr>
              <w:t>相符性分析见下表1-2。</w:t>
            </w:r>
          </w:p>
          <w:p>
            <w:pPr>
              <w:pStyle w:val="32"/>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表1-2 项目与《湘阴高新技术产业开发区调区扩区规划环境影响报告书》相符性分析</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5"/>
              <w:gridCol w:w="3576"/>
              <w:gridCol w:w="2372"/>
              <w:gridCol w:w="7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5"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项目</w:t>
                  </w:r>
                </w:p>
              </w:tc>
              <w:tc>
                <w:tcPr>
                  <w:tcW w:w="3576"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规划环评内容</w:t>
                  </w:r>
                </w:p>
              </w:tc>
              <w:tc>
                <w:tcPr>
                  <w:tcW w:w="2372"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本项目情况</w:t>
                  </w:r>
                </w:p>
              </w:tc>
              <w:tc>
                <w:tcPr>
                  <w:tcW w:w="707"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5"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严格依规开发，优化空间功能布局</w:t>
                  </w:r>
                </w:p>
              </w:tc>
              <w:tc>
                <w:tcPr>
                  <w:tcW w:w="3576"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园区在进行国土空间规划和开发建设过程中应充分吸收规划环评对不同功能用地和不同工业用地类别的设置意见，从规划层面提升环境相容性，并严格按照经核准的园区规划范围开发建设，园区规划用地不得涉及各类法定保护地。湘阴县政府应确保落实湘阴政函[2022]108号承诺对湘阴县老工业区17家企业的搬迁和退出方案，切实推进企业入园发展，不得违反相关规定要求在园区外新增工业项目，新引进项目及园外企业搬迁入园过程中应着重从降低环境影响的角度出发合理选址布局，不得在一类工业地上布局与之功能定位不相符的工业项目。园区调扩区发展方向区涉及状元塔、左太傅祠省级文物保护范围与建设控制地带的地块，以及涉及湖南湘阴洋沙湖-东湖国家湿地公园的地块，建议不纳入园区的扩区规划范围</w:t>
                  </w:r>
                </w:p>
              </w:tc>
              <w:tc>
                <w:tcPr>
                  <w:tcW w:w="2372"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本项目位于湘阴高新技术产业开发区临港片区，用地属于二类用地，用地符合规划，项目评价范围不涉及状元塔、左太傅祠省级文物保护范围湖南湘阴洋沙湖-东湖国家湿地公园等，符合规划环评要求。</w:t>
                  </w:r>
                </w:p>
              </w:tc>
              <w:tc>
                <w:tcPr>
                  <w:tcW w:w="707"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5"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严格环境准入，优化园区产业结构</w:t>
                  </w:r>
                </w:p>
              </w:tc>
              <w:tc>
                <w:tcPr>
                  <w:tcW w:w="3576"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园区产业引进应严格遵循《长江保护法》《长江经济带发展负面清单》《湘江保护条例》《洞庭湖保护条例》等法律法规及相关政策的要求，落实园区“三线一单”环境准入要求，严格执行《报告书》提出的产业定位和生态环境准入清单。对于园区外已有企业或项目的搬迁入园应确保实现其清洁生产水平的提升与污染物排放总量的降低。临港片区严控以气型污染为主的企业入驻；金龙片区限制水型污染为主的企业入驻。</w:t>
                  </w:r>
                </w:p>
              </w:tc>
              <w:tc>
                <w:tcPr>
                  <w:tcW w:w="2372"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本项目位于临港片区，项目污染物主要为颗粒物以及天然气燃烧产生的二氧化硫、氮氧化物、颗粒物等。本项目所有产生颗粒物的环节均进行收集后通过除尘器处理后排放，根据分析，经过采取措施处理后，污染物能够达标排放，对周边环境影响较小。</w:t>
                  </w:r>
                </w:p>
              </w:tc>
              <w:tc>
                <w:tcPr>
                  <w:tcW w:w="707"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5" w:type="dxa"/>
                  <w:vAlign w:val="center"/>
                </w:tcPr>
                <w:p>
                  <w:pPr>
                    <w:pStyle w:val="31"/>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落实管控措施，加强园区排污管理</w:t>
                  </w:r>
                </w:p>
              </w:tc>
              <w:tc>
                <w:tcPr>
                  <w:tcW w:w="3576" w:type="dxa"/>
                  <w:vAlign w:val="center"/>
                </w:tcPr>
                <w:p>
                  <w:pPr>
                    <w:pStyle w:val="31"/>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完善污水管网建设，做好雨污分流，确保园区各片区生产生活废水应收尽收，集中排入污水处理厂，园区不得超过污水处理厂的处理能力和入河排污口设置审批所规定的废水排放量引进项目。金龙片区应按承诺时限要求完成湘阴县第三污水处理厂提标升级改造工作，其排放标准应按《湖南省城镇污水处理厂主要水污染物排放标准》（DB43/T 1546-2018）一级标准予以执行。园区应推广使用清洁能源，加强园区大气污染防治，采取有效措施减少污染物排放总量，严格控制无组织排放，加强对园区企业VOCs排放的治理。建立园区固废规范化管理体系，做好工业固体废物和生活垃圾的分类收集、转运、综合利用和无害化处理。对危险废物产生企业和经营单位，应强化日常环境监管。园区企业须严格落实排污许可制度和污染物排放总量控制，推动入园企业开展清洁生产审核。</w:t>
                  </w:r>
                </w:p>
              </w:tc>
              <w:tc>
                <w:tcPr>
                  <w:tcW w:w="2372" w:type="dxa"/>
                  <w:vAlign w:val="center"/>
                </w:tcPr>
                <w:p>
                  <w:pPr>
                    <w:pStyle w:val="31"/>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①本项目位于临港片区，厂区雨污分流，生活污水经化粪池处理后排入湘阴县污水处理厂，雨水排入市政管网。</w:t>
                  </w:r>
                </w:p>
                <w:p>
                  <w:pPr>
                    <w:pStyle w:val="31"/>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②项目烘干采用天然气，属于清洁能源。</w:t>
                  </w:r>
                </w:p>
                <w:p>
                  <w:pPr>
                    <w:pStyle w:val="31"/>
                    <w:bidi w:val="0"/>
                    <w:jc w:val="center"/>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lang w:val="en-US" w:eastAsia="zh-CN"/>
                    </w:rPr>
                    <w:t>③项目废气主要为</w:t>
                  </w:r>
                  <w:r>
                    <w:rPr>
                      <w:rFonts w:hint="default" w:ascii="Times New Roman" w:hAnsi="Times New Roman" w:cs="Times New Roman"/>
                      <w:color w:val="FF0000"/>
                      <w:sz w:val="21"/>
                      <w:szCs w:val="21"/>
                      <w:vertAlign w:val="baseline"/>
                      <w:lang w:val="en-US" w:eastAsia="zh-CN"/>
                    </w:rPr>
                    <w:t>原料堆场产生的扬尘以及生产过程产生的颗粒物，堆场采用雾化喷淋系统，定时洒水抑尘，生产过程产生的粉尘的部位采用微负压和集气罩收集，经布袋除尘器处理后能够达标排放。</w:t>
                  </w:r>
                </w:p>
                <w:p>
                  <w:pPr>
                    <w:pStyle w:val="31"/>
                    <w:bidi w:val="0"/>
                    <w:jc w:val="center"/>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③本项目一般固废回收综合利用，生活垃圾交由环卫部门处理</w:t>
                  </w:r>
                  <w:r>
                    <w:rPr>
                      <w:rFonts w:hint="default" w:ascii="Times New Roman" w:hAnsi="Times New Roman" w:cs="Times New Roman"/>
                      <w:color w:val="FF0000"/>
                      <w:sz w:val="21"/>
                      <w:szCs w:val="21"/>
                      <w:highlight w:val="none"/>
                      <w:vertAlign w:val="baseline"/>
                      <w:lang w:val="en-US" w:eastAsia="zh-CN"/>
                    </w:rPr>
                    <w:t>，废危险废物设置危险废</w:t>
                  </w:r>
                  <w:r>
                    <w:rPr>
                      <w:rFonts w:hint="default" w:ascii="Times New Roman" w:hAnsi="Times New Roman" w:cs="Times New Roman"/>
                      <w:color w:val="FF0000"/>
                      <w:sz w:val="21"/>
                      <w:szCs w:val="21"/>
                      <w:vertAlign w:val="baseline"/>
                      <w:lang w:val="en-US" w:eastAsia="zh-CN"/>
                    </w:rPr>
                    <w:t>物暂存间，交由有资质单位处理。</w:t>
                  </w:r>
                </w:p>
              </w:tc>
              <w:tc>
                <w:tcPr>
                  <w:tcW w:w="707"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5"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完善监测体系，监控环境质量变化状况</w:t>
                  </w:r>
                </w:p>
              </w:tc>
              <w:tc>
                <w:tcPr>
                  <w:tcW w:w="3576"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结合园区规划的功能分区、产业布局、重点企业分布、特征污染物的排放种类和状况、环境敏感目标分布等，建立健全环境空气、地表水、地下水、土壤等环境要素的监控体系。合理布局大气小微站，并涵盖相关特征污染物监测。</w:t>
                  </w:r>
                </w:p>
              </w:tc>
              <w:tc>
                <w:tcPr>
                  <w:tcW w:w="2372"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本项目位于临港片区，主要产品为干粉砂浆，属于建筑材料制造，满足规划的功能分区要求。</w:t>
                  </w:r>
                </w:p>
              </w:tc>
              <w:tc>
                <w:tcPr>
                  <w:tcW w:w="707"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5"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强化风险管控，严防园区环境事故</w:t>
                  </w:r>
                </w:p>
              </w:tc>
              <w:tc>
                <w:tcPr>
                  <w:tcW w:w="3576"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建立健全园区环境风险管理工作长效机制，开发区管理机构应建立环境监督管理机构；落实环境风险防控措施，及时完成园区环境应急预案的修订和备案工作及推动重点污染企业环境应急预案编制和备案工作，加强应急救援队伍、装备和设施建设，储备必要的应急物资，有计划地组织应急培训和演练，全面提升园区风险防控和事故应急处置能力。</w:t>
                  </w:r>
                </w:p>
              </w:tc>
              <w:tc>
                <w:tcPr>
                  <w:tcW w:w="2372"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本项目</w:t>
                  </w:r>
                  <w:r>
                    <w:rPr>
                      <w:rFonts w:hint="default" w:ascii="Times New Roman" w:hAnsi="Times New Roman" w:cs="Times New Roman"/>
                      <w:color w:val="FF0000"/>
                      <w:sz w:val="21"/>
                      <w:szCs w:val="21"/>
                      <w:vertAlign w:val="baseline"/>
                      <w:lang w:val="en-US" w:eastAsia="zh-CN"/>
                    </w:rPr>
                    <w:t>涉及的危险化学品主要为液压油、机油、柴油发电机备用的柴油以及危险废物等，储存量较小，环境风险等级为一般环境风险。项目建成后将完善环境风险管理，并编制突发环境事件应急预案，对周围环境影响较小。</w:t>
                  </w:r>
                </w:p>
              </w:tc>
              <w:tc>
                <w:tcPr>
                  <w:tcW w:w="707"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5"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做好周边控规，落实拆迁安置计划</w:t>
                  </w:r>
                </w:p>
              </w:tc>
              <w:tc>
                <w:tcPr>
                  <w:tcW w:w="3576"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严格做好控规，杜绝在规划的工业用地上新增环境敏感目标，确保园区开发过程中的居民拆迁安置到位，防止发生居民再次安置和次生环境问题。对于具体项目环评设置防护距离和拆迁要求的，要确保予以落实。</w:t>
                  </w:r>
                </w:p>
              </w:tc>
              <w:tc>
                <w:tcPr>
                  <w:tcW w:w="2372"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本项目不涉及居民拆迁，符合要求。</w:t>
                  </w:r>
                </w:p>
              </w:tc>
              <w:tc>
                <w:tcPr>
                  <w:tcW w:w="707"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5"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做好园区建设期生态保护和水土保持</w:t>
                  </w:r>
                </w:p>
              </w:tc>
              <w:tc>
                <w:tcPr>
                  <w:tcW w:w="3576"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施工期对于石方开挖、堆存及回填要实施围挡、护坡等措施，裸露地及时恢复植被，防止水土流失，杜绝后续施工建设对地表水体的污染。</w:t>
                  </w:r>
                </w:p>
              </w:tc>
              <w:tc>
                <w:tcPr>
                  <w:tcW w:w="2372"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本项目施工期场地设置围挡，加强施工期管理，避免雨季大面积开挖和回填，减少水土流失。</w:t>
                  </w:r>
                </w:p>
              </w:tc>
              <w:tc>
                <w:tcPr>
                  <w:tcW w:w="707" w:type="dxa"/>
                  <w:vAlign w:val="center"/>
                </w:tcPr>
                <w:p>
                  <w:pPr>
                    <w:pStyle w:val="28"/>
                    <w:bidi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符合</w:t>
                  </w:r>
                </w:p>
              </w:tc>
            </w:tr>
          </w:tbl>
          <w:p>
            <w:pPr>
              <w:bidi w:val="0"/>
              <w:rPr>
                <w:rFonts w:hint="default" w:ascii="Times New Roman" w:hAnsi="Times New Roman" w:eastAsia="宋体" w:cs="Times New Roman"/>
                <w:color w:val="auto"/>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3" w:hRule="atLeast"/>
        </w:trPr>
        <w:tc>
          <w:tcPr>
            <w:tcW w:w="1270"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4"/>
                <w:szCs w:val="24"/>
                <w:vertAlign w:val="baseline"/>
                <w:lang w:val="en-US" w:eastAsia="zh-CN"/>
              </w:rPr>
            </w:pPr>
            <w:r>
              <w:rPr>
                <w:rFonts w:hint="default" w:ascii="Times New Roman" w:hAnsi="Times New Roman" w:eastAsia="宋体" w:cs="Times New Roman"/>
                <w:color w:val="auto"/>
                <w:sz w:val="24"/>
                <w:szCs w:val="24"/>
                <w:vertAlign w:val="baseline"/>
                <w:lang w:val="en-US" w:eastAsia="zh-CN"/>
              </w:rPr>
              <w:t>其他符合性分析</w:t>
            </w:r>
          </w:p>
        </w:tc>
        <w:tc>
          <w:tcPr>
            <w:tcW w:w="8006" w:type="dxa"/>
            <w:gridSpan w:val="3"/>
            <w:vAlign w:val="center"/>
          </w:tcPr>
          <w:p>
            <w:pPr>
              <w:keepNext w:val="0"/>
              <w:keepLines w:val="0"/>
              <w:pageBreakBefore w:val="0"/>
              <w:widowControl w:val="0"/>
              <w:numPr>
                <w:ilvl w:val="0"/>
                <w:numId w:val="0"/>
              </w:numPr>
              <w:kinsoku/>
              <w:wordWrap/>
              <w:overflowPunct/>
              <w:topLinePunct w:val="0"/>
              <w:autoSpaceDE/>
              <w:autoSpaceDN/>
              <w:bidi w:val="0"/>
              <w:adjustRightInd/>
              <w:snapToGrid/>
              <w:ind w:firstLine="0" w:firstLineChars="0"/>
              <w:jc w:val="both"/>
              <w:textAlignment w:val="auto"/>
              <w:rPr>
                <w:rFonts w:hint="default" w:ascii="Times New Roman" w:hAnsi="Times New Roman" w:cs="Times New Roman"/>
                <w:color w:val="auto"/>
                <w:lang w:val="en-US" w:eastAsia="zh-CN"/>
              </w:rPr>
            </w:pPr>
            <w:r>
              <w:rPr>
                <w:rFonts w:hint="default" w:ascii="Times New Roman" w:hAnsi="Times New Roman" w:eastAsia="黑体" w:cs="Times New Roman"/>
                <w:color w:val="auto"/>
                <w:lang w:val="en-US" w:eastAsia="zh-CN"/>
              </w:rPr>
              <w:t>1.3 产业政策符合性分析</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sz w:val="24"/>
                <w:szCs w:val="24"/>
                <w:vertAlign w:val="baseline"/>
                <w:lang w:val="en-US" w:eastAsia="zh-CN"/>
              </w:rPr>
              <w:t>本项目产品为干粉砂浆，属于</w:t>
            </w:r>
            <w:r>
              <w:rPr>
                <w:rFonts w:hint="default" w:ascii="Times New Roman" w:hAnsi="Times New Roman" w:cs="Times New Roman"/>
                <w:color w:val="auto"/>
                <w:lang w:val="en-US" w:eastAsia="zh-CN"/>
              </w:rPr>
              <w:t>其他建筑材料制造</w:t>
            </w:r>
            <w:r>
              <w:rPr>
                <w:rFonts w:hint="default" w:ascii="Times New Roman" w:hAnsi="Times New Roman" w:cs="Times New Roman"/>
                <w:color w:val="auto"/>
                <w:sz w:val="24"/>
                <w:szCs w:val="24"/>
                <w:vertAlign w:val="baseline"/>
                <w:lang w:val="en-US" w:eastAsia="zh-CN"/>
              </w:rPr>
              <w:t>，</w:t>
            </w:r>
            <w:r>
              <w:rPr>
                <w:rFonts w:hint="default" w:ascii="Times New Roman" w:hAnsi="Times New Roman" w:cs="Times New Roman"/>
                <w:color w:val="auto"/>
                <w:lang w:val="en-US" w:eastAsia="zh-CN"/>
              </w:rPr>
              <w:t>根据中华人民共和国国家发展和改革委员会令（第29号）《产业结构调整指导目录（2019年本）》，本项目不属于鼓励类、限制类、淘汰类，可视为允许类建设项目，项目工艺装备和产品不属于《部分工业行业淘汰落后生产工艺装备和产品指导目录（2010年本）》所列类别，并且本项目已经取得湘阴县发展和改革局备案，因此，建设项目符合当前国家和地方的产业政策。</w:t>
            </w: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黑体" w:cs="Times New Roman"/>
                <w:color w:val="auto"/>
                <w:lang w:val="en-US" w:eastAsia="zh-CN"/>
              </w:rPr>
            </w:pPr>
            <w:r>
              <w:rPr>
                <w:rFonts w:hint="default" w:ascii="Times New Roman" w:hAnsi="Times New Roman" w:eastAsia="黑体" w:cs="Times New Roman"/>
                <w:color w:val="auto"/>
                <w:lang w:val="en-US" w:eastAsia="zh-CN"/>
              </w:rPr>
              <w:t>1.4 “三线一单”符合性分析</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w:t>
            </w:r>
            <w:r>
              <w:rPr>
                <w:rFonts w:hint="default" w:ascii="Times New Roman" w:hAnsi="Times New Roman" w:eastAsia="宋体" w:cs="Times New Roman"/>
                <w:color w:val="auto"/>
                <w:lang w:val="en-US" w:eastAsia="zh-CN"/>
              </w:rPr>
              <w:t>生态保护红线</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根据《生态保护红线划定指南（环办生态〔2017〕48号）》，2018年7月26日，湖南省生态环境厅（原湖南省环保厅）印发了《湖南省生态保护红线》。全省生态保护红线空间格局为“一湖三山四水”：“一湖”为洞庭湖（主要包括东洞庭湖、南洞庭湖、横岭湖、西洞庭湖等自然保护区和长江岸线），“三山”为武陵-雪峰山脉、罗霄-幕阜山脉、南岭山脉，“四水”为湘资沅澧（湘江、资水、沅江、澧水）的源头区及重要水域。    </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根据岳阳市生态红线图，本项目不在岳阳市生态保护红线范围内。</w:t>
            </w:r>
          </w:p>
          <w:p>
            <w:pPr>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2、</w:t>
            </w:r>
            <w:r>
              <w:rPr>
                <w:rFonts w:hint="default" w:ascii="Times New Roman" w:hAnsi="Times New Roman" w:eastAsia="宋体" w:cs="Times New Roman"/>
                <w:color w:val="auto"/>
                <w:lang w:val="en-US" w:eastAsia="zh-CN"/>
              </w:rPr>
              <w:t>环境质量底线</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本次环评以资料收集的方式，对项目所在区域的环境质量现状进行评价。</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根据岳阳市生态环境局湘阴分局发布的2021年1-12月常规监测数据可知，湘阴县SO</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、NO</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、PM</w:t>
            </w:r>
            <w:r>
              <w:rPr>
                <w:rFonts w:hint="default" w:ascii="Times New Roman" w:hAnsi="Times New Roman" w:cs="Times New Roman"/>
                <w:color w:val="auto"/>
                <w:vertAlign w:val="subscript"/>
                <w:lang w:val="en-US" w:eastAsia="zh-CN"/>
              </w:rPr>
              <w:t>10</w:t>
            </w:r>
            <w:r>
              <w:rPr>
                <w:rFonts w:hint="default" w:ascii="Times New Roman" w:hAnsi="Times New Roman" w:cs="Times New Roman"/>
                <w:color w:val="auto"/>
                <w:lang w:val="en-US" w:eastAsia="zh-CN"/>
              </w:rPr>
              <w:t>、PM</w:t>
            </w:r>
            <w:r>
              <w:rPr>
                <w:rFonts w:hint="default" w:ascii="Times New Roman" w:hAnsi="Times New Roman" w:cs="Times New Roman"/>
                <w:color w:val="auto"/>
                <w:vertAlign w:val="subscript"/>
                <w:lang w:val="en-US" w:eastAsia="zh-CN"/>
              </w:rPr>
              <w:t>2.5</w:t>
            </w:r>
            <w:r>
              <w:rPr>
                <w:rFonts w:hint="default" w:ascii="Times New Roman" w:hAnsi="Times New Roman" w:cs="Times New Roman"/>
                <w:color w:val="auto"/>
                <w:lang w:val="en-US" w:eastAsia="zh-CN"/>
              </w:rPr>
              <w:t>年平均质量浓度和CO第95百分位数日平均质量浓度、O</w:t>
            </w:r>
            <w:r>
              <w:rPr>
                <w:rFonts w:hint="default" w:ascii="Times New Roman" w:hAnsi="Times New Roman" w:cs="Times New Roman"/>
                <w:color w:val="auto"/>
                <w:vertAlign w:val="subscript"/>
                <w:lang w:val="en-US" w:eastAsia="zh-CN"/>
              </w:rPr>
              <w:t>3</w:t>
            </w:r>
            <w:r>
              <w:rPr>
                <w:rFonts w:hint="default" w:ascii="Times New Roman" w:hAnsi="Times New Roman" w:cs="Times New Roman"/>
                <w:color w:val="auto"/>
                <w:lang w:val="en-US" w:eastAsia="zh-CN"/>
              </w:rPr>
              <w:t>第90百分位数最大8小时平均质量浓度均可达到《环境空气质量标准》（GB3095-2012）中二级标准，项目所在区域为环境空气质量达标区。本项目废气主要为生产过程中产生粉尘，采用布袋除尘器进行处理达标后排放，堆场采用雾化喷淋装置定时喷淋降尘，项目在采取措施情况下，对项目所在区域环境空气质量影响较小。</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对地表水环境的质量调查，本次评价引用了2020年1月~12月乌龙嘴断面的监测数据。根据监测结果可知乌龙嘴断面的水质监测因子监测值均达到《地表水环境质量标准》（GB3838-2002）中的Ш类标准要求。本项目运营期产生的生活污水经化粪池处理后排入湘阴县第一污水处理厂进一步处理，处理达标的废水经排入白水江最后进入湘江，不会导致当地区域地表水环境质量下降，污染物排放不会对区域环境质量底线造成冲击。</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因此，本项目的建设符合环境质量底线要求。</w:t>
            </w:r>
          </w:p>
          <w:p>
            <w:pPr>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w:t>
            </w:r>
            <w:r>
              <w:rPr>
                <w:rFonts w:hint="default" w:ascii="Times New Roman" w:hAnsi="Times New Roman" w:eastAsia="宋体" w:cs="Times New Roman"/>
                <w:color w:val="auto"/>
                <w:lang w:val="en-US" w:eastAsia="zh-CN"/>
              </w:rPr>
              <w:t>资源利用上线</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位于湘阴县城北部，厂区东侧为湘江，沿湘江流域有丰富的河砂和鹅卵石资源，厂区南侧为建华管桩码头，主要运输产品为砂石料，本项目可依托该码头运输原材料。开采的砂石料可直接通过湘江船运至厂区，可很大程度减少原料运输成本和原材料运输造成的环境污染。</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根据《湖南省湘阴县鹤龙湖等6处内河（湖）采砂规划（2019~2022年）》：湘阴县规划可采区6个，鹤龙湖、义合垸湾河、岭北垸夹河、南湖哑河、湘滨王家河和阳雀湖各规划可采区1个，总可采区面积7.17km</w:t>
            </w:r>
            <w:r>
              <w:rPr>
                <w:rFonts w:hint="default" w:ascii="Times New Roman" w:hAnsi="Times New Roman" w:cs="Times New Roman"/>
                <w:color w:val="auto"/>
                <w:vertAlign w:val="superscript"/>
                <w:lang w:val="en-US" w:eastAsia="zh-CN"/>
              </w:rPr>
              <w:t>2</w:t>
            </w:r>
            <w:r>
              <w:rPr>
                <w:rFonts w:hint="default" w:ascii="Times New Roman" w:hAnsi="Times New Roman" w:cs="Times New Roman"/>
                <w:color w:val="auto"/>
                <w:lang w:val="en-US" w:eastAsia="zh-CN"/>
              </w:rPr>
              <w:t>，可采储量19535万吨，规划年度采砂总量控制在2000万吨，规划期控制总量8000万吨。由此可见，本项目原料除来源于湘江流域外，还可来源于湘阴县规划采区。</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本项目原料机制砂设计生产规模为80万吨，原料使用量为55万吨，项目原材料占湘阴县采砂总量的比例较小，项目不会突破资料利用上线。</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w:t>
            </w:r>
            <w:r>
              <w:rPr>
                <w:rFonts w:hint="default" w:ascii="Times New Roman" w:hAnsi="Times New Roman" w:eastAsia="宋体" w:cs="Times New Roman"/>
                <w:color w:val="auto"/>
                <w:lang w:val="en-US" w:eastAsia="zh-CN"/>
              </w:rPr>
              <w:t>环境准入负面清单</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为建筑材料制造建设项目，符合国家产业政策，项目位于湘阴高新技术产业开发区规范范围内，不涉及环境敏感区，无明显的环境制约因素，不在《湖南省国家重点生态功能区产业准入负面清单（试行）》（2016年）及《湖南省新增19个国家重点生态功能区产业准入负面清单（试行）》（2018年）里。</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综上所述，项目建设符合“三线一单”的相关要求。</w:t>
            </w: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color w:val="FF0000"/>
                <w:lang w:val="en-US" w:eastAsia="zh-CN"/>
              </w:rPr>
            </w:pPr>
            <w:r>
              <w:rPr>
                <w:rFonts w:hint="default" w:ascii="Times New Roman" w:hAnsi="Times New Roman" w:eastAsia="黑体" w:cs="Times New Roman"/>
                <w:color w:val="auto"/>
                <w:lang w:val="en-US" w:eastAsia="zh-CN"/>
              </w:rPr>
              <w:t xml:space="preserve">1.5 </w:t>
            </w:r>
            <w:r>
              <w:rPr>
                <w:rFonts w:hint="default" w:ascii="Times New Roman" w:hAnsi="Times New Roman" w:eastAsia="黑体" w:cs="Times New Roman"/>
                <w:color w:val="FF0000"/>
                <w:lang w:val="en-US" w:eastAsia="zh-CN"/>
              </w:rPr>
              <w:t>项目建设与《湖南省“三线一单”生态环境总体管控要求暨省级以上产业园区生态环境准入清单》的相符性分析</w:t>
            </w:r>
          </w:p>
          <w:p>
            <w:pPr>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本项目位于</w:t>
            </w:r>
            <w:r>
              <w:rPr>
                <w:rFonts w:hint="default" w:ascii="Times New Roman" w:hAnsi="Times New Roman" w:eastAsia="宋体" w:cs="Times New Roman"/>
                <w:color w:val="FF0000"/>
                <w:sz w:val="24"/>
                <w:szCs w:val="24"/>
                <w:vertAlign w:val="baseline"/>
                <w:lang w:val="en-US" w:eastAsia="zh-CN"/>
              </w:rPr>
              <w:t>湖南省岳阳市湘阴县湘杨路以西、远大路及湘杨路交汇处</w:t>
            </w:r>
            <w:r>
              <w:rPr>
                <w:rFonts w:hint="default" w:ascii="Times New Roman" w:hAnsi="Times New Roman" w:cs="Times New Roman"/>
                <w:color w:val="FF0000"/>
                <w:lang w:val="en-US" w:eastAsia="zh-CN"/>
              </w:rPr>
              <w:t>，属于</w:t>
            </w:r>
            <w:r>
              <w:rPr>
                <w:rFonts w:hint="default" w:ascii="Times New Roman" w:hAnsi="Times New Roman" w:eastAsia="宋体" w:cs="Times New Roman"/>
                <w:color w:val="FF0000"/>
                <w:sz w:val="24"/>
                <w:szCs w:val="24"/>
                <w:vertAlign w:val="baseline"/>
                <w:lang w:val="en-US" w:eastAsia="zh-CN"/>
              </w:rPr>
              <w:t>湖南湘阴高新技术产业开发区范围内</w:t>
            </w:r>
            <w:r>
              <w:rPr>
                <w:rFonts w:hint="default" w:ascii="Times New Roman" w:hAnsi="Times New Roman" w:cs="Times New Roman"/>
                <w:color w:val="FF0000"/>
                <w:sz w:val="24"/>
                <w:szCs w:val="24"/>
                <w:vertAlign w:val="baseline"/>
                <w:lang w:val="en-US" w:eastAsia="zh-CN"/>
              </w:rPr>
              <w:t>，</w:t>
            </w:r>
            <w:r>
              <w:rPr>
                <w:rFonts w:hint="default" w:ascii="Times New Roman" w:hAnsi="Times New Roman" w:cs="Times New Roman"/>
                <w:color w:val="FF0000"/>
                <w:lang w:val="en-US" w:eastAsia="zh-CN"/>
              </w:rPr>
              <w:t>根据《湖南省“三线一单”生态环境总体管控要求暨省级以上产业园区生态环境准入清单》可知，项目所在地管控单元类型属于重点管控单元，编号为ZH43062420002，具体分析如下。</w:t>
            </w:r>
          </w:p>
          <w:p>
            <w:pPr>
              <w:bidi w:val="0"/>
              <w:ind w:left="0" w:leftChars="0" w:firstLine="0" w:firstLineChars="0"/>
              <w:jc w:val="center"/>
              <w:rPr>
                <w:rFonts w:hint="default" w:ascii="Times New Roman" w:hAnsi="Times New Roman" w:cs="Times New Roman"/>
                <w:color w:val="FF0000"/>
                <w:vertAlign w:val="baseline"/>
                <w:lang w:val="en-US" w:eastAsia="zh-CN"/>
              </w:rPr>
            </w:pPr>
            <w:r>
              <w:rPr>
                <w:rFonts w:hint="default" w:ascii="Times New Roman" w:hAnsi="Times New Roman" w:cs="Times New Roman"/>
                <w:color w:val="FF0000"/>
                <w:lang w:val="en-US" w:eastAsia="zh-CN"/>
              </w:rPr>
              <w:t>表1-3 项目与《湖南省“三线一单”生态环境总体管控要求暨省级以上产业园区生态环境准入清单》相符性分析</w:t>
            </w:r>
          </w:p>
          <w:tbl>
            <w:tblPr>
              <w:tblStyle w:val="22"/>
              <w:tblW w:w="780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7"/>
              <w:gridCol w:w="4072"/>
              <w:gridCol w:w="2423"/>
              <w:gridCol w:w="7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管控维度</w:t>
                  </w:r>
                </w:p>
              </w:tc>
              <w:tc>
                <w:tcPr>
                  <w:tcW w:w="407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管控要求（一般管控单元）</w:t>
                  </w:r>
                </w:p>
              </w:tc>
              <w:tc>
                <w:tcPr>
                  <w:tcW w:w="242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项目建设情况</w:t>
                  </w:r>
                </w:p>
              </w:tc>
              <w:tc>
                <w:tcPr>
                  <w:tcW w:w="75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54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空间布局约束</w:t>
                  </w:r>
                </w:p>
              </w:tc>
              <w:tc>
                <w:tcPr>
                  <w:tcW w:w="407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 xml:space="preserve">（1.1）严格限制三类工业入驻，禁止大型喷涂、涉及酸雾排放等气型污染严重企业入驻。禁止外排水污染物涉及重金属的项目入驻。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 xml:space="preserve">（1.2）将开发区西面临洋沙湖－东湖湿地公园一侧一定范围内的三类、二类工业用地调整为一类工业用地，将涉及气型污染物无组织排放的企业、车间尽量远离湿地公园布置；禁止引进对洋沙湖—东湖国家湿地公园产生不利影响的企业。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（1.3）靠近交通干线两侧一定范围不得新建对噪声敏感的建筑物，居民安置区与工业用地之间设置一定宽度的防护距离，防止功能干扰。</w:t>
                  </w:r>
                </w:p>
              </w:tc>
              <w:tc>
                <w:tcPr>
                  <w:tcW w:w="242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本项目属于二类工业，污染物主要为颗粒物，无生产性废水产生。项目位于临港片区，距离沙湖—东湖国家湿地公园较远，满足要求。</w:t>
                  </w:r>
                </w:p>
              </w:tc>
              <w:tc>
                <w:tcPr>
                  <w:tcW w:w="75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污染物排放管控</w:t>
                  </w:r>
                </w:p>
              </w:tc>
              <w:tc>
                <w:tcPr>
                  <w:tcW w:w="407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 xml:space="preserve">（2.1）废水：开发区排水实施雨污分流，开发区污水经管网收集统一进入湘阴县第二污水处理厂处理后，通过专修排水管道直接排入湘江，严禁排入白水江。开发区雨水经雨水管网排入洋沙湖。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 xml:space="preserve">（2.2）废气：对各企业工艺废气产出的生产节点，须配置废气收集与处理净化装置，确保达标排放；加强生产工艺研究与技术改进，采取有效措施，减少入园企业工艺废气的无组织排放。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（2.3）开发区内相关行业及锅炉废气污染物排放满足《湖南省生态环境厅关于执行污染物特别排放限值（第一批）的公告》中的要求。</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2.4）固体废弃物：做好园区工业固体废物和生活垃圾的分类收集、转运，综合利用和无害化处理，建立统一的固废收集、贮存、运输、综合利用和安全处置的运营管理体系。推行清洁生产，减少固体废物产生量；加强固体废物的资源化进程，提高综合利用率；规范固体废物处理措施，对工业企业产生的固体废物特别是危险废物应按国家有关规定综合利用或妥善处置，严防二次污染。</w:t>
                  </w:r>
                </w:p>
              </w:tc>
              <w:tc>
                <w:tcPr>
                  <w:tcW w:w="242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①本项目雨污分流，无生产性废水产生，生活污水经化粪池收集后排入市政管网后进入湘阴县第一污水处理厂。雨水经初期雨水池收集沉淀后回用，后期雨水通过管网排入湘江。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②项目废气主要为原料堆场产生的扬尘以及生产过程产生的颗粒物，堆场采用雾化喷淋系统，定时洒水抑尘，生产过程产生的粉尘的环节设置集气罩，采用微负压收集，经脉冲布袋除尘器处理后排放。</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color w:val="FF0000"/>
                      <w:sz w:val="21"/>
                      <w:szCs w:val="21"/>
                      <w:highlight w:val="none"/>
                      <w:vertAlign w:val="baseline"/>
                      <w:lang w:val="en-US" w:eastAsia="zh-CN"/>
                    </w:rPr>
                  </w:pPr>
                  <w:r>
                    <w:rPr>
                      <w:rFonts w:hint="default" w:ascii="Times New Roman" w:hAnsi="Times New Roman" w:cs="Times New Roman"/>
                      <w:color w:val="FF0000"/>
                      <w:sz w:val="21"/>
                      <w:szCs w:val="21"/>
                      <w:vertAlign w:val="baseline"/>
                      <w:lang w:val="en-US" w:eastAsia="zh-CN"/>
                    </w:rPr>
                    <w:t>③</w:t>
                  </w:r>
                  <w:r>
                    <w:rPr>
                      <w:rFonts w:hint="default" w:ascii="Times New Roman" w:hAnsi="Times New Roman" w:cs="Times New Roman"/>
                      <w:color w:val="FF0000"/>
                      <w:sz w:val="21"/>
                      <w:szCs w:val="21"/>
                      <w:highlight w:val="none"/>
                      <w:vertAlign w:val="baseline"/>
                      <w:lang w:val="en-US" w:eastAsia="zh-CN"/>
                    </w:rPr>
                    <w:t>本项目不设置锅炉，烘干过程采用天然气。烘干废气属于加热炉，根据《湖南省工业炉窑大气污染综合治理实施方案》湘环发〔2020〕6号规定的“暂未执行行业标准的工业炉窑，按照颗粒物、二氧化硫、氮氧化物排放限值不高于30/200/300毫克/立方米”。</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highlight w:val="none"/>
                      <w:vertAlign w:val="baseline"/>
                      <w:lang w:val="en-US" w:eastAsia="zh-CN"/>
                    </w:rPr>
                    <w:t>④项目一般固废回收综合利用，生活垃圾交由环卫部门处理，危险废物设置危险废物暂存间，交由有资质单位处理。</w:t>
                  </w:r>
                </w:p>
              </w:tc>
              <w:tc>
                <w:tcPr>
                  <w:tcW w:w="75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54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环境风险管控</w:t>
                  </w:r>
                </w:p>
              </w:tc>
              <w:tc>
                <w:tcPr>
                  <w:tcW w:w="407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 xml:space="preserve">（3.1）园区应建立健全环境风险防控体系，严格落实《湖南湘阴工业园区突发环境事件应急预案》中相关要求，严防突发环境事件 发生，提高应急处置能力。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 xml:space="preserve">（3.2）园区可能发生突发环境事件的污染物排放企业，生产、储存、运输、使用危险化学品的企业，产生、收集、贮存、运输、利用、处置危险废物的企业应当编制和实施环境应急预案；鼓励其他企业制定单独的环境应急预案，或在突发事件应急预案中制定环境应急预案专章，并备案。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 xml:space="preserve">（3.3）建设用地土壤风险防控：对拟收回土地使用权的相关行业企业用地，以及用途拟变更为居住和商业、学校、医疗、养老机构等公共设施的企业用地开展土壤环境状况调查评估。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（3.4）农用地土壤风险防控：拟开发为农用地的，地方人民政府组织开展土壤环境质量状况评估；不符合相应标准的，不得种植食用农产品。</w:t>
                  </w:r>
                </w:p>
              </w:tc>
              <w:tc>
                <w:tcPr>
                  <w:tcW w:w="242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本项目涉及的危险化学品主要为液压油、机油以及柴油发电机备用的柴油等，设置单独的仓库进行存放，危险废物设置危险废物间暂存，涉及危险化学品的仓库和危废暂存间设置在辅助用房内，进行防腐防渗处理，不会对土壤和地下水造成污染。项目投产前按要求编制环境应急预案，满足要求。</w:t>
                  </w:r>
                </w:p>
              </w:tc>
              <w:tc>
                <w:tcPr>
                  <w:tcW w:w="75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资源开发效率要求</w:t>
                  </w:r>
                </w:p>
              </w:tc>
              <w:tc>
                <w:tcPr>
                  <w:tcW w:w="407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 xml:space="preserve">（4.1）能源：积极推广清洁能源，在天然气接入园区后，应禁止新上燃煤设施并对现有燃煤锅炉进行清洁能源替代改造。开发区目前主要能源为电、天然气、生物质能源。园区应按“湖南省工程建设项目审批制度改革工作领导小组办公室关于印发《工程建设项目区域评估工作实施方案》的通知”，尽快开展节能评估工作。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 xml:space="preserve">（4.2）水资源：加强工业节水，重点开展相关工业行业节水技术改造，逐步淘汰高耗水的落后产能，积极推广工业水循环利用，支持引导企业开展水平衡测试，继续推进节水型企业、节水型工业园区建设。2020 年，湘阴县万元国内生产总值用水量 75 立方米/万元，万元工业增加值用水量 28 立方米/万元。 </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4.3）土地资源：以国家产业发展政策为导向，合理制定区域产业用地政策，优先保障主导产业发展用地，严禁向禁止类工业项目供地，严格控制限制类工业项目用地，重点支持发展与区域资源环境条件相适应的产业。食品加工、建筑建材、装备制造、新材料、轻工产品制造土地投资强度拟定标准分别为 190 万元/亩、250 万元/亩、250 万元/亩、230 万元/亩、210 万元/亩。</w:t>
                  </w:r>
                </w:p>
              </w:tc>
              <w:tc>
                <w:tcPr>
                  <w:tcW w:w="242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①本项目烘干采用天然气，属于清洁能源。</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②本项目不涉及生产性用水，主要为生活污水，生产用水较少。</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④根据企业提供资料，项目建成后工业增加值为10亿元，项目占地104.99亩，投资强度为952.47万元/亩，满足规定的250万元/亩。</w:t>
                  </w:r>
                </w:p>
              </w:tc>
              <w:tc>
                <w:tcPr>
                  <w:tcW w:w="75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符合</w:t>
                  </w:r>
                </w:p>
              </w:tc>
            </w:tr>
          </w:tbl>
          <w:p>
            <w:pPr>
              <w:pStyle w:val="2"/>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综上所述，项目建设与《湖南省“三线一单”生态环境总体管控要求暨省级以上产业园区生态环境准入清单》相符。</w:t>
            </w:r>
          </w:p>
          <w:p>
            <w:pPr>
              <w:bidi w:val="0"/>
              <w:ind w:left="0" w:leftChars="0" w:firstLine="0" w:firstLineChars="0"/>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1.6 项目与《湖南省砂石骨料行业规范条件》相符性分析</w:t>
            </w:r>
          </w:p>
          <w:p>
            <w:pPr>
              <w:pStyle w:val="32"/>
              <w:bidi w:val="0"/>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表1- 4 《湖南省砂石骨料行业规范条件》相符性分析</w:t>
            </w:r>
          </w:p>
          <w:tbl>
            <w:tblPr>
              <w:tblStyle w:val="22"/>
              <w:tblW w:w="78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5"/>
              <w:gridCol w:w="3479"/>
              <w:gridCol w:w="2734"/>
              <w:gridCol w:w="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765" w:type="dxa"/>
                  <w:noWrap w:val="0"/>
                  <w:vAlign w:val="center"/>
                </w:tcPr>
                <w:p>
                  <w:pPr>
                    <w:pStyle w:val="33"/>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项目</w:t>
                  </w:r>
                </w:p>
              </w:tc>
              <w:tc>
                <w:tcPr>
                  <w:tcW w:w="3479" w:type="dxa"/>
                  <w:noWrap w:val="0"/>
                  <w:vAlign w:val="center"/>
                </w:tcPr>
                <w:p>
                  <w:pPr>
                    <w:pStyle w:val="33"/>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内容</w:t>
                  </w:r>
                </w:p>
              </w:tc>
              <w:tc>
                <w:tcPr>
                  <w:tcW w:w="2734" w:type="dxa"/>
                  <w:noWrap w:val="0"/>
                  <w:vAlign w:val="center"/>
                </w:tcPr>
                <w:p>
                  <w:pPr>
                    <w:pStyle w:val="33"/>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本项目情况</w:t>
                  </w:r>
                </w:p>
              </w:tc>
              <w:tc>
                <w:tcPr>
                  <w:tcW w:w="900" w:type="dxa"/>
                  <w:noWrap w:val="0"/>
                  <w:vAlign w:val="center"/>
                </w:tcPr>
                <w:p>
                  <w:pPr>
                    <w:pStyle w:val="33"/>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8" w:hRule="atLeast"/>
              </w:trPr>
              <w:tc>
                <w:tcPr>
                  <w:tcW w:w="765" w:type="dxa"/>
                  <w:vMerge w:val="restart"/>
                  <w:noWrap w:val="0"/>
                  <w:vAlign w:val="center"/>
                </w:tcPr>
                <w:p>
                  <w:pPr>
                    <w:pStyle w:val="33"/>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规划布局和建设要求</w:t>
                  </w:r>
                </w:p>
              </w:tc>
              <w:tc>
                <w:tcPr>
                  <w:tcW w:w="3479" w:type="dxa"/>
                  <w:noWrap w:val="0"/>
                  <w:vAlign w:val="center"/>
                </w:tcPr>
                <w:p>
                  <w:pPr>
                    <w:pStyle w:val="33"/>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新建、改扩建机制砂石骨料项目应符合国家产业政策和当地产业、矿产资源及土地利用总体规划等要求，统筹资源、环境、物流和市场等因素合理布局，推动产业规模化、集约化、基地化发展</w:t>
                  </w:r>
                </w:p>
              </w:tc>
              <w:tc>
                <w:tcPr>
                  <w:tcW w:w="2734" w:type="dxa"/>
                  <w:noWrap w:val="0"/>
                  <w:vAlign w:val="center"/>
                </w:tcPr>
                <w:p>
                  <w:pPr>
                    <w:pStyle w:val="33"/>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本项目产品为干粉砂浆，属于其他建筑材料，符合国家产业政策，项目位于湘阴县高新技术产业开发区临港片区，为工业用地，符合土地利用规划，项目已取得立项批复，符合当地政策和要求。</w:t>
                  </w:r>
                </w:p>
              </w:tc>
              <w:tc>
                <w:tcPr>
                  <w:tcW w:w="900" w:type="dxa"/>
                  <w:noWrap w:val="0"/>
                  <w:vAlign w:val="center"/>
                </w:tcPr>
                <w:p>
                  <w:pPr>
                    <w:pStyle w:val="33"/>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6" w:hRule="atLeast"/>
              </w:trPr>
              <w:tc>
                <w:tcPr>
                  <w:tcW w:w="765" w:type="dxa"/>
                  <w:vMerge w:val="continue"/>
                  <w:noWrap w:val="0"/>
                  <w:vAlign w:val="center"/>
                </w:tcPr>
                <w:p>
                  <w:pPr>
                    <w:pStyle w:val="33"/>
                    <w:bidi w:val="0"/>
                    <w:jc w:val="center"/>
                    <w:rPr>
                      <w:rFonts w:hint="default" w:ascii="Times New Roman" w:hAnsi="Times New Roman" w:cs="Times New Roman"/>
                      <w:color w:val="FF0000"/>
                      <w:u w:val="single"/>
                      <w:lang w:val="en-US" w:eastAsia="zh-CN"/>
                    </w:rPr>
                  </w:pPr>
                </w:p>
              </w:tc>
              <w:tc>
                <w:tcPr>
                  <w:tcW w:w="3479" w:type="dxa"/>
                  <w:noWrap w:val="0"/>
                  <w:vAlign w:val="center"/>
                </w:tcPr>
                <w:p>
                  <w:pPr>
                    <w:pStyle w:val="33"/>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rPr>
                    <w:t>机制砂石骨料矿山企业须取得矿山资源储量报告、矿产开发利用方案、采矿许可证、矿山地质环境综合防治方案、水土保持方案、环境影响评价报告、安全生产许可证和安全预评价报告等</w:t>
                  </w:r>
                  <w:bookmarkStart w:id="8" w:name="OLE_LINK4"/>
                  <w:bookmarkStart w:id="9" w:name="OLE_LINK6"/>
                  <w:bookmarkStart w:id="10" w:name="OLE_LINK5"/>
                  <w:r>
                    <w:rPr>
                      <w:rFonts w:hint="default" w:ascii="Times New Roman" w:hAnsi="Times New Roman" w:cs="Times New Roman"/>
                      <w:color w:val="FF0000"/>
                      <w:u w:val="single"/>
                    </w:rPr>
                    <w:t>相关证照或审批文件</w:t>
                  </w:r>
                  <w:bookmarkEnd w:id="8"/>
                  <w:bookmarkEnd w:id="9"/>
                  <w:bookmarkEnd w:id="10"/>
                  <w:r>
                    <w:rPr>
                      <w:rFonts w:hint="default" w:ascii="Times New Roman" w:hAnsi="Times New Roman" w:cs="Times New Roman"/>
                      <w:color w:val="FF0000"/>
                      <w:u w:val="single"/>
                    </w:rPr>
                    <w:t>。天然砂石骨料企业还须取得河道采砂许可证等审批文件</w:t>
                  </w:r>
                </w:p>
              </w:tc>
              <w:tc>
                <w:tcPr>
                  <w:tcW w:w="2734" w:type="dxa"/>
                  <w:noWrap w:val="0"/>
                  <w:vAlign w:val="center"/>
                </w:tcPr>
                <w:p>
                  <w:pPr>
                    <w:pStyle w:val="33"/>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本项目不属于采砂，原料均为外购，来源于湘阴合法的砂石料企业，满足要求。</w:t>
                  </w:r>
                </w:p>
              </w:tc>
              <w:tc>
                <w:tcPr>
                  <w:tcW w:w="900" w:type="dxa"/>
                  <w:noWrap w:val="0"/>
                  <w:vAlign w:val="center"/>
                </w:tcPr>
                <w:p>
                  <w:pPr>
                    <w:pStyle w:val="33"/>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0" w:hRule="atLeast"/>
              </w:trPr>
              <w:tc>
                <w:tcPr>
                  <w:tcW w:w="765" w:type="dxa"/>
                  <w:vMerge w:val="continue"/>
                  <w:noWrap w:val="0"/>
                  <w:vAlign w:val="center"/>
                </w:tcPr>
                <w:p>
                  <w:pPr>
                    <w:pStyle w:val="33"/>
                    <w:bidi w:val="0"/>
                    <w:jc w:val="center"/>
                    <w:rPr>
                      <w:rFonts w:hint="default" w:ascii="Times New Roman" w:hAnsi="Times New Roman" w:cs="Times New Roman"/>
                      <w:color w:val="FF0000"/>
                      <w:u w:val="single"/>
                      <w:lang w:val="en-US" w:eastAsia="zh-CN"/>
                    </w:rPr>
                  </w:pPr>
                </w:p>
              </w:tc>
              <w:tc>
                <w:tcPr>
                  <w:tcW w:w="3479" w:type="dxa"/>
                  <w:noWrap w:val="0"/>
                  <w:vAlign w:val="center"/>
                </w:tcPr>
                <w:p>
                  <w:pPr>
                    <w:pStyle w:val="33"/>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新建机制砂石骨料项目宜选择资源或接近矿山资源所在地，远离居民区。严禁在风景名胜区、地质公园、生态保护区、自然和文化遗产保护区、饮用水源保护区、城市建成区等区域新建和扩建机制砂石骨料项目。严禁布置在矿山爆破安全危险区范围内，已建成的项目应按照相关规划和规定进行处置。</w:t>
                  </w:r>
                </w:p>
              </w:tc>
              <w:tc>
                <w:tcPr>
                  <w:tcW w:w="2734" w:type="dxa"/>
                  <w:noWrap w:val="0"/>
                  <w:vAlign w:val="center"/>
                </w:tcPr>
                <w:p>
                  <w:pPr>
                    <w:pStyle w:val="33"/>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本项目位于临港片区，靠近建华管桩码头，湘江流域及湘阴县的砂石料均可通过码头进入厂区，项目选址靠近原料来源地。项目不涉及敏感区，周边分布少量居民，项目主要污染物为粉尘和噪声，项目采取措施情况下，对外环境影响可接受。</w:t>
                  </w:r>
                </w:p>
              </w:tc>
              <w:tc>
                <w:tcPr>
                  <w:tcW w:w="900" w:type="dxa"/>
                  <w:noWrap w:val="0"/>
                  <w:vAlign w:val="center"/>
                </w:tcPr>
                <w:p>
                  <w:pPr>
                    <w:pStyle w:val="33"/>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32" w:hRule="atLeast"/>
              </w:trPr>
              <w:tc>
                <w:tcPr>
                  <w:tcW w:w="765" w:type="dxa"/>
                  <w:noWrap w:val="0"/>
                  <w:vAlign w:val="center"/>
                </w:tcPr>
                <w:p>
                  <w:pPr>
                    <w:pStyle w:val="33"/>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rPr>
                    <w:t>生产</w:t>
                  </w:r>
                  <w:r>
                    <w:rPr>
                      <w:rFonts w:hint="default" w:ascii="Times New Roman" w:hAnsi="Times New Roman" w:cs="Times New Roman"/>
                      <w:color w:val="FF0000"/>
                      <w:u w:val="single"/>
                      <w:lang w:val="en-US" w:eastAsia="zh-CN"/>
                    </w:rPr>
                    <w:t xml:space="preserve">  </w:t>
                  </w:r>
                  <w:r>
                    <w:rPr>
                      <w:rFonts w:hint="default" w:ascii="Times New Roman" w:hAnsi="Times New Roman" w:cs="Times New Roman"/>
                      <w:color w:val="FF0000"/>
                      <w:u w:val="single"/>
                    </w:rPr>
                    <w:t>规模</w:t>
                  </w:r>
                </w:p>
              </w:tc>
              <w:tc>
                <w:tcPr>
                  <w:tcW w:w="3479" w:type="dxa"/>
                  <w:noWrap w:val="0"/>
                  <w:vAlign w:val="center"/>
                </w:tcPr>
                <w:p>
                  <w:pPr>
                    <w:pStyle w:val="33"/>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rPr>
                    <w:t>新建、改建机制砂石骨料项目生产规模不低于60万t/年；对综合利用尾矿、废石、工业和建筑等废弃物生产砂石骨料，其生产规模可适当放宽。新建项目其矿山资源储量服务年限应不低于10年</w:t>
                  </w:r>
                </w:p>
              </w:tc>
              <w:tc>
                <w:tcPr>
                  <w:tcW w:w="2734" w:type="dxa"/>
                  <w:noWrap w:val="0"/>
                  <w:vAlign w:val="center"/>
                </w:tcPr>
                <w:p>
                  <w:pPr>
                    <w:pStyle w:val="33"/>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本项目砂石骨料规模65万吨/年，产品干粉砂浆生产规模为98万吨/年，满足要求。</w:t>
                  </w:r>
                </w:p>
              </w:tc>
              <w:tc>
                <w:tcPr>
                  <w:tcW w:w="900" w:type="dxa"/>
                  <w:noWrap w:val="0"/>
                  <w:vAlign w:val="center"/>
                </w:tcPr>
                <w:p>
                  <w:pPr>
                    <w:pStyle w:val="33"/>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765" w:type="dxa"/>
                  <w:noWrap w:val="0"/>
                  <w:vAlign w:val="center"/>
                </w:tcPr>
                <w:p>
                  <w:pPr>
                    <w:pStyle w:val="33"/>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rPr>
                    <w:t>生产工艺</w:t>
                  </w:r>
                </w:p>
              </w:tc>
              <w:tc>
                <w:tcPr>
                  <w:tcW w:w="3479" w:type="dxa"/>
                  <w:noWrap w:val="0"/>
                  <w:vAlign w:val="center"/>
                </w:tcPr>
                <w:p>
                  <w:pPr>
                    <w:pStyle w:val="33"/>
                    <w:bidi w:val="0"/>
                    <w:jc w:val="both"/>
                    <w:rPr>
                      <w:rFonts w:hint="default" w:ascii="Times New Roman" w:hAnsi="Times New Roman" w:cs="Times New Roman"/>
                      <w:color w:val="FF0000"/>
                      <w:u w:val="single"/>
                    </w:rPr>
                  </w:pPr>
                  <w:r>
                    <w:rPr>
                      <w:rFonts w:hint="default" w:ascii="Times New Roman" w:hAnsi="Times New Roman" w:cs="Times New Roman"/>
                      <w:color w:val="FF0000"/>
                      <w:u w:val="single"/>
                    </w:rPr>
                    <w:t>优先采用干法生产工艺，其次半干法砂石工艺</w:t>
                  </w:r>
                  <w:r>
                    <w:rPr>
                      <w:rFonts w:hint="default" w:ascii="Times New Roman" w:hAnsi="Times New Roman" w:cs="Times New Roman"/>
                      <w:color w:val="FF0000"/>
                      <w:u w:val="single"/>
                      <w:lang w:eastAsia="zh-CN"/>
                    </w:rPr>
                    <w:t>，</w:t>
                  </w:r>
                  <w:r>
                    <w:rPr>
                      <w:rFonts w:hint="default" w:ascii="Times New Roman" w:hAnsi="Times New Roman" w:cs="Times New Roman"/>
                      <w:color w:val="FF0000"/>
                      <w:u w:val="single"/>
                    </w:rPr>
                    <w:t>当不能满足要求时，可采用湿法砂石生产工艺。砂石骨料生产线及产品技术指标应符合GB51186《机制砂石骨料工厂设计规范》等相关标准要求。新建项目不得使用限制和淘汰技术设备，已建项目不得使用淘汰设备。</w:t>
                  </w:r>
                </w:p>
                <w:p>
                  <w:pPr>
                    <w:pStyle w:val="33"/>
                    <w:bidi w:val="0"/>
                    <w:jc w:val="both"/>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rPr>
                    <w:t>生产工艺及设备配置应能灵活调整砂石成品级配和石粉含量，并能有效控制砂石成品针片状含量。采用先进高效破碎、制砂、筛分和散料连续输送设备，推广应用自动化、智能化制造技术。</w:t>
                  </w:r>
                </w:p>
              </w:tc>
              <w:tc>
                <w:tcPr>
                  <w:tcW w:w="2734" w:type="dxa"/>
                  <w:noWrap w:val="0"/>
                  <w:vAlign w:val="center"/>
                </w:tcPr>
                <w:p>
                  <w:pPr>
                    <w:pStyle w:val="33"/>
                    <w:bidi w:val="0"/>
                    <w:jc w:val="center"/>
                    <w:rPr>
                      <w:rFonts w:hint="default" w:ascii="Times New Roman" w:hAnsi="Times New Roman" w:eastAsia="宋体" w:cs="Times New Roman"/>
                      <w:color w:val="FF0000"/>
                      <w:u w:val="single"/>
                      <w:lang w:val="en-US" w:eastAsia="zh-CN"/>
                    </w:rPr>
                  </w:pPr>
                  <w:r>
                    <w:rPr>
                      <w:rFonts w:hint="default" w:ascii="Times New Roman" w:hAnsi="Times New Roman" w:cs="Times New Roman"/>
                      <w:color w:val="FF0000"/>
                      <w:u w:val="single"/>
                      <w:lang w:val="en-US" w:eastAsia="zh-CN"/>
                    </w:rPr>
                    <w:t>本项目原料生产线为机制砂，采用干法生产工艺，产品主要用于本项目产品生产。生产设备均为最新的先进设备，不属于淘汰设备。项目设备采用自动化控制系统和连续输送设备，设备先进可靠，工艺成熟。</w:t>
                  </w:r>
                </w:p>
              </w:tc>
              <w:tc>
                <w:tcPr>
                  <w:tcW w:w="900" w:type="dxa"/>
                  <w:noWrap w:val="0"/>
                  <w:vAlign w:val="center"/>
                </w:tcPr>
                <w:p>
                  <w:pPr>
                    <w:pStyle w:val="33"/>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6" w:hRule="atLeast"/>
              </w:trPr>
              <w:tc>
                <w:tcPr>
                  <w:tcW w:w="765" w:type="dxa"/>
                  <w:noWrap w:val="0"/>
                  <w:vAlign w:val="center"/>
                </w:tcPr>
                <w:p>
                  <w:pPr>
                    <w:pStyle w:val="33"/>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节能降耗</w:t>
                  </w:r>
                </w:p>
              </w:tc>
              <w:tc>
                <w:tcPr>
                  <w:tcW w:w="3479" w:type="dxa"/>
                  <w:noWrap w:val="0"/>
                  <w:vAlign w:val="center"/>
                </w:tcPr>
                <w:p>
                  <w:pPr>
                    <w:pStyle w:val="33"/>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rPr>
                    <w:t>机制砂石骨料工厂的节能设计应根据建设项目的能源使用、设备技术水平和经济性等因素，制定节能措施。生产设备的配置应与砂石骨料工厂的生产规模相适应，满足砂石骨料生产工艺要求</w:t>
                  </w:r>
                  <w:r>
                    <w:rPr>
                      <w:rFonts w:hint="default" w:ascii="Times New Roman" w:hAnsi="Times New Roman" w:cs="Times New Roman"/>
                      <w:color w:val="FF0000"/>
                      <w:u w:val="single"/>
                      <w:lang w:eastAsia="zh-CN"/>
                    </w:rPr>
                    <w:t>，</w:t>
                  </w:r>
                  <w:r>
                    <w:rPr>
                      <w:rFonts w:hint="default" w:ascii="Times New Roman" w:hAnsi="Times New Roman" w:cs="Times New Roman"/>
                      <w:color w:val="FF0000"/>
                      <w:u w:val="single"/>
                    </w:rPr>
                    <w:t>优选大型设备，减少设备台数</w:t>
                  </w:r>
                  <w:r>
                    <w:rPr>
                      <w:rFonts w:hint="default" w:ascii="Times New Roman" w:hAnsi="Times New Roman" w:cs="Times New Roman"/>
                      <w:color w:val="FF0000"/>
                      <w:u w:val="single"/>
                      <w:lang w:eastAsia="zh-CN"/>
                    </w:rPr>
                    <w:t>，</w:t>
                  </w:r>
                  <w:r>
                    <w:rPr>
                      <w:rFonts w:hint="default" w:ascii="Times New Roman" w:hAnsi="Times New Roman" w:cs="Times New Roman"/>
                      <w:color w:val="FF0000"/>
                      <w:u w:val="single"/>
                    </w:rPr>
                    <w:t>降低总装机功率。物料输送应采用带式输送机。</w:t>
                  </w:r>
                </w:p>
              </w:tc>
              <w:tc>
                <w:tcPr>
                  <w:tcW w:w="2734" w:type="dxa"/>
                  <w:noWrap w:val="0"/>
                  <w:vAlign w:val="center"/>
                </w:tcPr>
                <w:p>
                  <w:pPr>
                    <w:pStyle w:val="33"/>
                    <w:bidi w:val="0"/>
                    <w:jc w:val="center"/>
                    <w:rPr>
                      <w:rFonts w:hint="default" w:ascii="Times New Roman" w:hAnsi="Times New Roman" w:eastAsia="宋体" w:cs="Times New Roman"/>
                      <w:color w:val="FF0000"/>
                      <w:u w:val="single"/>
                      <w:lang w:val="en-US" w:eastAsia="zh-CN"/>
                    </w:rPr>
                  </w:pPr>
                  <w:r>
                    <w:rPr>
                      <w:rFonts w:hint="default" w:ascii="Times New Roman" w:hAnsi="Times New Roman" w:cs="Times New Roman"/>
                      <w:color w:val="FF0000"/>
                      <w:u w:val="single"/>
                      <w:lang w:val="en-US" w:eastAsia="zh-CN"/>
                    </w:rPr>
                    <w:t>本项目选用最先进的成套设备，生产规模和效率均较大，物料运输采用自动送给料、输送系统，各设备能效水至少二级以上，满足节能要求。</w:t>
                  </w:r>
                </w:p>
              </w:tc>
              <w:tc>
                <w:tcPr>
                  <w:tcW w:w="900" w:type="dxa"/>
                  <w:noWrap w:val="0"/>
                  <w:vAlign w:val="center"/>
                </w:tcPr>
                <w:p>
                  <w:pPr>
                    <w:pStyle w:val="33"/>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3" w:hRule="atLeast"/>
              </w:trPr>
              <w:tc>
                <w:tcPr>
                  <w:tcW w:w="765" w:type="dxa"/>
                  <w:noWrap w:val="0"/>
                  <w:vAlign w:val="center"/>
                </w:tcPr>
                <w:p>
                  <w:pPr>
                    <w:pStyle w:val="33"/>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rPr>
                    <w:t>环境保护</w:t>
                  </w:r>
                </w:p>
              </w:tc>
              <w:tc>
                <w:tcPr>
                  <w:tcW w:w="3479" w:type="dxa"/>
                  <w:noWrap w:val="0"/>
                  <w:vAlign w:val="center"/>
                </w:tcPr>
                <w:p>
                  <w:pPr>
                    <w:pStyle w:val="33"/>
                    <w:bidi w:val="0"/>
                    <w:jc w:val="both"/>
                    <w:rPr>
                      <w:rFonts w:hint="default" w:ascii="Times New Roman" w:hAnsi="Times New Roman" w:cs="Times New Roman"/>
                      <w:color w:val="FF0000"/>
                      <w:u w:val="single"/>
                    </w:rPr>
                  </w:pPr>
                  <w:r>
                    <w:rPr>
                      <w:rFonts w:hint="default" w:ascii="Times New Roman" w:hAnsi="Times New Roman" w:cs="Times New Roman"/>
                      <w:color w:val="FF0000"/>
                      <w:u w:val="single"/>
                    </w:rPr>
                    <w:t>砂石骨料企业应制订相关环境保护管理体系文件和环境突发事件应急预案等。</w:t>
                  </w:r>
                </w:p>
                <w:p>
                  <w:pPr>
                    <w:pStyle w:val="33"/>
                    <w:bidi w:val="0"/>
                    <w:jc w:val="both"/>
                    <w:rPr>
                      <w:rFonts w:hint="default" w:ascii="Times New Roman" w:hAnsi="Times New Roman" w:cs="Times New Roman"/>
                      <w:color w:val="FF0000"/>
                      <w:u w:val="single"/>
                    </w:rPr>
                  </w:pPr>
                  <w:r>
                    <w:rPr>
                      <w:rFonts w:hint="default" w:ascii="Times New Roman" w:hAnsi="Times New Roman" w:cs="Times New Roman"/>
                      <w:color w:val="FF0000"/>
                      <w:u w:val="single"/>
                    </w:rPr>
                    <w:t>机制砂石骨料生产线须配套收尘装置</w:t>
                  </w:r>
                  <w:r>
                    <w:rPr>
                      <w:rFonts w:hint="default" w:ascii="Times New Roman" w:hAnsi="Times New Roman" w:cs="Times New Roman"/>
                      <w:color w:val="FF0000"/>
                      <w:u w:val="single"/>
                      <w:lang w:eastAsia="zh-CN"/>
                    </w:rPr>
                    <w:t>。</w:t>
                  </w:r>
                  <w:r>
                    <w:rPr>
                      <w:rFonts w:hint="default" w:ascii="Times New Roman" w:hAnsi="Times New Roman" w:cs="Times New Roman"/>
                      <w:color w:val="FF0000"/>
                      <w:u w:val="single"/>
                    </w:rPr>
                    <w:t>采用喷雾、洒水、全封闭皮带运输等措施。破碎加工区、中间料库、成品库等区域实现厂房全封闭，污染物排放符合GB 16297《大气污染物综合排放标准》要求。矿山开采鼓励选用湿式凿岩工艺,若采用干法凿岩工艺，须加设除尘装置，作业场所应采用喷雾、洒水等措施。</w:t>
                  </w:r>
                </w:p>
                <w:p>
                  <w:pPr>
                    <w:pStyle w:val="33"/>
                    <w:bidi w:val="0"/>
                    <w:jc w:val="both"/>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rPr>
                    <w:t>机制砂石骨料生产线须配置消声、减振、隔振等设施</w:t>
                  </w:r>
                  <w:r>
                    <w:rPr>
                      <w:rFonts w:hint="default" w:ascii="Times New Roman" w:hAnsi="Times New Roman" w:cs="Times New Roman"/>
                      <w:color w:val="FF0000"/>
                      <w:u w:val="single"/>
                      <w:lang w:eastAsia="zh-CN"/>
                    </w:rPr>
                    <w:t>，</w:t>
                  </w:r>
                  <w:r>
                    <w:rPr>
                      <w:rFonts w:hint="default" w:ascii="Times New Roman" w:hAnsi="Times New Roman" w:cs="Times New Roman"/>
                      <w:color w:val="FF0000"/>
                      <w:u w:val="single"/>
                    </w:rPr>
                    <w:t>工厂噪声应符合GB 12348《工业企业厂界环境噪声排放标准》要求。厂区污水排放符合GB8978《污水综合排放标准》二级及以上要求</w:t>
                  </w:r>
                  <w:r>
                    <w:rPr>
                      <w:rFonts w:hint="default" w:ascii="Times New Roman" w:hAnsi="Times New Roman" w:cs="Times New Roman"/>
                      <w:color w:val="FF0000"/>
                      <w:u w:val="single"/>
                      <w:lang w:eastAsia="zh-CN"/>
                    </w:rPr>
                    <w:t>，</w:t>
                  </w:r>
                  <w:r>
                    <w:rPr>
                      <w:rFonts w:hint="default" w:ascii="Times New Roman" w:hAnsi="Times New Roman" w:cs="Times New Roman"/>
                      <w:color w:val="FF0000"/>
                      <w:u w:val="single"/>
                    </w:rPr>
                    <w:t>湿法生产线必须设置水处理循环系统</w:t>
                  </w:r>
                  <w:r>
                    <w:rPr>
                      <w:rFonts w:hint="default" w:ascii="Times New Roman" w:hAnsi="Times New Roman" w:cs="Times New Roman"/>
                      <w:color w:val="FF0000"/>
                      <w:u w:val="single"/>
                      <w:lang w:eastAsia="zh-CN"/>
                    </w:rPr>
                    <w:t>。</w:t>
                  </w:r>
                  <w:r>
                    <w:rPr>
                      <w:rFonts w:hint="default" w:ascii="Times New Roman" w:hAnsi="Times New Roman" w:cs="Times New Roman"/>
                      <w:color w:val="FF0000"/>
                      <w:u w:val="single"/>
                      <w:lang w:val="en-US" w:eastAsia="zh-CN"/>
                    </w:rPr>
                    <w:t>公用工程、环境保护设计应符合GB 51186《机制砂石骨料工厂设计规范》等有关标准规定。配套建设的环境保护设施应与主体工程同时设计、同时施工、同时投入使用。</w:t>
                  </w:r>
                </w:p>
              </w:tc>
              <w:tc>
                <w:tcPr>
                  <w:tcW w:w="2734" w:type="dxa"/>
                  <w:noWrap w:val="0"/>
                  <w:vAlign w:val="center"/>
                </w:tcPr>
                <w:p>
                  <w:pPr>
                    <w:pStyle w:val="33"/>
                    <w:bidi w:val="0"/>
                    <w:jc w:val="both"/>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①项目投产前按要求编制突发环境事件应急预案。</w:t>
                  </w:r>
                </w:p>
                <w:p>
                  <w:pPr>
                    <w:pStyle w:val="33"/>
                    <w:bidi w:val="0"/>
                    <w:jc w:val="both"/>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②项目堆场采用雾化喷淋系统，定时洒水抑尘，制砂和干粉砂浆生产过程产生的粉尘的部位采用集气罩微负压收集，经脉冲布袋除尘器处理后排放。</w:t>
                  </w:r>
                </w:p>
                <w:p>
                  <w:pPr>
                    <w:pStyle w:val="33"/>
                    <w:bidi w:val="0"/>
                    <w:jc w:val="both"/>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③本项目不涉及生产用水，生活污水经化粪池收集后排入市政管网。</w:t>
                  </w:r>
                </w:p>
                <w:p>
                  <w:pPr>
                    <w:pStyle w:val="33"/>
                    <w:bidi w:val="0"/>
                    <w:jc w:val="both"/>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④项目设备均采用行业内最先进的设备，噪声设备采取基础减震、消声、建筑隔声等措施；</w:t>
                  </w:r>
                </w:p>
                <w:p>
                  <w:pPr>
                    <w:pStyle w:val="33"/>
                    <w:bidi w:val="0"/>
                    <w:jc w:val="both"/>
                    <w:rPr>
                      <w:rFonts w:hint="default" w:ascii="Times New Roman" w:hAnsi="Times New Roman" w:eastAsia="宋体" w:cs="Times New Roman"/>
                      <w:color w:val="FF0000"/>
                      <w:u w:val="single"/>
                      <w:lang w:val="en-US" w:eastAsia="zh-CN"/>
                    </w:rPr>
                  </w:pPr>
                  <w:r>
                    <w:rPr>
                      <w:rFonts w:hint="default" w:ascii="Times New Roman" w:hAnsi="Times New Roman" w:cs="Times New Roman"/>
                      <w:color w:val="FF0000"/>
                      <w:u w:val="single"/>
                      <w:lang w:val="en-US" w:eastAsia="zh-CN"/>
                    </w:rPr>
                    <w:t>⑤包装废料回收综合利用，生活垃圾交由环卫部门处理，废机油、含油抹布、废有油墨桶等设置危险废物暂存间，交由有资质单位处理。</w:t>
                  </w:r>
                </w:p>
              </w:tc>
              <w:tc>
                <w:tcPr>
                  <w:tcW w:w="900" w:type="dxa"/>
                  <w:noWrap w:val="0"/>
                  <w:vAlign w:val="center"/>
                </w:tcPr>
                <w:p>
                  <w:pPr>
                    <w:pStyle w:val="33"/>
                    <w:bidi w:val="0"/>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符合</w:t>
                  </w:r>
                </w:p>
              </w:tc>
            </w:tr>
          </w:tbl>
          <w:p>
            <w:pPr>
              <w:keepNext w:val="0"/>
              <w:keepLines w:val="0"/>
              <w:pageBreakBefore w:val="0"/>
              <w:widowControl w:val="0"/>
              <w:numPr>
                <w:ilvl w:val="0"/>
                <w:numId w:val="0"/>
              </w:numPr>
              <w:kinsoku/>
              <w:wordWrap/>
              <w:overflowPunct/>
              <w:topLinePunct w:val="0"/>
              <w:autoSpaceDE/>
              <w:autoSpaceDN/>
              <w:bidi w:val="0"/>
              <w:adjustRightInd/>
              <w:snapToGrid/>
              <w:ind w:firstLine="0" w:firstLineChars="0"/>
              <w:textAlignment w:val="auto"/>
              <w:rPr>
                <w:rFonts w:hint="default" w:ascii="Times New Roman" w:hAnsi="Times New Roman" w:eastAsia="黑体" w:cs="Times New Roman"/>
                <w:color w:val="FF0000"/>
                <w:highlight w:val="none"/>
                <w:u w:val="single"/>
                <w:lang w:val="en-US" w:eastAsia="zh-CN"/>
              </w:rPr>
            </w:pPr>
            <w:r>
              <w:rPr>
                <w:rFonts w:hint="default" w:ascii="Times New Roman" w:hAnsi="Times New Roman" w:eastAsia="黑体" w:cs="Times New Roman"/>
                <w:color w:val="auto"/>
                <w:u w:val="single"/>
                <w:lang w:val="en-US" w:eastAsia="zh-CN"/>
              </w:rPr>
              <w:t>1.7</w:t>
            </w:r>
            <w:r>
              <w:rPr>
                <w:rFonts w:hint="default" w:ascii="Times New Roman" w:hAnsi="Times New Roman" w:eastAsia="黑体" w:cs="Times New Roman"/>
                <w:color w:val="FF0000"/>
                <w:highlight w:val="none"/>
                <w:u w:val="single"/>
                <w:lang w:val="en-US" w:eastAsia="zh-CN"/>
              </w:rPr>
              <w:t xml:space="preserve"> 与《长江经济带发展负面清单指南（试行，2022年版）》相符性分析</w:t>
            </w:r>
          </w:p>
          <w:p>
            <w:pPr>
              <w:pStyle w:val="32"/>
              <w:bidi w:val="0"/>
              <w:rPr>
                <w:rFonts w:hint="default" w:ascii="Times New Roman" w:hAnsi="Times New Roman" w:cs="Times New Roman"/>
                <w:color w:val="FF0000"/>
                <w:highlight w:val="none"/>
                <w:u w:val="single"/>
                <w:lang w:val="en-US" w:eastAsia="zh-CN"/>
              </w:rPr>
            </w:pPr>
            <w:r>
              <w:rPr>
                <w:rFonts w:hint="default" w:ascii="Times New Roman" w:hAnsi="Times New Roman" w:cs="Times New Roman"/>
                <w:color w:val="FF0000"/>
                <w:highlight w:val="none"/>
                <w:u w:val="single"/>
                <w:lang w:val="en-US" w:eastAsia="zh-CN"/>
              </w:rPr>
              <w:t>表1- 4 《长江经济带发展负面清单指南（试行，2022年版）》相符性分析</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9"/>
              <w:gridCol w:w="3475"/>
              <w:gridCol w:w="2602"/>
              <w:gridCol w:w="8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序号</w:t>
                  </w:r>
                </w:p>
              </w:tc>
              <w:tc>
                <w:tcPr>
                  <w:tcW w:w="2233"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要求</w:t>
                  </w:r>
                </w:p>
              </w:tc>
              <w:tc>
                <w:tcPr>
                  <w:tcW w:w="1672"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本项目情况</w:t>
                  </w:r>
                </w:p>
              </w:tc>
              <w:tc>
                <w:tcPr>
                  <w:tcW w:w="566"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1</w:t>
                  </w:r>
                </w:p>
              </w:tc>
              <w:tc>
                <w:tcPr>
                  <w:tcW w:w="2233"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禁止建设不符合全国和省级港口布局规划以及港口总体规划的码头项目,禁止建设不符合《长江干线过江通道布局规划》的过长江通道项目。</w:t>
                  </w:r>
                </w:p>
              </w:tc>
              <w:tc>
                <w:tcPr>
                  <w:tcW w:w="1672"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本项目为干粉砂浆建设项目，</w:t>
                  </w:r>
                  <w:r>
                    <w:rPr>
                      <w:rFonts w:hint="default" w:ascii="Times New Roman" w:hAnsi="Times New Roman" w:cs="Times New Roman"/>
                      <w:color w:val="FF0000"/>
                      <w:highlight w:val="none"/>
                      <w:u w:val="single"/>
                      <w:lang w:val="en-US" w:eastAsia="zh-CN"/>
                    </w:rPr>
                    <w:t>不属于过长江通道项目</w:t>
                  </w:r>
                </w:p>
              </w:tc>
              <w:tc>
                <w:tcPr>
                  <w:tcW w:w="566"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2</w:t>
                  </w:r>
                </w:p>
              </w:tc>
              <w:tc>
                <w:tcPr>
                  <w:tcW w:w="2233"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禁止在自然保护区核心区、缓冲区的岸线和河段范围内投资建设旅游和生产经营项目。禁止在风景名胜区核心景区的岸线和河段范围内投资建设与风景名胜资源保护无关的项目。</w:t>
                  </w:r>
                </w:p>
              </w:tc>
              <w:tc>
                <w:tcPr>
                  <w:tcW w:w="1672"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lang w:val="en-US" w:eastAsia="zh-CN"/>
                    </w:rPr>
                    <w:t>本</w:t>
                  </w:r>
                  <w:r>
                    <w:rPr>
                      <w:rFonts w:hint="default" w:ascii="Times New Roman" w:hAnsi="Times New Roman" w:cs="Times New Roman"/>
                      <w:u w:val="single"/>
                      <w:lang w:val="en-US" w:eastAsia="zh-CN"/>
                    </w:rPr>
                    <w:t>项目</w:t>
                  </w:r>
                  <w:r>
                    <w:rPr>
                      <w:rFonts w:hint="default" w:ascii="Times New Roman" w:hAnsi="Times New Roman" w:cs="Times New Roman"/>
                      <w:color w:val="FF0000"/>
                      <w:highlight w:val="none"/>
                      <w:u w:val="single"/>
                      <w:lang w:val="en-US" w:eastAsia="zh-CN"/>
                    </w:rPr>
                    <w:t>位于湘阴高新技术产业开发区临港片区，用地为二类工业用地，项目选址符合规划。项目不在环境敏感区</w:t>
                  </w:r>
                </w:p>
              </w:tc>
              <w:tc>
                <w:tcPr>
                  <w:tcW w:w="566"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3</w:t>
                  </w:r>
                </w:p>
              </w:tc>
              <w:tc>
                <w:tcPr>
                  <w:tcW w:w="2233"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禁止在饮用水水源一级保护区的岸线和河段范围内新建、改建、扩建与供水设施和保护水源无关的项目,以及网箱养殖、畜禽养殖（新增）、旅游等可能污染饮用水水体的投资建设项目。禁止在饮用水水源二级保护区的岸线和河段范围内新建、改建、扩建排放污染物的投资建设项目。</w:t>
                  </w:r>
                </w:p>
              </w:tc>
              <w:tc>
                <w:tcPr>
                  <w:tcW w:w="1672"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本项目位于</w:t>
                  </w:r>
                  <w:r>
                    <w:rPr>
                      <w:rFonts w:hint="default" w:ascii="Times New Roman" w:hAnsi="Times New Roman" w:cs="Times New Roman"/>
                      <w:color w:val="FF0000"/>
                      <w:highlight w:val="none"/>
                      <w:u w:val="single"/>
                      <w:lang w:val="en-US" w:eastAsia="zh-CN"/>
                    </w:rPr>
                    <w:t>湘阴高新技术产业开发区临港片区</w:t>
                  </w:r>
                  <w:r>
                    <w:rPr>
                      <w:rFonts w:hint="default" w:ascii="Times New Roman" w:hAnsi="Times New Roman" w:cs="Times New Roman"/>
                      <w:color w:val="FF0000"/>
                      <w:highlight w:val="none"/>
                      <w:u w:val="single"/>
                      <w:vertAlign w:val="baseline"/>
                      <w:lang w:val="en-US" w:eastAsia="zh-CN"/>
                    </w:rPr>
                    <w:t>，项目地表水为湘江，项目所在河段湘江为渔业用水区，不在饮用水源保护区</w:t>
                  </w:r>
                </w:p>
              </w:tc>
              <w:tc>
                <w:tcPr>
                  <w:tcW w:w="566"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4</w:t>
                  </w:r>
                </w:p>
              </w:tc>
              <w:tc>
                <w:tcPr>
                  <w:tcW w:w="2233"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禁止在水产种质资源保护区的岸线和河段范围内新建围湖造田、围海造地或围填海等投资建设项目。禁止在国家湿地公园的岸线和河段范围内挖沙、采矿，以及任何不符合主体功能定位的投资建设项目。</w:t>
                  </w:r>
                </w:p>
              </w:tc>
              <w:tc>
                <w:tcPr>
                  <w:tcW w:w="1672"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本项目为干粉砂浆制造项目，原料来自合法砂石料公司，不自行挖沙、采矿，项目地表水为湘江，项目所在河段湘江为渔业用水区</w:t>
                  </w:r>
                </w:p>
              </w:tc>
              <w:tc>
                <w:tcPr>
                  <w:tcW w:w="566"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5</w:t>
                  </w:r>
                </w:p>
              </w:tc>
              <w:tc>
                <w:tcPr>
                  <w:tcW w:w="2233"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禁止在《全国重要江河湖泊水功能区划》划定的河段及湖泊（新增）保护区、保留区内投资建设不利于水资源及自然生态保护的项目。</w:t>
                  </w:r>
                </w:p>
              </w:tc>
              <w:tc>
                <w:tcPr>
                  <w:tcW w:w="1672"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项目位于</w:t>
                  </w:r>
                  <w:r>
                    <w:rPr>
                      <w:rFonts w:hint="default" w:ascii="Times New Roman" w:hAnsi="Times New Roman" w:cs="Times New Roman"/>
                      <w:color w:val="FF0000"/>
                      <w:highlight w:val="none"/>
                      <w:u w:val="single"/>
                      <w:lang w:val="en-US" w:eastAsia="zh-CN"/>
                    </w:rPr>
                    <w:t>湘阴高新技术产业开发区临港片区</w:t>
                  </w:r>
                  <w:r>
                    <w:rPr>
                      <w:rFonts w:hint="default" w:ascii="Times New Roman" w:hAnsi="Times New Roman" w:cs="Times New Roman"/>
                      <w:color w:val="FF0000"/>
                      <w:highlight w:val="none"/>
                      <w:u w:val="single"/>
                      <w:vertAlign w:val="baseline"/>
                      <w:lang w:val="en-US" w:eastAsia="zh-CN"/>
                    </w:rPr>
                    <w:t>，项目用地规划为二类用地，不占用长江流域河湖岸线。</w:t>
                  </w:r>
                </w:p>
              </w:tc>
              <w:tc>
                <w:tcPr>
                  <w:tcW w:w="566"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6</w:t>
                  </w:r>
                </w:p>
              </w:tc>
              <w:tc>
                <w:tcPr>
                  <w:tcW w:w="2233"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禁止未经许可在长江干支流及湖泊新设、改设或扩大排污口</w:t>
                  </w:r>
                </w:p>
              </w:tc>
              <w:tc>
                <w:tcPr>
                  <w:tcW w:w="1672"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本项目废水排入市政管网进入湘阴县第一污水处理厂进一步处理，废水间接排放</w:t>
                  </w:r>
                </w:p>
              </w:tc>
              <w:tc>
                <w:tcPr>
                  <w:tcW w:w="566"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7</w:t>
                  </w:r>
                </w:p>
              </w:tc>
              <w:tc>
                <w:tcPr>
                  <w:tcW w:w="2233"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禁止在“一江一口两湖七河”和332个水生生物保护区开展生产性捕捞。</w:t>
                  </w:r>
                </w:p>
              </w:tc>
              <w:tc>
                <w:tcPr>
                  <w:tcW w:w="1672"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本项目为干粉砂浆项目，不进行捕捞。</w:t>
                  </w:r>
                </w:p>
              </w:tc>
              <w:tc>
                <w:tcPr>
                  <w:tcW w:w="566"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8</w:t>
                  </w:r>
                </w:p>
              </w:tc>
              <w:tc>
                <w:tcPr>
                  <w:tcW w:w="2233"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禁止在长江干支流、重要湖泊岸线1公里范围内新建、扩建化工园区和化工项目。禁止在长江干流岸线3公里范围内和重要支流岸线1公里范围内新建、改建、扩建尾矿库、冶炼渣库和磷石膏库，以提升安全、生态环境保护水平为目的的改建除外</w:t>
                  </w:r>
                </w:p>
              </w:tc>
              <w:tc>
                <w:tcPr>
                  <w:tcW w:w="1672"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本项目为干粉砂浆项目，属于其他建筑制造行业，不属于规定的禁止建设类项目</w:t>
                  </w:r>
                </w:p>
              </w:tc>
              <w:tc>
                <w:tcPr>
                  <w:tcW w:w="566"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9</w:t>
                  </w:r>
                </w:p>
              </w:tc>
              <w:tc>
                <w:tcPr>
                  <w:tcW w:w="2233"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禁止在合规园区外新建、扩建钢铁、石化、化工、焦化、建材、有色、制浆造纸等高污染项目。</w:t>
                  </w:r>
                </w:p>
              </w:tc>
              <w:tc>
                <w:tcPr>
                  <w:tcW w:w="1672"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本项目位于</w:t>
                  </w:r>
                  <w:r>
                    <w:rPr>
                      <w:rFonts w:hint="default" w:ascii="Times New Roman" w:hAnsi="Times New Roman" w:cs="Times New Roman"/>
                      <w:color w:val="FF0000"/>
                      <w:highlight w:val="none"/>
                      <w:u w:val="single"/>
                      <w:lang w:val="en-US" w:eastAsia="zh-CN"/>
                    </w:rPr>
                    <w:t>湘阴高新技术产业开发区临港片区</w:t>
                  </w:r>
                  <w:r>
                    <w:rPr>
                      <w:rFonts w:hint="default" w:ascii="Times New Roman" w:hAnsi="Times New Roman" w:cs="Times New Roman"/>
                      <w:color w:val="FF0000"/>
                      <w:highlight w:val="none"/>
                      <w:u w:val="single"/>
                      <w:vertAlign w:val="baseline"/>
                      <w:lang w:val="en-US" w:eastAsia="zh-CN"/>
                    </w:rPr>
                    <w:t>，根据规划，区域规划产业为建筑材料产业，本项目为干粉砂浆制造，属于其他建筑材料制造，满足规划定位</w:t>
                  </w:r>
                </w:p>
              </w:tc>
              <w:tc>
                <w:tcPr>
                  <w:tcW w:w="566"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10</w:t>
                  </w:r>
                </w:p>
              </w:tc>
              <w:tc>
                <w:tcPr>
                  <w:tcW w:w="2233"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禁止新建、扩建不符合国家石化、现代煤化工等产业布局规划的项目。</w:t>
                  </w:r>
                </w:p>
              </w:tc>
              <w:tc>
                <w:tcPr>
                  <w:tcW w:w="1672"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本项目为干粉砂浆制造，属于其他建筑材料制造，不属于禁止建设类项目</w:t>
                  </w:r>
                </w:p>
              </w:tc>
              <w:tc>
                <w:tcPr>
                  <w:tcW w:w="566"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11</w:t>
                  </w:r>
                </w:p>
              </w:tc>
              <w:tc>
                <w:tcPr>
                  <w:tcW w:w="2233"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禁止新建、扩建法律法规和相关政策明令禁止的落后产能项目。禁止新建、扩建不符合国家产能置换要求的严重过剩产能行业的项目。禁止新建、扩建不符合要求的高耗能高排放项目</w:t>
                  </w:r>
                </w:p>
              </w:tc>
              <w:tc>
                <w:tcPr>
                  <w:tcW w:w="1672"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项目产品为干粉砂浆，不属于鼓励类、限制类、淘汰类，可视为允许类建设项目，项目使用能源为天然气和电，不属于高耗能高排放项目</w:t>
                  </w:r>
                </w:p>
              </w:tc>
              <w:tc>
                <w:tcPr>
                  <w:tcW w:w="566" w:type="pct"/>
                  <w:vAlign w:val="center"/>
                </w:tcPr>
                <w:p>
                  <w:pPr>
                    <w:pStyle w:val="28"/>
                    <w:jc w:val="center"/>
                    <w:rPr>
                      <w:rFonts w:hint="default" w:ascii="Times New Roman" w:hAnsi="Times New Roman" w:cs="Times New Roman"/>
                      <w:color w:val="FF0000"/>
                      <w:highlight w:val="none"/>
                      <w:u w:val="single"/>
                      <w:vertAlign w:val="baseline"/>
                      <w:lang w:val="en-US" w:eastAsia="zh-CN"/>
                    </w:rPr>
                  </w:pPr>
                  <w:r>
                    <w:rPr>
                      <w:rFonts w:hint="default" w:ascii="Times New Roman" w:hAnsi="Times New Roman" w:cs="Times New Roman"/>
                      <w:color w:val="FF0000"/>
                      <w:highlight w:val="none"/>
                      <w:u w:val="singl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7" w:type="pct"/>
                  <w:vAlign w:val="center"/>
                </w:tcPr>
                <w:p>
                  <w:pPr>
                    <w:pStyle w:val="28"/>
                    <w:jc w:val="center"/>
                    <w:rPr>
                      <w:rFonts w:hint="default" w:ascii="Times New Roman" w:hAnsi="Times New Roman" w:cs="Times New Roman"/>
                      <w:color w:val="FF0000"/>
                      <w:u w:val="single"/>
                      <w:vertAlign w:val="baseline"/>
                      <w:lang w:val="en-US" w:eastAsia="zh-CN"/>
                    </w:rPr>
                  </w:pPr>
                  <w:r>
                    <w:rPr>
                      <w:rFonts w:hint="default" w:ascii="Times New Roman" w:hAnsi="Times New Roman" w:cs="Times New Roman"/>
                      <w:color w:val="FF0000"/>
                      <w:u w:val="single"/>
                      <w:vertAlign w:val="baseline"/>
                      <w:lang w:val="en-US" w:eastAsia="zh-CN"/>
                    </w:rPr>
                    <w:t>12</w:t>
                  </w:r>
                </w:p>
              </w:tc>
              <w:tc>
                <w:tcPr>
                  <w:tcW w:w="2233" w:type="pct"/>
                  <w:vAlign w:val="center"/>
                </w:tcPr>
                <w:p>
                  <w:pPr>
                    <w:pStyle w:val="28"/>
                    <w:jc w:val="center"/>
                    <w:rPr>
                      <w:rFonts w:hint="default" w:ascii="Times New Roman" w:hAnsi="Times New Roman" w:cs="Times New Roman"/>
                      <w:color w:val="FF0000"/>
                      <w:u w:val="single"/>
                      <w:vertAlign w:val="baseline"/>
                      <w:lang w:val="en-US" w:eastAsia="zh-CN"/>
                    </w:rPr>
                  </w:pPr>
                  <w:r>
                    <w:rPr>
                      <w:rFonts w:hint="default" w:ascii="Times New Roman" w:hAnsi="Times New Roman" w:cs="Times New Roman"/>
                      <w:color w:val="FF0000"/>
                      <w:u w:val="single"/>
                      <w:vertAlign w:val="baseline"/>
                      <w:lang w:val="en-US" w:eastAsia="zh-CN"/>
                    </w:rPr>
                    <w:t>法律法规及相关政策文件有更加严格规定的从其规定。</w:t>
                  </w:r>
                </w:p>
              </w:tc>
              <w:tc>
                <w:tcPr>
                  <w:tcW w:w="1672" w:type="pct"/>
                  <w:vAlign w:val="center"/>
                </w:tcPr>
                <w:p>
                  <w:pPr>
                    <w:pStyle w:val="28"/>
                    <w:jc w:val="center"/>
                    <w:rPr>
                      <w:rFonts w:hint="default" w:ascii="Times New Roman" w:hAnsi="Times New Roman" w:cs="Times New Roman"/>
                      <w:u w:val="single"/>
                      <w:vertAlign w:val="baseline"/>
                      <w:lang w:val="en-US" w:eastAsia="zh-CN"/>
                    </w:rPr>
                  </w:pPr>
                  <w:r>
                    <w:rPr>
                      <w:rFonts w:hint="default" w:ascii="Times New Roman" w:hAnsi="Times New Roman" w:cs="Times New Roman"/>
                      <w:u w:val="single"/>
                      <w:vertAlign w:val="baseline"/>
                      <w:lang w:val="en-US" w:eastAsia="zh-CN"/>
                    </w:rPr>
                    <w:t>满足要求</w:t>
                  </w:r>
                </w:p>
              </w:tc>
              <w:tc>
                <w:tcPr>
                  <w:tcW w:w="566" w:type="pct"/>
                  <w:vAlign w:val="center"/>
                </w:tcPr>
                <w:p>
                  <w:pPr>
                    <w:pStyle w:val="28"/>
                    <w:jc w:val="center"/>
                    <w:rPr>
                      <w:rFonts w:hint="default" w:ascii="Times New Roman" w:hAnsi="Times New Roman" w:cs="Times New Roman"/>
                      <w:u w:val="single"/>
                      <w:vertAlign w:val="baseline"/>
                      <w:lang w:val="en-US" w:eastAsia="zh-CN"/>
                    </w:rPr>
                  </w:pPr>
                  <w:r>
                    <w:rPr>
                      <w:rFonts w:hint="default" w:ascii="Times New Roman" w:hAnsi="Times New Roman" w:cs="Times New Roman"/>
                      <w:u w:val="single"/>
                      <w:vertAlign w:val="baseline"/>
                      <w:lang w:val="en-US" w:eastAsia="zh-CN"/>
                    </w:rPr>
                    <w:t>符合</w:t>
                  </w:r>
                </w:p>
              </w:tc>
            </w:tr>
          </w:tbl>
          <w:p>
            <w:pPr>
              <w:keepNext w:val="0"/>
              <w:keepLines w:val="0"/>
              <w:pageBreakBefore w:val="0"/>
              <w:widowControl w:val="0"/>
              <w:numPr>
                <w:ilvl w:val="0"/>
                <w:numId w:val="0"/>
              </w:numPr>
              <w:kinsoku/>
              <w:wordWrap/>
              <w:overflowPunct/>
              <w:topLinePunct w:val="0"/>
              <w:autoSpaceDE/>
              <w:autoSpaceDN/>
              <w:bidi w:val="0"/>
              <w:adjustRightInd/>
              <w:snapToGrid/>
              <w:ind w:firstLine="0" w:firstLineChars="0"/>
              <w:textAlignment w:val="auto"/>
              <w:rPr>
                <w:rFonts w:hint="default" w:ascii="Times New Roman" w:hAnsi="Times New Roman" w:eastAsia="黑体" w:cs="Times New Roman"/>
                <w:color w:val="auto"/>
                <w:lang w:val="en-US" w:eastAsia="zh-CN"/>
              </w:rPr>
            </w:pPr>
            <w:r>
              <w:rPr>
                <w:rFonts w:hint="default" w:ascii="Times New Roman" w:hAnsi="Times New Roman" w:eastAsia="黑体" w:cs="Times New Roman"/>
                <w:color w:val="auto"/>
                <w:lang w:val="en-US" w:eastAsia="zh-CN"/>
              </w:rPr>
              <w:t>1.7 选址合理性分析</w:t>
            </w:r>
          </w:p>
          <w:p>
            <w:pPr>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项目位于岳阳市湘阴县湘江江畔，距离湘阴县政府约3.4km，项目南侧为建华管桩码头，交通运输便利。项目所在区域内水、电等相应配套的设施设备设置齐全，基础条件充足，政策环境优越。项目北侧为中储粮湘阴分站，东侧为远大建筑科技有限公司，南侧为建华管桩，西侧80m为湘江，有一定距离，项目建设不会对湘江造成影响。项目</w:t>
            </w:r>
            <w:r>
              <w:rPr>
                <w:rFonts w:hint="default" w:ascii="Times New Roman" w:hAnsi="Times New Roman" w:cs="Times New Roman"/>
                <w:lang w:val="en-US" w:eastAsia="zh-CN"/>
              </w:rPr>
              <w:t>东侧、东南侧</w:t>
            </w:r>
            <w:r>
              <w:rPr>
                <w:rFonts w:hint="default" w:ascii="Times New Roman" w:hAnsi="Times New Roman" w:cs="Times New Roman"/>
                <w:color w:val="FF0000"/>
                <w:lang w:val="en-US" w:eastAsia="zh-CN"/>
              </w:rPr>
              <w:t>和北侧分布少量居民。</w:t>
            </w:r>
          </w:p>
          <w:p>
            <w:pPr>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项目外环境关系较为简单，不涉及生活饮用水水源保护区、风景名胜区、自然保护区，无明显环境制约因素。</w:t>
            </w:r>
          </w:p>
          <w:p>
            <w:pPr>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本项目污染物主要为粉尘和噪声，项目机制砂和干粉砂浆生产车间全密闭，原料堆场设置喷雾装置抑尘，各产生粉尘的部位均采取集气罩微负压收集经布袋除尘处理后排放，各噪声设备设置基础减震、消声、隔声等措施，本项目在采取报告提出的污染防治措施后，污染物均可做到达标排放，对周围环境污染影响可接受，符合周边环境要求。</w:t>
            </w:r>
          </w:p>
          <w:p>
            <w:pPr>
              <w:pStyle w:val="2"/>
              <w:rPr>
                <w:rFonts w:hint="default" w:ascii="Times New Roman" w:hAnsi="Times New Roman" w:cs="Times New Roman"/>
                <w:lang w:val="en-US" w:eastAsia="zh-CN"/>
              </w:rPr>
            </w:pPr>
            <w:r>
              <w:rPr>
                <w:rFonts w:hint="default" w:ascii="Times New Roman" w:hAnsi="Times New Roman" w:cs="Times New Roman"/>
                <w:color w:val="FF0000"/>
                <w:lang w:val="en-US" w:eastAsia="zh-CN"/>
              </w:rPr>
              <w:t>根据《湘阴高新技术产业开发区调区扩区规划环境影响报告书》，本项目位于临港片区，属于其他建筑材料制造，符合临港片区产业定位，不属于禁止准入类，项目用地为二类工业用地，用地规划为建筑材料制造，符合园区规划，因此项目选址合理。</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ascii="Times New Roman" w:hAnsi="Times New Roman" w:eastAsia="黑体" w:cs="Times New Roman"/>
                <w:color w:val="auto"/>
                <w:sz w:val="24"/>
                <w:szCs w:val="24"/>
                <w:vertAlign w:val="baseline"/>
                <w:lang w:val="en-US" w:eastAsia="zh-CN"/>
              </w:rPr>
            </w:pPr>
            <w:r>
              <w:rPr>
                <w:rFonts w:hint="default" w:ascii="Times New Roman" w:hAnsi="Times New Roman" w:eastAsia="黑体" w:cs="Times New Roman"/>
                <w:color w:val="auto"/>
                <w:sz w:val="24"/>
                <w:szCs w:val="24"/>
                <w:vertAlign w:val="baseline"/>
                <w:lang w:val="en-US" w:eastAsia="zh-CN"/>
              </w:rPr>
              <w:t>1.8 平面布局合理性分析</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厂区采用人、物分流的原则，设置3个出入口。厂区南侧设置2个物流出入口，厂区西南侧出入口为原料进口，靠近湘江和建华管桩码头，便于原料运输，减少原料运输距离，东南侧出入口为成品出口，靠近成品发货区，可确保运输过程高效便捷。东侧为厂区行政办公人行出入口，在靠近东侧出入口处布设停车场，可满足厂区办公停车需求。出入口设置结合项目所在外环境情况，方便物流运输，同时可有效避免车辆运输对外部环境的不利影响，设置合理。</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lang w:val="en-US" w:eastAsia="zh-CN"/>
              </w:rPr>
              <w:t>项目生产车间按工艺流程布置，制砂车间和堆场位于厂区西部地块，靠近原料入口，原料从西南侧的建华管桩码头进入原料堆场，通过输送机进入制砂车间，制砂的成品进入位于车间中部的料仓，通过计量系统进入东侧的干粉砂浆生产车间。生产车间工艺流畅，减少物料运</w:t>
            </w:r>
            <w:r>
              <w:rPr>
                <w:rFonts w:hint="default" w:ascii="Times New Roman" w:hAnsi="Times New Roman" w:cs="Times New Roman"/>
                <w:color w:val="auto"/>
                <w:highlight w:val="none"/>
                <w:lang w:val="en-US" w:eastAsia="zh-CN"/>
              </w:rPr>
              <w:t>输。生产辅助用房1位于厂区东侧，主要为试验车间和生产管理。生产辅房2位于厂区北部，主要布置固废暂存间和辅助生产设施。</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本项目雨污分流，排水管网按地势东高西低布置，初期雨水池位于西北角，化粪池位于西南角，废水主要为生活污水，废水和雨水能够利用地势自流进入化粪池和初期雨水池。废水处理设施布置合理。</w:t>
            </w:r>
          </w:p>
          <w:p>
            <w:pPr>
              <w:bidi w:val="0"/>
              <w:rPr>
                <w:rFonts w:hint="default" w:ascii="Times New Roman" w:hAnsi="Times New Roman" w:cs="Times New Roman"/>
                <w:color w:val="auto"/>
                <w:lang w:val="en-US" w:eastAsia="zh-CN"/>
              </w:rPr>
            </w:pPr>
            <w:r>
              <w:rPr>
                <w:rFonts w:hint="default" w:ascii="Times New Roman" w:hAnsi="Times New Roman" w:cs="Times New Roman"/>
                <w:color w:val="FF0000"/>
                <w:u w:val="single"/>
                <w:lang w:val="en-US" w:eastAsia="zh-CN"/>
              </w:rPr>
              <w:t>项目废气主要为粉尘，大部分设备密闭，输送、给料等无法密闭的设施半封闭设置，同时在产尘位置设置微负压，废气经集气罩收集排入布袋除尘器处理后经排气筒排放，各排气筒布置在车间中部，远离厂界布置，对周围环境影响最小，废气处理设施布置合理。本项目各设备均布置在车间内，主要噪声设备为机制砂生产线以及噪声较大的辅助设备如空压机等，空压机在车间内设置有空压机房，机制砂车间为为减小噪声对外环境的影响，尽量将设备靠南布置，减少对北侧居民的影响，其余噪声设备均设置基础减震。</w:t>
            </w:r>
            <w:r>
              <w:rPr>
                <w:rFonts w:hint="default" w:ascii="Times New Roman" w:hAnsi="Times New Roman" w:cs="Times New Roman"/>
                <w:color w:val="auto"/>
                <w:lang w:val="en-US" w:eastAsia="zh-CN"/>
              </w:rPr>
              <w:t>本项目建筑布局合理，交通便捷，管理方便。从环保角度分析，废气和噪声对外环境影响最小，总平面布置布置合理，平面布置见附图4。</w:t>
            </w:r>
          </w:p>
        </w:tc>
      </w:tr>
    </w:tbl>
    <w:p>
      <w:pPr>
        <w:rPr>
          <w:rFonts w:hint="default" w:ascii="Times New Roman" w:hAnsi="Times New Roman" w:cs="Times New Roman"/>
          <w:lang w:val="en-US" w:eastAsia="zh-CN"/>
        </w:rPr>
      </w:pPr>
      <w:r>
        <w:rPr>
          <w:rFonts w:hint="default" w:ascii="Times New Roman" w:hAnsi="Times New Roman" w:cs="Times New Roman"/>
          <w:lang w:val="en-US" w:eastAsia="zh-CN"/>
        </w:rPr>
        <w:br w:type="page"/>
      </w:r>
    </w:p>
    <w:p>
      <w:pPr>
        <w:pStyle w:val="4"/>
        <w:bidi w:val="0"/>
        <w:rPr>
          <w:rFonts w:hint="default" w:ascii="Times New Roman" w:hAnsi="Times New Roman" w:cs="Times New Roman"/>
          <w:lang w:val="en-US" w:eastAsia="zh-CN"/>
        </w:rPr>
      </w:pPr>
      <w:bookmarkStart w:id="11" w:name="_Toc7441"/>
      <w:r>
        <w:rPr>
          <w:rFonts w:hint="default" w:ascii="Times New Roman" w:hAnsi="Times New Roman" w:cs="Times New Roman"/>
          <w:lang w:val="en-US" w:eastAsia="zh-CN"/>
        </w:rPr>
        <w:t>二、建设项目工程分析</w:t>
      </w:r>
      <w:bookmarkEnd w:id="11"/>
    </w:p>
    <w:tbl>
      <w:tblPr>
        <w:tblStyle w:val="22"/>
        <w:tblW w:w="92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4"/>
        <w:gridCol w:w="86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4" w:hRule="atLeast"/>
          <w:jc w:val="center"/>
        </w:trPr>
        <w:tc>
          <w:tcPr>
            <w:tcW w:w="763"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vertAlign w:val="baseline"/>
                <w:lang w:val="en-US" w:eastAsia="zh-CN"/>
              </w:rPr>
            </w:pPr>
            <w:r>
              <w:rPr>
                <w:rFonts w:hint="default" w:ascii="Times New Roman" w:hAnsi="Times New Roman" w:cs="Times New Roman"/>
                <w:color w:val="auto"/>
                <w:lang w:val="en-US" w:eastAsia="zh-CN"/>
              </w:rPr>
              <w:t>建设内容</w:t>
            </w:r>
          </w:p>
        </w:tc>
        <w:tc>
          <w:tcPr>
            <w:tcW w:w="8504" w:type="dxa"/>
            <w:vAlign w:val="top"/>
          </w:tcPr>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黑体" w:cs="Times New Roman"/>
                <w:color w:val="auto"/>
                <w:sz w:val="24"/>
                <w:szCs w:val="24"/>
                <w:lang w:val="en-US" w:eastAsia="zh-CN"/>
              </w:rPr>
            </w:pPr>
            <w:r>
              <w:rPr>
                <w:rFonts w:hint="default" w:ascii="Times New Roman" w:hAnsi="Times New Roman" w:eastAsia="黑体" w:cs="Times New Roman"/>
                <w:color w:val="auto"/>
                <w:sz w:val="24"/>
                <w:szCs w:val="24"/>
                <w:lang w:val="en-US" w:eastAsia="zh-CN"/>
              </w:rPr>
              <w:t>2.1 项目概况</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湘阴中联重科新材料科技有限公司（以下简称“中联新材料”），成立于2022年06月10日，注册地位于湖南省岳阳市湘阴县文星街道乌龙社区湘杨路以西、远大路及湘杨路交汇处。</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中华人民共和国环境保护法》（2015年1月1日）、《中华人民共和国环境影响评价法》（2018年12月29日）、《建设项目环境影响评价分类管理名录》（2021年版），本项目干粉砂浆产品属于“二十七、非金属矿物制品业30，56砖瓦、石材等建筑材料制造303，其他建筑材料制造（含干粉砂浆搅拌站）”类项目，机制砂项目属于“二十七、非金属矿物制品业30，60石墨及其他非金属矿物制品制造309，其他”，均需编制环境影响报告表。受湘阴中联重科新材料科技有限公司委托，湖南中嘉泰禾环境科技有限公司承担本项目的环境影响评价工作。我单位接受委托后立即对项目进行现场踏勘，收集相关资料，按照《建设项目环境影响报告表编制技术指南（污染影响类）（试行）》及相关技术规范要求，编制了该项目的环境影响报告表。</w:t>
            </w:r>
          </w:p>
          <w:p>
            <w:pPr>
              <w:keepNext w:val="0"/>
              <w:keepLines w:val="0"/>
              <w:pageBreakBefore w:val="0"/>
              <w:widowControl w:val="0"/>
              <w:numPr>
                <w:ilvl w:val="0"/>
                <w:numId w:val="0"/>
              </w:numPr>
              <w:kinsoku/>
              <w:wordWrap/>
              <w:overflowPunct/>
              <w:topLinePunct w:val="0"/>
              <w:autoSpaceDE/>
              <w:autoSpaceDN/>
              <w:bidi w:val="0"/>
              <w:adjustRightInd/>
              <w:snapToGrid/>
              <w:ind w:left="0" w:leftChars="0"/>
              <w:textAlignment w:val="auto"/>
              <w:rPr>
                <w:rFonts w:hint="default" w:ascii="Times New Roman" w:hAnsi="Times New Roman" w:eastAsia="宋体" w:cs="Times New Roman"/>
                <w:color w:val="auto"/>
                <w:lang w:val="en-US" w:eastAsia="zh-CN"/>
              </w:rPr>
            </w:pPr>
            <w:r>
              <w:rPr>
                <w:rFonts w:hint="default" w:ascii="Times New Roman" w:hAnsi="Times New Roman" w:eastAsia="黑体" w:cs="Times New Roman"/>
                <w:color w:val="auto"/>
                <w:lang w:val="en-US" w:eastAsia="zh-CN"/>
              </w:rPr>
              <w:t>2.2 建设内容及规模</w:t>
            </w:r>
          </w:p>
          <w:p>
            <w:pPr>
              <w:bidi w:val="0"/>
              <w:ind w:left="0" w:leftChars="0" w:firstLine="0" w:firstLineChars="0"/>
              <w:jc w:val="both"/>
              <w:rPr>
                <w:rFonts w:hint="default" w:ascii="Times New Roman" w:hAnsi="Times New Roman" w:eastAsia="黑体" w:cs="Times New Roman"/>
                <w:color w:val="auto"/>
                <w:lang w:val="en-US" w:eastAsia="zh-CN"/>
              </w:rPr>
            </w:pPr>
            <w:r>
              <w:rPr>
                <w:rFonts w:hint="default" w:ascii="Times New Roman" w:hAnsi="Times New Roman" w:eastAsia="黑体" w:cs="Times New Roman"/>
                <w:color w:val="auto"/>
                <w:lang w:val="en-US" w:eastAsia="zh-CN"/>
              </w:rPr>
              <w:t>2.2.1 建设内容</w:t>
            </w:r>
          </w:p>
          <w:p>
            <w:pPr>
              <w:bidi w:val="0"/>
              <w:ind w:firstLine="1046"/>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中联新材标杆(湘阴)工厂项目（年产65万吨机制砂、98万吨干粉砂浆）</w:t>
            </w:r>
            <w:r>
              <w:rPr>
                <w:rFonts w:hint="default" w:ascii="Times New Roman" w:hAnsi="Times New Roman" w:cs="Times New Roman"/>
                <w:color w:val="auto"/>
                <w:lang w:val="en-US" w:eastAsia="zh-CN"/>
              </w:rPr>
              <w:t>位于湖南省岳阳市湘阴县湘杨路以西、远大路及湘杨路交汇处，总占地面积</w:t>
            </w:r>
            <w:r>
              <w:rPr>
                <w:rFonts w:hint="default" w:ascii="Times New Roman" w:hAnsi="Times New Roman" w:cs="Times New Roman"/>
                <w:color w:val="auto"/>
                <w:sz w:val="24"/>
                <w:szCs w:val="24"/>
                <w:vertAlign w:val="baseline"/>
                <w:lang w:val="en-US" w:eastAsia="zh-CN"/>
              </w:rPr>
              <w:t>69991.83m</w:t>
            </w:r>
            <w:r>
              <w:rPr>
                <w:rFonts w:hint="default" w:ascii="Times New Roman" w:hAnsi="Times New Roman" w:cs="Times New Roman"/>
                <w:color w:val="auto"/>
                <w:sz w:val="24"/>
                <w:szCs w:val="24"/>
                <w:vertAlign w:val="superscript"/>
                <w:lang w:val="en-US" w:eastAsia="zh-CN"/>
              </w:rPr>
              <w:t>2</w:t>
            </w:r>
            <w:r>
              <w:rPr>
                <w:rFonts w:hint="default" w:ascii="Times New Roman" w:hAnsi="Times New Roman" w:cs="Times New Roman"/>
                <w:color w:val="auto"/>
                <w:sz w:val="24"/>
                <w:szCs w:val="24"/>
                <w:vertAlign w:val="baseline"/>
                <w:lang w:val="en-US" w:eastAsia="zh-CN"/>
              </w:rPr>
              <w:t>，占地类型为二类工业用地。</w:t>
            </w:r>
          </w:p>
          <w:p>
            <w:pPr>
              <w:bidi w:val="0"/>
              <w:ind w:firstLine="1046"/>
              <w:rPr>
                <w:rFonts w:hint="default" w:ascii="Times New Roman" w:hAnsi="Times New Roman" w:eastAsia="宋体" w:cs="Times New Roman"/>
                <w:color w:val="auto"/>
                <w:lang w:val="en-US" w:eastAsia="zh-CN"/>
              </w:rPr>
            </w:pPr>
            <w:r>
              <w:rPr>
                <w:rFonts w:hint="default" w:ascii="Times New Roman" w:hAnsi="Times New Roman" w:cs="Times New Roman"/>
                <w:color w:val="auto"/>
                <w:sz w:val="24"/>
                <w:szCs w:val="24"/>
                <w:vertAlign w:val="baseline"/>
                <w:lang w:val="en-US" w:eastAsia="zh-CN"/>
              </w:rPr>
              <w:t>项目总投资金额36008.25万元，拟建5条干粉砂浆生产线和2条原材料生产线，主要建设内容包括2栋生产车间、2栋生产辅助房以及其他配套设施等。项目建成后，干粉砂浆生产线线可实现年产普通干粉砂浆65万吨，特种干粉砂浆25万吨，彩色干粉砂浆8万吨，原料生产线设计产能年产机制砂65万吨，部分用于干粉砂浆生产，部分可外售。</w:t>
            </w:r>
          </w:p>
          <w:p>
            <w:pPr>
              <w:bidi w:val="0"/>
              <w:ind w:firstLine="1046"/>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项目工程</w:t>
            </w:r>
            <w:r>
              <w:rPr>
                <w:rFonts w:hint="default" w:ascii="Times New Roman" w:hAnsi="Times New Roman" w:cs="Times New Roman"/>
                <w:color w:val="auto"/>
                <w:lang w:val="en-US" w:eastAsia="zh-CN"/>
              </w:rPr>
              <w:t>建设内容</w:t>
            </w:r>
            <w:r>
              <w:rPr>
                <w:rFonts w:hint="default" w:ascii="Times New Roman" w:hAnsi="Times New Roman" w:eastAsia="宋体" w:cs="Times New Roman"/>
                <w:color w:val="auto"/>
                <w:lang w:val="en-US" w:eastAsia="zh-CN"/>
              </w:rPr>
              <w:t>组成详见下表</w:t>
            </w:r>
            <w:r>
              <w:rPr>
                <w:rFonts w:hint="default" w:ascii="Times New Roman" w:hAnsi="Times New Roman" w:cs="Times New Roman"/>
                <w:color w:val="auto"/>
                <w:lang w:val="en-US" w:eastAsia="zh-CN"/>
              </w:rPr>
              <w:t>2-1</w:t>
            </w:r>
            <w:r>
              <w:rPr>
                <w:rFonts w:hint="default" w:ascii="Times New Roman" w:hAnsi="Times New Roman" w:eastAsia="宋体" w:cs="Times New Roman"/>
                <w:color w:val="auto"/>
                <w:lang w:val="en-US" w:eastAsia="zh-CN"/>
              </w:rPr>
              <w:t>。</w:t>
            </w:r>
          </w:p>
          <w:p>
            <w:pPr>
              <w:bidi w:val="0"/>
              <w:ind w:left="0" w:leftChars="0" w:firstLine="0" w:firstLineChars="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表2-1 项目建设内容一览表</w:t>
            </w:r>
          </w:p>
          <w:tbl>
            <w:tblPr>
              <w:tblStyle w:val="22"/>
              <w:tblW w:w="8305" w:type="dxa"/>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3"/>
              <w:gridCol w:w="812"/>
              <w:gridCol w:w="813"/>
              <w:gridCol w:w="1004"/>
              <w:gridCol w:w="50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2298" w:type="dxa"/>
                  <w:gridSpan w:val="3"/>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工程</w:t>
                  </w:r>
                  <w:r>
                    <w:rPr>
                      <w:rFonts w:hint="default" w:ascii="Times New Roman" w:hAnsi="Times New Roman" w:eastAsia="宋体" w:cs="Times New Roman"/>
                      <w:color w:val="auto"/>
                      <w:sz w:val="21"/>
                      <w:szCs w:val="21"/>
                      <w:vertAlign w:val="baseline"/>
                      <w:lang w:val="en-US" w:eastAsia="zh-CN"/>
                    </w:rPr>
                    <w:t>组成</w:t>
                  </w:r>
                </w:p>
              </w:tc>
              <w:tc>
                <w:tcPr>
                  <w:tcW w:w="100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规模（m</w:t>
                  </w:r>
                  <w:r>
                    <w:rPr>
                      <w:rFonts w:hint="default" w:ascii="Times New Roman" w:hAnsi="Times New Roman" w:cs="Times New Roman"/>
                      <w:color w:val="auto"/>
                      <w:sz w:val="21"/>
                      <w:szCs w:val="21"/>
                      <w:vertAlign w:val="superscript"/>
                      <w:lang w:val="en-US" w:eastAsia="zh-CN"/>
                    </w:rPr>
                    <w:t>2</w:t>
                  </w:r>
                  <w:r>
                    <w:rPr>
                      <w:rFonts w:hint="default" w:ascii="Times New Roman" w:hAnsi="Times New Roman" w:cs="Times New Roman"/>
                      <w:color w:val="auto"/>
                      <w:sz w:val="21"/>
                      <w:szCs w:val="21"/>
                      <w:vertAlign w:val="baseline"/>
                      <w:lang w:val="en-US" w:eastAsia="zh-CN"/>
                    </w:rPr>
                    <w:t>）</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建设内容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3"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主体工程</w:t>
                  </w:r>
                </w:p>
              </w:tc>
              <w:tc>
                <w:tcPr>
                  <w:tcW w:w="1625"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1#生产厂房</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（砂浆车间）</w:t>
                  </w:r>
                </w:p>
              </w:tc>
              <w:tc>
                <w:tcPr>
                  <w:tcW w:w="100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17744.53</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高49m，轻钢结构，短边5跨共117m，长边为164m，为干粉砂浆生产车间，设有2条MTA普通砂浆生产线、1条MTA彩色砂浆生产线、2条KMA特种砂浆生产线以及1条石灰石制砂生产线。此外还布设有原料筒仓、成品堆场、空压机房、变电所、发电机房、站房等辅助功能用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25"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2#生产辅房1</w:t>
                  </w:r>
                </w:p>
              </w:tc>
              <w:tc>
                <w:tcPr>
                  <w:tcW w:w="100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2149.45</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高15.3m，三层建筑，钢筋砼框架，一层为门厅、卫生间、消防控制、试验车间，二层三层为试验车间。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8" w:hRule="atLeast"/>
              </w:trPr>
              <w:tc>
                <w:tcPr>
                  <w:tcW w:w="67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25"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3#制砂车间及堆场雨棚</w:t>
                  </w:r>
                </w:p>
              </w:tc>
              <w:tc>
                <w:tcPr>
                  <w:tcW w:w="100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16766.61</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高</w:t>
                  </w:r>
                  <w:r>
                    <w:rPr>
                      <w:rFonts w:hint="default" w:ascii="Times New Roman" w:hAnsi="Times New Roman" w:cs="Times New Roman"/>
                      <w:color w:val="FF0000"/>
                      <w:sz w:val="21"/>
                      <w:szCs w:val="21"/>
                      <w:vertAlign w:val="baseline"/>
                      <w:lang w:val="en-US" w:eastAsia="zh-CN"/>
                    </w:rPr>
                    <w:t>17m，轻钢结构，短边3跨共81m、74.85m，长边225m，布置有原料堆场和机</w:t>
                  </w:r>
                  <w:r>
                    <w:rPr>
                      <w:rFonts w:hint="default" w:ascii="Times New Roman" w:hAnsi="Times New Roman" w:cs="Times New Roman"/>
                      <w:color w:val="auto"/>
                      <w:sz w:val="21"/>
                      <w:szCs w:val="21"/>
                      <w:vertAlign w:val="baseline"/>
                      <w:lang w:val="en-US" w:eastAsia="zh-CN"/>
                    </w:rPr>
                    <w:t>制砂生产车间，机制砂车间内布置鹅卵石机制砂生产线和河砂烘干线、筒仓、车间辅房、站房等辅助用房。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rPr>
                  </w:pPr>
                </w:p>
              </w:tc>
              <w:tc>
                <w:tcPr>
                  <w:tcW w:w="1625"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4#生产辅房2</w:t>
                  </w:r>
                </w:p>
              </w:tc>
              <w:tc>
                <w:tcPr>
                  <w:tcW w:w="100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465.76</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高4.1m，单层建筑，钢筋砼框架和轻钢结构，包含纸类存放间、固废间、托盘存放间、消防水泵房。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3"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辅助工程</w:t>
                  </w:r>
                </w:p>
              </w:tc>
              <w:tc>
                <w:tcPr>
                  <w:tcW w:w="1625"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5#门卫1</w:t>
                  </w:r>
                </w:p>
              </w:tc>
              <w:tc>
                <w:tcPr>
                  <w:tcW w:w="100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32.39</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高3.6m，单层建筑，钢筋砼框架，含值班室、休息室、卫生间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25"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6#门卫2</w:t>
                  </w:r>
                </w:p>
              </w:tc>
              <w:tc>
                <w:tcPr>
                  <w:tcW w:w="100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32.39</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高3.6m，单层建筑，轻钢砼框架，含值班室、休息室、卫生间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trPr>
              <w:tc>
                <w:tcPr>
                  <w:tcW w:w="67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625"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道路及停车场</w:t>
                  </w:r>
                </w:p>
              </w:tc>
              <w:tc>
                <w:tcPr>
                  <w:tcW w:w="100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25203.7</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道路采用环绕式布局，主要道路宽度9m，转弯半径12m，设置货车停车场和汽车停车场，车位37个。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 w:hRule="atLeast"/>
              </w:trPr>
              <w:tc>
                <w:tcPr>
                  <w:tcW w:w="673"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公用工程</w:t>
                  </w:r>
                </w:p>
              </w:tc>
              <w:tc>
                <w:tcPr>
                  <w:tcW w:w="1625"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变配电间</w:t>
                  </w:r>
                </w:p>
              </w:tc>
              <w:tc>
                <w:tcPr>
                  <w:tcW w:w="100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288</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供电电压10kV，在生产厂房北侧设置高压配电装置及计量装置，作为全厂的高压分配中心，采用1路10kV专线因子就近的市政接口，进线容量5250kVA。进线电缆采用YJV-8.7/10kV型高压电缆贯穿埋地引入高压配电装置。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2" w:hRule="atLeast"/>
              </w:trPr>
              <w:tc>
                <w:tcPr>
                  <w:tcW w:w="67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rPr>
                  </w:pPr>
                </w:p>
              </w:tc>
              <w:tc>
                <w:tcPr>
                  <w:tcW w:w="1625"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空压站</w:t>
                  </w:r>
                </w:p>
              </w:tc>
              <w:tc>
                <w:tcPr>
                  <w:tcW w:w="100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288</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制砂车间及生产厂房分别布设空压站房，配套空压组件，其中生产厂房压缩空气总用气量7Nm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vertAlign w:val="baseline"/>
                      <w:lang w:val="en-US" w:eastAsia="zh-CN"/>
                    </w:rPr>
                    <w:t>/min，装机供气量85Nm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vertAlign w:val="baseline"/>
                      <w:lang w:val="en-US" w:eastAsia="zh-CN"/>
                    </w:rPr>
                    <w:t>/min；制砂车间工艺总用气量40Nm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vertAlign w:val="baseline"/>
                      <w:lang w:val="en-US" w:eastAsia="zh-CN"/>
                    </w:rPr>
                    <w:t>/min，装机供气量54.3Nm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vertAlign w:val="baseline"/>
                      <w:lang w:val="en-US" w:eastAsia="zh-CN"/>
                    </w:rPr>
                    <w:t>/min。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67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rPr>
                  </w:pPr>
                </w:p>
              </w:tc>
              <w:tc>
                <w:tcPr>
                  <w:tcW w:w="1625"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发电机房</w:t>
                  </w:r>
                </w:p>
              </w:tc>
              <w:tc>
                <w:tcPr>
                  <w:tcW w:w="100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144</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设置常载90kW/备载100kW的柴油发电机房一座， 柴油最大储存量0.1t。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67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rPr>
                  </w:pPr>
                </w:p>
              </w:tc>
              <w:tc>
                <w:tcPr>
                  <w:tcW w:w="1625"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给水工程</w:t>
                  </w:r>
                </w:p>
              </w:tc>
              <w:tc>
                <w:tcPr>
                  <w:tcW w:w="100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市政自来水，由湘杨路市政给水管网就近接入，水压暂定0.25MPa；绿化和景观采用雨水会用系统供给，从湘杨路接入一根管径DN150mm的进水管供给生产生活用水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67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rPr>
                  </w:pPr>
                </w:p>
              </w:tc>
              <w:tc>
                <w:tcPr>
                  <w:tcW w:w="1625"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供气工程</w:t>
                  </w:r>
                </w:p>
              </w:tc>
              <w:tc>
                <w:tcPr>
                  <w:tcW w:w="100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制砂车间烘干需要用天然气，由湘杨路市政中压干管供应，在厂区西北南侧设调压柜，供气压力为0.2~0.4MPa，热值为33.4MJ/Nm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vertAlign w:val="baseline"/>
                      <w:lang w:val="en-US" w:eastAsia="zh-CN"/>
                    </w:rPr>
                    <w:t>（8000kcal/Nm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vertAlign w:val="baseline"/>
                      <w:lang w:val="en-US" w:eastAsia="zh-CN"/>
                    </w:rPr>
                    <w:t>），经厂区管道送至制砂车间。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67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rPr>
                  </w:pPr>
                </w:p>
              </w:tc>
              <w:tc>
                <w:tcPr>
                  <w:tcW w:w="812"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排水工程</w:t>
                  </w:r>
                </w:p>
              </w:tc>
              <w:tc>
                <w:tcPr>
                  <w:tcW w:w="81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雨水</w:t>
                  </w:r>
                </w:p>
              </w:tc>
              <w:tc>
                <w:tcPr>
                  <w:tcW w:w="100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800m</w:t>
                  </w:r>
                  <w:r>
                    <w:rPr>
                      <w:rFonts w:hint="default" w:ascii="Times New Roman" w:hAnsi="Times New Roman" w:cs="Times New Roman"/>
                      <w:color w:val="auto"/>
                      <w:sz w:val="21"/>
                      <w:szCs w:val="21"/>
                      <w:vertAlign w:val="superscript"/>
                      <w:lang w:val="en-US" w:eastAsia="zh-CN"/>
                    </w:rPr>
                    <w:t>3</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设置800m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vertAlign w:val="baseline"/>
                      <w:lang w:val="en-US" w:eastAsia="zh-CN"/>
                    </w:rPr>
                    <w:t>初期雨水收集池，雨水经初期雨水沉淀后用于厂区绿化、道路洒水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67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81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81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废水</w:t>
                  </w:r>
                </w:p>
              </w:tc>
              <w:tc>
                <w:tcPr>
                  <w:tcW w:w="100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化粪池20m</w:t>
                  </w:r>
                  <w:r>
                    <w:rPr>
                      <w:rFonts w:hint="default" w:ascii="Times New Roman" w:hAnsi="Times New Roman" w:cs="Times New Roman"/>
                      <w:color w:val="auto"/>
                      <w:sz w:val="21"/>
                      <w:szCs w:val="21"/>
                      <w:vertAlign w:val="superscript"/>
                      <w:lang w:val="en-US" w:eastAsia="zh-CN"/>
                    </w:rPr>
                    <w:t>3</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采取雨水分流制，生活污水经化粪池收集处理达标后排入市政污水管网进入湘阴县第一污水处理厂进一步处理，无生产废水排放。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3302" w:type="dxa"/>
                  <w:gridSpan w:val="4"/>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u w:val="single"/>
                      <w:vertAlign w:val="baseline"/>
                      <w:lang w:val="en-US" w:eastAsia="zh-CN" w:bidi="ar-SA"/>
                    </w:rPr>
                  </w:pPr>
                  <w:r>
                    <w:rPr>
                      <w:rFonts w:hint="default" w:ascii="Times New Roman" w:hAnsi="Times New Roman" w:cs="Times New Roman"/>
                      <w:color w:val="FF0000"/>
                      <w:sz w:val="21"/>
                      <w:szCs w:val="21"/>
                      <w:u w:val="single"/>
                      <w:vertAlign w:val="baseline"/>
                      <w:lang w:val="en-US" w:eastAsia="zh-CN"/>
                    </w:rPr>
                    <w:t>储运工程</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u w:val="single"/>
                      <w:vertAlign w:val="baseline"/>
                      <w:lang w:val="en-US" w:eastAsia="zh-CN"/>
                    </w:rPr>
                  </w:pPr>
                  <w:r>
                    <w:rPr>
                      <w:rFonts w:hint="default" w:ascii="Times New Roman" w:hAnsi="Times New Roman" w:cs="Times New Roman"/>
                      <w:color w:val="FF0000"/>
                      <w:sz w:val="21"/>
                      <w:szCs w:val="21"/>
                      <w:u w:val="single"/>
                      <w:vertAlign w:val="baseline"/>
                      <w:lang w:val="en-US" w:eastAsia="zh-CN"/>
                    </w:rPr>
                    <w:t>鹅卵石/河砂：本项目鹅卵石和机制砂原料由建华管桩码头输送至制砂堆场采用皮带运输，全封闭式运输。</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FF0000"/>
                      <w:kern w:val="2"/>
                      <w:sz w:val="21"/>
                      <w:szCs w:val="21"/>
                      <w:u w:val="single"/>
                      <w:vertAlign w:val="baseline"/>
                      <w:lang w:val="en-US" w:eastAsia="zh-CN" w:bidi="ar-SA"/>
                    </w:rPr>
                  </w:pPr>
                  <w:r>
                    <w:rPr>
                      <w:rFonts w:hint="default" w:ascii="Times New Roman" w:hAnsi="Times New Roman" w:cs="Times New Roman"/>
                      <w:color w:val="FF0000"/>
                      <w:sz w:val="21"/>
                      <w:szCs w:val="21"/>
                      <w:u w:val="single"/>
                      <w:vertAlign w:val="baseline"/>
                      <w:lang w:val="en-US" w:eastAsia="zh-CN"/>
                    </w:rPr>
                    <w:t>其他原辅材料：采用汽车运输至厂区内。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673"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环保工程</w:t>
                  </w:r>
                </w:p>
              </w:tc>
              <w:tc>
                <w:tcPr>
                  <w:tcW w:w="812"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废气</w:t>
                  </w:r>
                </w:p>
              </w:tc>
              <w:tc>
                <w:tcPr>
                  <w:tcW w:w="181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原料生产系统</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废气处理设施</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①河砂和鹅卵石机制砂烘干废气排入脉冲布袋除尘器处理后通过</w:t>
                  </w:r>
                  <w:r>
                    <w:rPr>
                      <w:rFonts w:hint="default" w:ascii="Times New Roman" w:hAnsi="Times New Roman" w:cs="Times New Roman"/>
                      <w:color w:val="FF0000"/>
                      <w:sz w:val="21"/>
                      <w:szCs w:val="21"/>
                      <w:u w:val="single"/>
                      <w:vertAlign w:val="baseline"/>
                      <w:lang w:val="en-US" w:eastAsia="zh-CN"/>
                    </w:rPr>
                    <w:t>20m高</w:t>
                  </w:r>
                  <w:r>
                    <w:rPr>
                      <w:rFonts w:hint="default" w:ascii="Times New Roman" w:hAnsi="Times New Roman" w:cs="Times New Roman"/>
                      <w:color w:val="auto"/>
                      <w:sz w:val="21"/>
                      <w:szCs w:val="21"/>
                      <w:vertAlign w:val="baseline"/>
                      <w:lang w:val="en-US" w:eastAsia="zh-CN"/>
                    </w:rPr>
                    <w:t>排气筒DA001排放；</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②鹅卵石/河砂机制砂生产线在运输、给料、筛分、破碎等产生粉尘的部位设置集气罩和脉冲布袋除尘器，所有经过处理的废气汇入</w:t>
                  </w:r>
                  <w:r>
                    <w:rPr>
                      <w:rFonts w:hint="default" w:ascii="Times New Roman" w:hAnsi="Times New Roman" w:cs="Times New Roman"/>
                      <w:color w:val="FF0000"/>
                      <w:sz w:val="21"/>
                      <w:szCs w:val="21"/>
                      <w:u w:val="single"/>
                      <w:vertAlign w:val="baseline"/>
                      <w:lang w:val="en-US" w:eastAsia="zh-CN"/>
                    </w:rPr>
                    <w:t>20m高</w:t>
                  </w:r>
                  <w:r>
                    <w:rPr>
                      <w:rFonts w:hint="default" w:ascii="Times New Roman" w:hAnsi="Times New Roman" w:cs="Times New Roman"/>
                      <w:color w:val="auto"/>
                      <w:sz w:val="21"/>
                      <w:szCs w:val="21"/>
                      <w:vertAlign w:val="baseline"/>
                      <w:lang w:val="en-US" w:eastAsia="zh-CN"/>
                    </w:rPr>
                    <w:t>的排气筒DA002排放；</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③石灰石制砂生产线在制砂、给料、运输等产生粉尘的节点设置集气罩和脉冲布袋除尘器，所有经过处理后的废气汇入52m高的排气筒DA003排放。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81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817" w:type="dxa"/>
                  <w:gridSpan w:val="2"/>
                  <w:vAlign w:val="center"/>
                </w:tcPr>
                <w:p>
                  <w:pPr>
                    <w:pStyle w:val="28"/>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干粉砂浆</w:t>
                  </w:r>
                </w:p>
                <w:p>
                  <w:pPr>
                    <w:pStyle w:val="28"/>
                    <w:keepNext w:val="0"/>
                    <w:keepLines w:val="0"/>
                    <w:pageBreakBefore w:val="0"/>
                    <w:widowControl w:val="0"/>
                    <w:kinsoku/>
                    <w:wordWrap/>
                    <w:overflowPunct/>
                    <w:topLinePunct w:val="0"/>
                    <w:bidi w:val="0"/>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废气处理设施</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①MTA生产线1：2条普通砂浆生产线共用一套除尘系统，在砂石料运输、给料、混合、包装等产生粉尘的节点设置集气罩和脉冲除尘器处理，所有经过处理的废气汇入52m高的排气筒DA004排放；</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color w:val="FF0000"/>
                      <w:sz w:val="21"/>
                      <w:szCs w:val="21"/>
                      <w:u w:val="single"/>
                      <w:vertAlign w:val="baseline"/>
                      <w:lang w:val="en-US" w:eastAsia="zh-CN"/>
                    </w:rPr>
                  </w:pPr>
                  <w:r>
                    <w:rPr>
                      <w:rFonts w:hint="default" w:ascii="Times New Roman" w:hAnsi="Times New Roman" w:cs="Times New Roman"/>
                      <w:color w:val="auto"/>
                      <w:sz w:val="21"/>
                      <w:szCs w:val="21"/>
                      <w:u w:val="single"/>
                      <w:vertAlign w:val="baseline"/>
                      <w:lang w:val="en-US" w:eastAsia="zh-CN"/>
                    </w:rPr>
                    <w:t>②MTA生产线2：</w:t>
                  </w:r>
                  <w:r>
                    <w:rPr>
                      <w:rFonts w:hint="default" w:ascii="Times New Roman" w:hAnsi="Times New Roman" w:cs="Times New Roman"/>
                      <w:color w:val="FF0000"/>
                      <w:sz w:val="21"/>
                      <w:szCs w:val="21"/>
                      <w:u w:val="single"/>
                      <w:vertAlign w:val="baseline"/>
                      <w:lang w:val="en-US" w:eastAsia="zh-CN"/>
                    </w:rPr>
                    <w:t>彩色砂浆生产线设置1套除尘系统，分别在砂石料运输、给料、混合、包装等产生粉尘的节点设置集气罩和脉冲布袋除尘器，</w:t>
                  </w:r>
                  <w:r>
                    <w:rPr>
                      <w:rFonts w:hint="default" w:ascii="Times New Roman" w:hAnsi="Times New Roman" w:cs="Times New Roman"/>
                      <w:color w:val="auto"/>
                      <w:sz w:val="21"/>
                      <w:szCs w:val="21"/>
                      <w:u w:val="single"/>
                      <w:vertAlign w:val="baseline"/>
                      <w:lang w:val="en-US" w:eastAsia="zh-CN"/>
                    </w:rPr>
                    <w:t>所有经过处理的废气汇入</w:t>
                  </w:r>
                  <w:r>
                    <w:rPr>
                      <w:rFonts w:hint="default" w:ascii="Times New Roman" w:hAnsi="Times New Roman" w:cs="Times New Roman"/>
                      <w:color w:val="FF0000"/>
                      <w:sz w:val="21"/>
                      <w:szCs w:val="21"/>
                      <w:u w:val="single"/>
                      <w:vertAlign w:val="baseline"/>
                      <w:lang w:val="en-US" w:eastAsia="zh-CN"/>
                    </w:rPr>
                    <w:t>52m高的排气筒DA005排放。</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③KMA生产线：2条特种砂浆生产线共用1套除尘系统，分别在砂石料运输、给料、包装、混合等产生粉尘的节点设置集气罩和布袋除尘器，所有经过处理的废气汇入通过52m高的排气筒DA006排放。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81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81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筒仓粉尘</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废气处理设施</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机制砂、河砂、石灰石等半成品采用筒仓储存，筒仓位于生产车间内，筒仓呼吸口设置脉冲布袋除尘器处理后无组织排放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81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81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堆场粉尘</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废气处理设施</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原材料堆场内采用雾化喷淋系统，减少堆场装卸扬尘。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trPr>
              <w:tc>
                <w:tcPr>
                  <w:tcW w:w="67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81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81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包装喷码废气</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主要为外包装喷码，年用50kg水性油墨，油墨挥发性成分少于10%，废气产生量较少，无组织排放。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rPr>
                  </w:pPr>
                </w:p>
              </w:tc>
              <w:tc>
                <w:tcPr>
                  <w:tcW w:w="81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废水</w:t>
                  </w:r>
                </w:p>
              </w:tc>
              <w:tc>
                <w:tcPr>
                  <w:tcW w:w="181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生活污水化粪池</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设20m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vertAlign w:val="baseline"/>
                      <w:lang w:val="en-US" w:eastAsia="zh-CN"/>
                    </w:rPr>
                    <w:t>化粪池，用于处理生活污水，经预处理后排入市政污水管网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812"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固废</w:t>
                  </w:r>
                </w:p>
              </w:tc>
              <w:tc>
                <w:tcPr>
                  <w:tcW w:w="181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生活垃圾</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生活垃圾设置垃圾桶收集后交由环卫部门处理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 w:hRule="atLeast"/>
              </w:trPr>
              <w:tc>
                <w:tcPr>
                  <w:tcW w:w="67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81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81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一般固废</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在生产辅助用房2内设置一般固废暂存间收集废包装材料。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7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812"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81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危险废物</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在生产辅助用房2设置一间20m</w:t>
                  </w:r>
                  <w:r>
                    <w:rPr>
                      <w:rFonts w:hint="default" w:ascii="Times New Roman" w:hAnsi="Times New Roman" w:cs="Times New Roman"/>
                      <w:color w:val="auto"/>
                      <w:sz w:val="21"/>
                      <w:szCs w:val="21"/>
                      <w:vertAlign w:val="superscript"/>
                      <w:lang w:val="en-US" w:eastAsia="zh-CN"/>
                    </w:rPr>
                    <w:t>2</w:t>
                  </w:r>
                  <w:r>
                    <w:rPr>
                      <w:rFonts w:hint="default" w:ascii="Times New Roman" w:hAnsi="Times New Roman" w:cs="Times New Roman"/>
                      <w:color w:val="auto"/>
                      <w:sz w:val="21"/>
                      <w:szCs w:val="21"/>
                      <w:vertAlign w:val="baseline"/>
                      <w:lang w:val="en-US" w:eastAsia="zh-CN"/>
                    </w:rPr>
                    <w:t>的危险废物暂存间收集废机油、废液压油、废油墨盒等危险废物，暂存后交由有资质单位收集处理。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67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rPr>
                  </w:pPr>
                </w:p>
              </w:tc>
              <w:tc>
                <w:tcPr>
                  <w:tcW w:w="81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风险防范</w:t>
                  </w:r>
                </w:p>
              </w:tc>
              <w:tc>
                <w:tcPr>
                  <w:tcW w:w="181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highlight w:val="none"/>
                      <w:vertAlign w:val="baseline"/>
                      <w:lang w:val="en-US" w:eastAsia="zh-CN" w:bidi="ar-SA"/>
                    </w:rPr>
                    <w:t>初期雨水收集池</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设置</w:t>
                  </w:r>
                  <w:r>
                    <w:rPr>
                      <w:rFonts w:hint="default" w:ascii="Times New Roman" w:hAnsi="Times New Roman" w:cs="Times New Roman"/>
                      <w:color w:val="auto"/>
                      <w:sz w:val="21"/>
                      <w:szCs w:val="21"/>
                      <w:vertAlign w:val="baseline"/>
                      <w:lang w:val="en-US" w:eastAsia="zh-CN"/>
                    </w:rPr>
                    <w:t>800m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vertAlign w:val="baseline"/>
                      <w:lang w:val="en-US" w:eastAsia="zh-CN"/>
                    </w:rPr>
                    <w:t>初期雨水收集池收集初期雨水，收集的雨水经沉淀后回用于洒水、绿化等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673"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依托工程</w:t>
                  </w:r>
                </w:p>
              </w:tc>
              <w:tc>
                <w:tcPr>
                  <w:tcW w:w="2629" w:type="dxa"/>
                  <w:gridSpan w:val="3"/>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lang w:val="en-US" w:eastAsia="zh-CN"/>
                    </w:rPr>
                    <w:t>建华管桩码头</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21"/>
                      <w:szCs w:val="21"/>
                      <w:highlight w:val="none"/>
                      <w:vertAlign w:val="baseline"/>
                      <w:lang w:val="en-US" w:eastAsia="zh-CN" w:bidi="ar-SA"/>
                    </w:rPr>
                  </w:pPr>
                  <w:r>
                    <w:rPr>
                      <w:rFonts w:hint="default" w:ascii="Times New Roman" w:hAnsi="Times New Roman" w:cs="Times New Roman"/>
                      <w:color w:val="auto"/>
                      <w:kern w:val="2"/>
                      <w:sz w:val="21"/>
                      <w:szCs w:val="21"/>
                      <w:highlight w:val="none"/>
                      <w:vertAlign w:val="baseline"/>
                      <w:lang w:val="en-US" w:eastAsia="zh-CN" w:bidi="ar-SA"/>
                    </w:rPr>
                    <w:t>本项目原辅材料及产品运输依托建华管桩码头。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67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lang w:val="en-US" w:eastAsia="zh-CN"/>
                    </w:rPr>
                  </w:pPr>
                </w:p>
              </w:tc>
              <w:tc>
                <w:tcPr>
                  <w:tcW w:w="2629" w:type="dxa"/>
                  <w:gridSpan w:val="3"/>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lang w:val="en-US" w:eastAsia="zh-CN"/>
                    </w:rPr>
                    <w:t>湘阴县第一污水处理厂</w:t>
                  </w:r>
                </w:p>
              </w:tc>
              <w:tc>
                <w:tcPr>
                  <w:tcW w:w="500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21"/>
                      <w:szCs w:val="21"/>
                      <w:highlight w:val="none"/>
                      <w:vertAlign w:val="baseline"/>
                      <w:lang w:val="en-US" w:eastAsia="zh-CN" w:bidi="ar-SA"/>
                    </w:rPr>
                  </w:pPr>
                  <w:r>
                    <w:rPr>
                      <w:rFonts w:hint="default" w:ascii="Times New Roman" w:hAnsi="Times New Roman" w:cs="Times New Roman"/>
                      <w:color w:val="auto"/>
                      <w:kern w:val="2"/>
                      <w:sz w:val="21"/>
                      <w:szCs w:val="21"/>
                      <w:highlight w:val="none"/>
                      <w:vertAlign w:val="baseline"/>
                      <w:lang w:val="en-US" w:eastAsia="zh-CN" w:bidi="ar-SA"/>
                    </w:rPr>
                    <w:t>本项目生活污水经化粪池收集处理后排入湘阴县第一污水处理厂进一步处理，项目区域已接入市政网管，本项目废水主要为生活污水，产生量为3.01t/d，废水水质简单，水量少，依托该污水处理厂可行。</w:t>
                  </w:r>
                </w:p>
              </w:tc>
            </w:tr>
          </w:tbl>
          <w:p>
            <w:pPr>
              <w:pStyle w:val="10"/>
              <w:bidi w:val="0"/>
              <w:rPr>
                <w:rFonts w:hint="default" w:ascii="Times New Roman" w:hAnsi="Times New Roman" w:cs="Times New Roman"/>
                <w:b/>
                <w:bCs/>
                <w:color w:val="FF0000"/>
                <w:lang w:val="en-US" w:eastAsia="zh-CN"/>
              </w:rPr>
            </w:pPr>
            <w:r>
              <w:rPr>
                <w:rFonts w:hint="default" w:ascii="Times New Roman" w:hAnsi="Times New Roman" w:cs="Times New Roman"/>
                <w:b/>
                <w:bCs/>
                <w:color w:val="FF0000"/>
                <w:lang w:val="en-US" w:eastAsia="zh-CN"/>
              </w:rPr>
              <w:t>建华管桩码头依托性分析：</w:t>
            </w:r>
          </w:p>
          <w:p>
            <w:pPr>
              <w:pStyle w:val="11"/>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建华管桩码头建设1个2000吨级趸船码头泊位（洪水期兼顾3000吨级散杂货船），总占地面积8160m</w:t>
            </w:r>
            <w:r>
              <w:rPr>
                <w:rFonts w:hint="default" w:ascii="Times New Roman" w:hAnsi="Times New Roman" w:cs="Times New Roman"/>
                <w:color w:val="FF0000"/>
                <w:vertAlign w:val="superscript"/>
                <w:lang w:val="en-US" w:eastAsia="zh-CN"/>
              </w:rPr>
              <w:t>2</w:t>
            </w:r>
            <w:r>
              <w:rPr>
                <w:rFonts w:hint="default" w:ascii="Times New Roman" w:hAnsi="Times New Roman" w:cs="Times New Roman"/>
                <w:color w:val="FF0000"/>
                <w:lang w:val="en-US" w:eastAsia="zh-CN"/>
              </w:rPr>
              <w:t>，占有岸线138m，码头采用浮码头形式，主要由趸船、跳板、浮趸、定位墩、钢引桥、斜坡踏步等组成。码头设1个进口接料斗，在浮趸上方设1个砂石防尘接料斗（4m×4m），由自卸货船带式输送机进行卸料，经进口接料斗带式输送机及封闭式架空钢引桥带式运输机转运至后方封闭式原料堆场。</w:t>
            </w:r>
          </w:p>
          <w:p>
            <w:pPr>
              <w:pStyle w:val="11"/>
              <w:rPr>
                <w:rFonts w:hint="default" w:ascii="Times New Roman" w:hAnsi="Times New Roman" w:cs="Times New Roman"/>
                <w:color w:val="FF0000"/>
                <w:u w:val="none"/>
                <w:lang w:val="en-US" w:eastAsia="zh-CN"/>
              </w:rPr>
            </w:pPr>
            <w:r>
              <w:rPr>
                <w:rFonts w:hint="default" w:ascii="Times New Roman" w:hAnsi="Times New Roman" w:cs="Times New Roman"/>
                <w:color w:val="FF0000"/>
                <w:u w:val="none"/>
                <w:lang w:val="en-US" w:eastAsia="zh-CN"/>
              </w:rPr>
              <w:t>服务对象、货种及吞吐量：服务对象为建华建材（湖南）有限公司和湘阴中联重科新材料科技有限公司，负责砂石料进口作业，设计吞吐量为180万吨/年。该项目于2021年8月26取得了《关于建华建材（湖南）有限公司2000t级砂石码头项目环境影响报告书的批复》（岳环评〔2021〕46号）。</w:t>
            </w:r>
          </w:p>
          <w:p>
            <w:pPr>
              <w:pStyle w:val="11"/>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本项目位于建华管桩码头北侧，原料来源于湖南洞庭资源控股集团有限公司，原料来源合法可靠，砂石料通过建华管桩码头采用皮带输送或货车运输至厂区原料堆场，原料为河砂、鹅卵石和石灰石，设计原料加工产能为80万吨/年。该码头设计规模为2000t砂石码头，设计吞吐量为180万吨/年，目前约有100万的吞吐量，具有较大容量，该码头将部分场地租赁给湘阴中联重科新材料科技有限公司建设输送带，由自卸货船带式输送机进行卸料，原料经进口接料斗带式输送机及封闭带式运输机转运至原料堆场，可满足本项目原料运输需求，依托码头合法证明文件见附件8，因此本项目原料运输依托建华管桩码头可行。</w:t>
            </w:r>
          </w:p>
          <w:p>
            <w:pPr>
              <w:bidi w:val="0"/>
              <w:ind w:left="0" w:leftChars="0" w:firstLine="0" w:firstLineChars="0"/>
              <w:jc w:val="both"/>
              <w:rPr>
                <w:rFonts w:hint="default" w:ascii="Times New Roman" w:hAnsi="Times New Roman" w:eastAsia="黑体" w:cs="Times New Roman"/>
                <w:color w:val="auto"/>
                <w:lang w:val="en-US" w:eastAsia="zh-CN"/>
              </w:rPr>
            </w:pPr>
            <w:r>
              <w:rPr>
                <w:rFonts w:hint="default" w:ascii="Times New Roman" w:hAnsi="Times New Roman" w:eastAsia="黑体" w:cs="Times New Roman"/>
                <w:color w:val="auto"/>
                <w:lang w:val="en-US" w:eastAsia="zh-CN"/>
              </w:rPr>
              <w:t>2.2.2 主要产品及产能</w:t>
            </w:r>
          </w:p>
          <w:p>
            <w:pPr>
              <w:pStyle w:val="2"/>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建成后年产干粉砂浆产品98万吨，其中主要包含普通干粉砂浆约65万吨/年、彩色特种干粉砂浆8万吨/年、砂类特种砂浆25万吨/年，实际产品结构根据订单确定。其中干粉砂浆产品使用的机制砂原料为本项目两条原料生产线提供，两条原料生产线可产机制砂65万吨/年。</w:t>
            </w:r>
          </w:p>
          <w:p>
            <w:pPr>
              <w:pStyle w:val="2"/>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本项目产品设计方案见下表2-2。</w:t>
            </w:r>
          </w:p>
          <w:p>
            <w:pPr>
              <w:pStyle w:val="32"/>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表2-2 主要产品及产能一览表</w:t>
            </w:r>
          </w:p>
          <w:tbl>
            <w:tblPr>
              <w:tblStyle w:val="21"/>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6"/>
              <w:gridCol w:w="874"/>
              <w:gridCol w:w="1133"/>
              <w:gridCol w:w="1173"/>
              <w:gridCol w:w="955"/>
              <w:gridCol w:w="1402"/>
              <w:gridCol w:w="1108"/>
              <w:gridCol w:w="11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385" w:type="pct"/>
                  <w:vAlign w:val="center"/>
                </w:tcPr>
                <w:p>
                  <w:pPr>
                    <w:pStyle w:val="33"/>
                    <w:spacing w:line="240" w:lineRule="auto"/>
                    <w:rPr>
                      <w:rFonts w:hint="default" w:ascii="Times New Roman" w:hAnsi="Times New Roman" w:cs="Times New Roman"/>
                    </w:rPr>
                  </w:pPr>
                  <w:bookmarkStart w:id="12" w:name="_Toc262208036"/>
                  <w:r>
                    <w:rPr>
                      <w:rFonts w:hint="default" w:ascii="Times New Roman" w:hAnsi="Times New Roman" w:cs="Times New Roman"/>
                    </w:rPr>
                    <w:t>产品</w:t>
                  </w:r>
                </w:p>
                <w:p>
                  <w:pPr>
                    <w:pStyle w:val="33"/>
                    <w:spacing w:line="240" w:lineRule="auto"/>
                    <w:rPr>
                      <w:rFonts w:hint="default" w:ascii="Times New Roman" w:hAnsi="Times New Roman" w:cs="Times New Roman"/>
                    </w:rPr>
                  </w:pPr>
                  <w:r>
                    <w:rPr>
                      <w:rFonts w:hint="default" w:ascii="Times New Roman" w:hAnsi="Times New Roman" w:cs="Times New Roman"/>
                    </w:rPr>
                    <w:t>类别</w:t>
                  </w:r>
                </w:p>
              </w:tc>
              <w:tc>
                <w:tcPr>
                  <w:tcW w:w="1193" w:type="pct"/>
                  <w:gridSpan w:val="2"/>
                  <w:vAlign w:val="center"/>
                </w:tcPr>
                <w:p>
                  <w:pPr>
                    <w:pStyle w:val="33"/>
                    <w:spacing w:line="240" w:lineRule="auto"/>
                    <w:rPr>
                      <w:rFonts w:hint="default" w:ascii="Times New Roman" w:hAnsi="Times New Roman" w:cs="Times New Roman"/>
                    </w:rPr>
                  </w:pPr>
                  <w:r>
                    <w:rPr>
                      <w:rFonts w:hint="default" w:ascii="Times New Roman" w:hAnsi="Times New Roman" w:cs="Times New Roman"/>
                    </w:rPr>
                    <w:t>生产线名称</w:t>
                  </w:r>
                </w:p>
              </w:tc>
              <w:tc>
                <w:tcPr>
                  <w:tcW w:w="698" w:type="pct"/>
                  <w:vAlign w:val="center"/>
                </w:tcPr>
                <w:p>
                  <w:pPr>
                    <w:pStyle w:val="33"/>
                    <w:spacing w:line="240" w:lineRule="auto"/>
                    <w:rPr>
                      <w:rFonts w:hint="default" w:ascii="Times New Roman" w:hAnsi="Times New Roman" w:cs="Times New Roman"/>
                    </w:rPr>
                  </w:pPr>
                  <w:r>
                    <w:rPr>
                      <w:rFonts w:hint="default" w:ascii="Times New Roman" w:hAnsi="Times New Roman" w:cs="Times New Roman"/>
                    </w:rPr>
                    <w:t>产品名称</w:t>
                  </w:r>
                </w:p>
              </w:tc>
              <w:tc>
                <w:tcPr>
                  <w:tcW w:w="568" w:type="pct"/>
                  <w:vAlign w:val="center"/>
                </w:tcPr>
                <w:p>
                  <w:pPr>
                    <w:pStyle w:val="33"/>
                    <w:spacing w:line="240" w:lineRule="auto"/>
                    <w:rPr>
                      <w:rFonts w:hint="default" w:ascii="Times New Roman" w:hAnsi="Times New Roman" w:cs="Times New Roman"/>
                    </w:rPr>
                  </w:pPr>
                  <w:r>
                    <w:rPr>
                      <w:rFonts w:hint="default" w:ascii="Times New Roman" w:hAnsi="Times New Roman" w:cs="Times New Roman"/>
                    </w:rPr>
                    <w:t>年产量</w:t>
                  </w:r>
                </w:p>
                <w:p>
                  <w:pPr>
                    <w:pStyle w:val="33"/>
                    <w:spacing w:line="240" w:lineRule="auto"/>
                    <w:rPr>
                      <w:rFonts w:hint="default" w:ascii="Times New Roman" w:hAnsi="Times New Roman" w:cs="Times New Roman"/>
                    </w:rPr>
                  </w:pPr>
                  <w:r>
                    <w:rPr>
                      <w:rFonts w:hint="default" w:ascii="Times New Roman" w:hAnsi="Times New Roman" w:cs="Times New Roman"/>
                    </w:rPr>
                    <w:t>（万t/a）</w:t>
                  </w:r>
                </w:p>
              </w:tc>
              <w:tc>
                <w:tcPr>
                  <w:tcW w:w="834" w:type="pct"/>
                  <w:vAlign w:val="center"/>
                </w:tcPr>
                <w:p>
                  <w:pPr>
                    <w:pStyle w:val="33"/>
                    <w:spacing w:line="240" w:lineRule="auto"/>
                    <w:rPr>
                      <w:rFonts w:hint="default" w:ascii="Times New Roman" w:hAnsi="Times New Roman" w:cs="Times New Roman"/>
                      <w:lang w:val="en-US" w:eastAsia="zh-CN"/>
                    </w:rPr>
                  </w:pPr>
                  <w:r>
                    <w:rPr>
                      <w:rFonts w:hint="default" w:ascii="Times New Roman" w:hAnsi="Times New Roman" w:cs="Times New Roman"/>
                    </w:rPr>
                    <w:t>产品</w:t>
                  </w:r>
                  <w:r>
                    <w:rPr>
                      <w:rFonts w:hint="default" w:ascii="Times New Roman" w:hAnsi="Times New Roman" w:cs="Times New Roman"/>
                      <w:lang w:val="en-US" w:eastAsia="zh-CN"/>
                    </w:rPr>
                    <w:t>包装</w:t>
                  </w:r>
                </w:p>
                <w:p>
                  <w:pPr>
                    <w:pStyle w:val="33"/>
                    <w:spacing w:line="240" w:lineRule="auto"/>
                    <w:rPr>
                      <w:rFonts w:hint="default" w:ascii="Times New Roman" w:hAnsi="Times New Roman" w:cs="Times New Roman"/>
                    </w:rPr>
                  </w:pPr>
                  <w:r>
                    <w:rPr>
                      <w:rFonts w:hint="default" w:ascii="Times New Roman" w:hAnsi="Times New Roman" w:cs="Times New Roman"/>
                    </w:rPr>
                    <w:t>规格</w:t>
                  </w:r>
                </w:p>
              </w:tc>
              <w:tc>
                <w:tcPr>
                  <w:tcW w:w="659" w:type="pct"/>
                  <w:vAlign w:val="center"/>
                </w:tcPr>
                <w:p>
                  <w:pPr>
                    <w:pStyle w:val="33"/>
                    <w:spacing w:line="240" w:lineRule="auto"/>
                    <w:rPr>
                      <w:rFonts w:hint="default" w:ascii="Times New Roman" w:hAnsi="Times New Roman" w:cs="Times New Roman"/>
                    </w:rPr>
                  </w:pPr>
                  <w:r>
                    <w:rPr>
                      <w:rFonts w:hint="default" w:ascii="Times New Roman" w:hAnsi="Times New Roman" w:cs="Times New Roman"/>
                    </w:rPr>
                    <w:t>最大储存量（t）</w:t>
                  </w:r>
                </w:p>
              </w:tc>
              <w:tc>
                <w:tcPr>
                  <w:tcW w:w="659" w:type="pct"/>
                  <w:vAlign w:val="center"/>
                </w:tcPr>
                <w:p>
                  <w:pPr>
                    <w:pStyle w:val="33"/>
                    <w:spacing w:line="240" w:lineRule="auto"/>
                    <w:rPr>
                      <w:rFonts w:hint="default" w:ascii="Times New Roman" w:hAnsi="Times New Roman" w:cs="Times New Roman"/>
                    </w:rPr>
                  </w:pPr>
                  <w:r>
                    <w:rPr>
                      <w:rFonts w:hint="default" w:ascii="Times New Roman" w:hAnsi="Times New Roman" w:cs="Times New Roman"/>
                    </w:rPr>
                    <w:t>包装方式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385" w:type="pct"/>
                  <w:vMerge w:val="restart"/>
                  <w:vAlign w:val="center"/>
                </w:tcPr>
                <w:p>
                  <w:pPr>
                    <w:pStyle w:val="33"/>
                    <w:spacing w:line="240" w:lineRule="auto"/>
                    <w:rPr>
                      <w:rFonts w:hint="default" w:ascii="Times New Roman" w:hAnsi="Times New Roman" w:cs="Times New Roman"/>
                    </w:rPr>
                  </w:pPr>
                  <w:r>
                    <w:rPr>
                      <w:rFonts w:hint="default" w:ascii="Times New Roman" w:hAnsi="Times New Roman" w:cs="Times New Roman"/>
                    </w:rPr>
                    <w:t>干粉砂浆</w:t>
                  </w:r>
                </w:p>
              </w:tc>
              <w:tc>
                <w:tcPr>
                  <w:tcW w:w="520" w:type="pct"/>
                  <w:vMerge w:val="restart"/>
                  <w:vAlign w:val="center"/>
                </w:tcPr>
                <w:p>
                  <w:pPr>
                    <w:pStyle w:val="33"/>
                    <w:spacing w:line="240" w:lineRule="auto"/>
                    <w:rPr>
                      <w:rFonts w:hint="default" w:ascii="Times New Roman" w:hAnsi="Times New Roman" w:cs="Times New Roman"/>
                    </w:rPr>
                  </w:pPr>
                  <w:r>
                    <w:rPr>
                      <w:rFonts w:hint="default" w:ascii="Times New Roman" w:hAnsi="Times New Roman" w:cs="Times New Roman"/>
                    </w:rPr>
                    <w:t>MTA</w:t>
                  </w:r>
                </w:p>
                <w:p>
                  <w:pPr>
                    <w:pStyle w:val="33"/>
                    <w:spacing w:line="240" w:lineRule="auto"/>
                    <w:rPr>
                      <w:rFonts w:hint="default" w:ascii="Times New Roman" w:hAnsi="Times New Roman" w:cs="Times New Roman"/>
                    </w:rPr>
                  </w:pPr>
                  <w:r>
                    <w:rPr>
                      <w:rFonts w:hint="default" w:ascii="Times New Roman" w:hAnsi="Times New Roman" w:cs="Times New Roman"/>
                    </w:rPr>
                    <w:t>产线</w:t>
                  </w:r>
                </w:p>
              </w:tc>
              <w:tc>
                <w:tcPr>
                  <w:tcW w:w="673" w:type="pct"/>
                  <w:vAlign w:val="center"/>
                </w:tcPr>
                <w:p>
                  <w:pPr>
                    <w:pStyle w:val="33"/>
                    <w:spacing w:line="240" w:lineRule="auto"/>
                    <w:rPr>
                      <w:rFonts w:hint="default" w:ascii="Times New Roman" w:hAnsi="Times New Roman" w:cs="Times New Roman"/>
                    </w:rPr>
                  </w:pPr>
                  <w:r>
                    <w:rPr>
                      <w:rFonts w:hint="default" w:ascii="Times New Roman" w:hAnsi="Times New Roman" w:cs="Times New Roman"/>
                    </w:rPr>
                    <w:t>2条普通砂浆生产线</w:t>
                  </w:r>
                </w:p>
              </w:tc>
              <w:tc>
                <w:tcPr>
                  <w:tcW w:w="698" w:type="pct"/>
                  <w:vAlign w:val="center"/>
                </w:tcPr>
                <w:p>
                  <w:pPr>
                    <w:pStyle w:val="33"/>
                    <w:spacing w:line="240" w:lineRule="auto"/>
                    <w:rPr>
                      <w:rFonts w:hint="default" w:ascii="Times New Roman" w:hAnsi="Times New Roman" w:cs="Times New Roman"/>
                    </w:rPr>
                  </w:pPr>
                  <w:r>
                    <w:rPr>
                      <w:rFonts w:hint="default" w:ascii="Times New Roman" w:hAnsi="Times New Roman" w:cs="Times New Roman"/>
                    </w:rPr>
                    <w:t>普通干粉</w:t>
                  </w:r>
                </w:p>
                <w:p>
                  <w:pPr>
                    <w:pStyle w:val="33"/>
                    <w:spacing w:line="240" w:lineRule="auto"/>
                    <w:rPr>
                      <w:rFonts w:hint="default" w:ascii="Times New Roman" w:hAnsi="Times New Roman" w:cs="Times New Roman"/>
                    </w:rPr>
                  </w:pPr>
                  <w:r>
                    <w:rPr>
                      <w:rFonts w:hint="default" w:ascii="Times New Roman" w:hAnsi="Times New Roman" w:cs="Times New Roman"/>
                    </w:rPr>
                    <w:t>砂浆</w:t>
                  </w:r>
                </w:p>
              </w:tc>
              <w:tc>
                <w:tcPr>
                  <w:tcW w:w="568" w:type="pct"/>
                  <w:vAlign w:val="center"/>
                </w:tcPr>
                <w:p>
                  <w:pPr>
                    <w:pStyle w:val="33"/>
                    <w:spacing w:line="240" w:lineRule="auto"/>
                    <w:rPr>
                      <w:rFonts w:hint="default" w:ascii="Times New Roman" w:hAnsi="Times New Roman" w:cs="Times New Roman"/>
                      <w:color w:val="FF0000"/>
                      <w:highlight w:val="none"/>
                    </w:rPr>
                  </w:pPr>
                  <w:r>
                    <w:rPr>
                      <w:rFonts w:hint="default" w:ascii="Times New Roman" w:hAnsi="Times New Roman" w:cs="Times New Roman"/>
                      <w:color w:val="FF0000"/>
                      <w:highlight w:val="none"/>
                    </w:rPr>
                    <w:t>65</w:t>
                  </w:r>
                </w:p>
              </w:tc>
              <w:tc>
                <w:tcPr>
                  <w:tcW w:w="834" w:type="pct"/>
                  <w:vAlign w:val="center"/>
                </w:tcPr>
                <w:p>
                  <w:pPr>
                    <w:pStyle w:val="33"/>
                    <w:spacing w:line="240" w:lineRule="auto"/>
                    <w:rPr>
                      <w:rFonts w:hint="default" w:ascii="Times New Roman" w:hAnsi="Times New Roman" w:cs="Times New Roman"/>
                      <w:color w:val="FF0000"/>
                      <w:highlight w:val="none"/>
                    </w:rPr>
                  </w:pPr>
                  <w:r>
                    <w:rPr>
                      <w:rFonts w:hint="default" w:ascii="Times New Roman" w:hAnsi="Times New Roman" w:cs="Times New Roman"/>
                      <w:color w:val="FF0000"/>
                      <w:highlight w:val="none"/>
                    </w:rPr>
                    <w:t>20-25</w:t>
                  </w:r>
                  <w:r>
                    <w:rPr>
                      <w:rFonts w:hint="default" w:ascii="Times New Roman" w:hAnsi="Times New Roman" w:cs="Times New Roman"/>
                      <w:color w:val="FF0000"/>
                      <w:highlight w:val="none"/>
                      <w:lang w:val="en-US" w:eastAsia="zh-CN"/>
                    </w:rPr>
                    <w:t>k</w:t>
                  </w:r>
                  <w:r>
                    <w:rPr>
                      <w:rFonts w:hint="default" w:ascii="Times New Roman" w:hAnsi="Times New Roman" w:cs="Times New Roman"/>
                      <w:color w:val="FF0000"/>
                      <w:highlight w:val="none"/>
                    </w:rPr>
                    <w:t>g/</w:t>
                  </w:r>
                </w:p>
                <w:p>
                  <w:pPr>
                    <w:pStyle w:val="33"/>
                    <w:spacing w:line="240" w:lineRule="auto"/>
                    <w:rPr>
                      <w:rFonts w:hint="default" w:ascii="Times New Roman" w:hAnsi="Times New Roman" w:cs="Times New Roman"/>
                      <w:color w:val="FF0000"/>
                      <w:highlight w:val="none"/>
                    </w:rPr>
                  </w:pPr>
                  <w:r>
                    <w:rPr>
                      <w:rFonts w:hint="default" w:ascii="Times New Roman" w:hAnsi="Times New Roman" w:cs="Times New Roman"/>
                      <w:color w:val="FF0000"/>
                      <w:highlight w:val="none"/>
                    </w:rPr>
                    <w:t>1000</w:t>
                  </w:r>
                  <w:r>
                    <w:rPr>
                      <w:rFonts w:hint="default" w:ascii="Times New Roman" w:hAnsi="Times New Roman" w:cs="Times New Roman"/>
                      <w:color w:val="FF0000"/>
                      <w:highlight w:val="none"/>
                      <w:lang w:val="en-US" w:eastAsia="zh-CN"/>
                    </w:rPr>
                    <w:t>k</w:t>
                  </w:r>
                  <w:r>
                    <w:rPr>
                      <w:rFonts w:hint="default" w:ascii="Times New Roman" w:hAnsi="Times New Roman" w:cs="Times New Roman"/>
                      <w:color w:val="FF0000"/>
                      <w:highlight w:val="none"/>
                    </w:rPr>
                    <w:t>g</w:t>
                  </w:r>
                </w:p>
              </w:tc>
              <w:tc>
                <w:tcPr>
                  <w:tcW w:w="659" w:type="pct"/>
                  <w:vAlign w:val="center"/>
                </w:tcPr>
                <w:p>
                  <w:pPr>
                    <w:pStyle w:val="33"/>
                    <w:spacing w:line="240" w:lineRule="auto"/>
                    <w:rPr>
                      <w:rFonts w:hint="default" w:ascii="Times New Roman" w:hAnsi="Times New Roman" w:cs="Times New Roman"/>
                      <w:color w:val="FF0000"/>
                      <w:highlight w:val="none"/>
                    </w:rPr>
                  </w:pPr>
                  <w:r>
                    <w:rPr>
                      <w:rFonts w:hint="default" w:ascii="Times New Roman" w:hAnsi="Times New Roman" w:cs="Times New Roman"/>
                      <w:color w:val="FF0000"/>
                      <w:highlight w:val="none"/>
                    </w:rPr>
                    <w:t>600</w:t>
                  </w:r>
                </w:p>
              </w:tc>
              <w:tc>
                <w:tcPr>
                  <w:tcW w:w="659" w:type="pct"/>
                  <w:vAlign w:val="center"/>
                </w:tcPr>
                <w:p>
                  <w:pPr>
                    <w:pStyle w:val="33"/>
                    <w:spacing w:line="240" w:lineRule="auto"/>
                    <w:rPr>
                      <w:rFonts w:hint="default" w:ascii="Times New Roman" w:hAnsi="Times New Roman" w:cs="Times New Roman"/>
                      <w:color w:val="FF0000"/>
                      <w:highlight w:val="none"/>
                    </w:rPr>
                  </w:pPr>
                  <w:r>
                    <w:rPr>
                      <w:rFonts w:hint="default" w:ascii="Times New Roman" w:hAnsi="Times New Roman" w:cs="Times New Roman"/>
                      <w:color w:val="FF0000"/>
                      <w:highlight w:val="none"/>
                    </w:rPr>
                    <w:t>吨袋/</w:t>
                  </w:r>
                </w:p>
                <w:p>
                  <w:pPr>
                    <w:pStyle w:val="33"/>
                    <w:spacing w:line="240" w:lineRule="auto"/>
                    <w:rPr>
                      <w:rFonts w:hint="default" w:ascii="Times New Roman" w:hAnsi="Times New Roman" w:cs="Times New Roman"/>
                      <w:color w:val="FF0000"/>
                      <w:highlight w:val="none"/>
                    </w:rPr>
                  </w:pPr>
                  <w:r>
                    <w:rPr>
                      <w:rFonts w:hint="default" w:ascii="Times New Roman" w:hAnsi="Times New Roman" w:cs="Times New Roman"/>
                      <w:color w:val="FF0000"/>
                      <w:highlight w:val="none"/>
                    </w:rPr>
                    <w:t>散装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385" w:type="pct"/>
                  <w:vMerge w:val="continue"/>
                  <w:vAlign w:val="center"/>
                </w:tcPr>
                <w:p>
                  <w:pPr>
                    <w:pStyle w:val="33"/>
                    <w:spacing w:line="240" w:lineRule="auto"/>
                    <w:rPr>
                      <w:rFonts w:hint="default" w:ascii="Times New Roman" w:hAnsi="Times New Roman" w:cs="Times New Roman"/>
                    </w:rPr>
                  </w:pPr>
                </w:p>
              </w:tc>
              <w:tc>
                <w:tcPr>
                  <w:tcW w:w="520" w:type="pct"/>
                  <w:vMerge w:val="continue"/>
                  <w:vAlign w:val="center"/>
                </w:tcPr>
                <w:p>
                  <w:pPr>
                    <w:pStyle w:val="33"/>
                    <w:spacing w:line="240" w:lineRule="auto"/>
                    <w:rPr>
                      <w:rFonts w:hint="default" w:ascii="Times New Roman" w:hAnsi="Times New Roman" w:cs="Times New Roman"/>
                    </w:rPr>
                  </w:pPr>
                </w:p>
              </w:tc>
              <w:tc>
                <w:tcPr>
                  <w:tcW w:w="673" w:type="pct"/>
                  <w:vAlign w:val="center"/>
                </w:tcPr>
                <w:p>
                  <w:pPr>
                    <w:pStyle w:val="33"/>
                    <w:spacing w:line="240" w:lineRule="auto"/>
                    <w:rPr>
                      <w:rFonts w:hint="default" w:ascii="Times New Roman" w:hAnsi="Times New Roman" w:cs="Times New Roman"/>
                    </w:rPr>
                  </w:pPr>
                  <w:r>
                    <w:rPr>
                      <w:rFonts w:hint="default" w:ascii="Times New Roman" w:hAnsi="Times New Roman" w:cs="Times New Roman"/>
                    </w:rPr>
                    <w:t>1条彩色砂浆生产线</w:t>
                  </w:r>
                </w:p>
              </w:tc>
              <w:tc>
                <w:tcPr>
                  <w:tcW w:w="698" w:type="pct"/>
                  <w:vAlign w:val="center"/>
                </w:tcPr>
                <w:p>
                  <w:pPr>
                    <w:pStyle w:val="33"/>
                    <w:spacing w:line="240" w:lineRule="auto"/>
                    <w:rPr>
                      <w:rFonts w:hint="default" w:ascii="Times New Roman" w:hAnsi="Times New Roman" w:cs="Times New Roman"/>
                    </w:rPr>
                  </w:pPr>
                  <w:r>
                    <w:rPr>
                      <w:rFonts w:hint="default" w:ascii="Times New Roman" w:hAnsi="Times New Roman" w:cs="Times New Roman"/>
                    </w:rPr>
                    <w:t>彩色特种</w:t>
                  </w:r>
                </w:p>
                <w:p>
                  <w:pPr>
                    <w:pStyle w:val="33"/>
                    <w:spacing w:line="240" w:lineRule="auto"/>
                    <w:rPr>
                      <w:rFonts w:hint="default" w:ascii="Times New Roman" w:hAnsi="Times New Roman" w:cs="Times New Roman"/>
                    </w:rPr>
                  </w:pPr>
                  <w:r>
                    <w:rPr>
                      <w:rFonts w:hint="default" w:ascii="Times New Roman" w:hAnsi="Times New Roman" w:cs="Times New Roman"/>
                    </w:rPr>
                    <w:t>砂浆</w:t>
                  </w:r>
                </w:p>
              </w:tc>
              <w:tc>
                <w:tcPr>
                  <w:tcW w:w="568" w:type="pct"/>
                  <w:vAlign w:val="center"/>
                </w:tcPr>
                <w:p>
                  <w:pPr>
                    <w:pStyle w:val="33"/>
                    <w:spacing w:line="240" w:lineRule="auto"/>
                    <w:rPr>
                      <w:rFonts w:hint="default" w:ascii="Times New Roman" w:hAnsi="Times New Roman" w:cs="Times New Roman"/>
                      <w:color w:val="FF0000"/>
                      <w:highlight w:val="none"/>
                    </w:rPr>
                  </w:pPr>
                  <w:r>
                    <w:rPr>
                      <w:rFonts w:hint="default" w:ascii="Times New Roman" w:hAnsi="Times New Roman" w:cs="Times New Roman"/>
                      <w:color w:val="FF0000"/>
                      <w:highlight w:val="none"/>
                    </w:rPr>
                    <w:t>8</w:t>
                  </w:r>
                </w:p>
              </w:tc>
              <w:tc>
                <w:tcPr>
                  <w:tcW w:w="834" w:type="pct"/>
                  <w:vAlign w:val="center"/>
                </w:tcPr>
                <w:p>
                  <w:pPr>
                    <w:pStyle w:val="33"/>
                    <w:spacing w:line="240" w:lineRule="auto"/>
                    <w:rPr>
                      <w:rFonts w:hint="default" w:ascii="Times New Roman" w:hAnsi="Times New Roman" w:cs="Times New Roman"/>
                      <w:color w:val="FF0000"/>
                      <w:highlight w:val="none"/>
                    </w:rPr>
                  </w:pPr>
                  <w:r>
                    <w:rPr>
                      <w:rFonts w:hint="default" w:ascii="Times New Roman" w:hAnsi="Times New Roman" w:cs="Times New Roman"/>
                      <w:color w:val="FF0000"/>
                      <w:highlight w:val="none"/>
                    </w:rPr>
                    <w:t>20-25</w:t>
                  </w:r>
                  <w:r>
                    <w:rPr>
                      <w:rFonts w:hint="default" w:ascii="Times New Roman" w:hAnsi="Times New Roman" w:cs="Times New Roman"/>
                      <w:color w:val="FF0000"/>
                      <w:highlight w:val="none"/>
                      <w:lang w:val="en-US" w:eastAsia="zh-CN"/>
                    </w:rPr>
                    <w:t>k</w:t>
                  </w:r>
                  <w:r>
                    <w:rPr>
                      <w:rFonts w:hint="default" w:ascii="Times New Roman" w:hAnsi="Times New Roman" w:cs="Times New Roman"/>
                      <w:color w:val="FF0000"/>
                      <w:highlight w:val="none"/>
                    </w:rPr>
                    <w:t>g</w:t>
                  </w:r>
                </w:p>
              </w:tc>
              <w:tc>
                <w:tcPr>
                  <w:tcW w:w="659" w:type="pct"/>
                  <w:vAlign w:val="center"/>
                </w:tcPr>
                <w:p>
                  <w:pPr>
                    <w:pStyle w:val="33"/>
                    <w:spacing w:line="240" w:lineRule="auto"/>
                    <w:rPr>
                      <w:rFonts w:hint="default" w:ascii="Times New Roman" w:hAnsi="Times New Roman" w:cs="Times New Roman"/>
                      <w:color w:val="FF0000"/>
                      <w:highlight w:val="none"/>
                    </w:rPr>
                  </w:pPr>
                  <w:r>
                    <w:rPr>
                      <w:rFonts w:hint="default" w:ascii="Times New Roman" w:hAnsi="Times New Roman" w:cs="Times New Roman"/>
                      <w:color w:val="FF0000"/>
                      <w:highlight w:val="none"/>
                    </w:rPr>
                    <w:t>300</w:t>
                  </w:r>
                </w:p>
              </w:tc>
              <w:tc>
                <w:tcPr>
                  <w:tcW w:w="659" w:type="pct"/>
                  <w:vAlign w:val="center"/>
                </w:tcPr>
                <w:p>
                  <w:pPr>
                    <w:pStyle w:val="33"/>
                    <w:spacing w:line="240" w:lineRule="auto"/>
                    <w:rPr>
                      <w:rFonts w:hint="default" w:ascii="Times New Roman" w:hAnsi="Times New Roman" w:cs="Times New Roman"/>
                      <w:color w:val="FF0000"/>
                      <w:highlight w:val="none"/>
                    </w:rPr>
                  </w:pPr>
                  <w:r>
                    <w:rPr>
                      <w:rFonts w:hint="default" w:ascii="Times New Roman" w:hAnsi="Times New Roman" w:cs="Times New Roman"/>
                      <w:color w:val="FF0000"/>
                      <w:highlight w:val="none"/>
                    </w:rPr>
                    <w:t>袋装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5" w:type="pct"/>
                  <w:vMerge w:val="continue"/>
                  <w:vAlign w:val="center"/>
                </w:tcPr>
                <w:p>
                  <w:pPr>
                    <w:pStyle w:val="33"/>
                    <w:spacing w:line="240" w:lineRule="auto"/>
                    <w:rPr>
                      <w:rFonts w:hint="default" w:ascii="Times New Roman" w:hAnsi="Times New Roman" w:cs="Times New Roman"/>
                    </w:rPr>
                  </w:pPr>
                </w:p>
              </w:tc>
              <w:tc>
                <w:tcPr>
                  <w:tcW w:w="520" w:type="pct"/>
                  <w:vAlign w:val="center"/>
                </w:tcPr>
                <w:p>
                  <w:pPr>
                    <w:pStyle w:val="33"/>
                    <w:spacing w:line="240" w:lineRule="auto"/>
                    <w:rPr>
                      <w:rFonts w:hint="default" w:ascii="Times New Roman" w:hAnsi="Times New Roman" w:cs="Times New Roman"/>
                    </w:rPr>
                  </w:pPr>
                  <w:r>
                    <w:rPr>
                      <w:rFonts w:hint="default" w:ascii="Times New Roman" w:hAnsi="Times New Roman" w:cs="Times New Roman"/>
                    </w:rPr>
                    <w:t>KMA</w:t>
                  </w:r>
                </w:p>
                <w:p>
                  <w:pPr>
                    <w:pStyle w:val="33"/>
                    <w:spacing w:line="240" w:lineRule="auto"/>
                    <w:rPr>
                      <w:rFonts w:hint="default" w:ascii="Times New Roman" w:hAnsi="Times New Roman" w:cs="Times New Roman"/>
                    </w:rPr>
                  </w:pPr>
                  <w:r>
                    <w:rPr>
                      <w:rFonts w:hint="default" w:ascii="Times New Roman" w:hAnsi="Times New Roman" w:cs="Times New Roman"/>
                    </w:rPr>
                    <w:t>生产线</w:t>
                  </w:r>
                </w:p>
              </w:tc>
              <w:tc>
                <w:tcPr>
                  <w:tcW w:w="673" w:type="pct"/>
                  <w:vAlign w:val="center"/>
                </w:tcPr>
                <w:p>
                  <w:pPr>
                    <w:pStyle w:val="33"/>
                    <w:spacing w:line="240" w:lineRule="auto"/>
                    <w:rPr>
                      <w:rFonts w:hint="default" w:ascii="Times New Roman" w:hAnsi="Times New Roman" w:cs="Times New Roman"/>
                    </w:rPr>
                  </w:pPr>
                  <w:r>
                    <w:rPr>
                      <w:rFonts w:hint="default" w:ascii="Times New Roman" w:hAnsi="Times New Roman" w:cs="Times New Roman"/>
                    </w:rPr>
                    <w:t>2条砂类特种砂浆</w:t>
                  </w:r>
                </w:p>
              </w:tc>
              <w:tc>
                <w:tcPr>
                  <w:tcW w:w="698" w:type="pct"/>
                  <w:vAlign w:val="center"/>
                </w:tcPr>
                <w:p>
                  <w:pPr>
                    <w:pStyle w:val="33"/>
                    <w:spacing w:line="240" w:lineRule="auto"/>
                    <w:rPr>
                      <w:rFonts w:hint="default" w:ascii="Times New Roman" w:hAnsi="Times New Roman" w:cs="Times New Roman"/>
                    </w:rPr>
                  </w:pPr>
                  <w:r>
                    <w:rPr>
                      <w:rFonts w:hint="default" w:ascii="Times New Roman" w:hAnsi="Times New Roman" w:cs="Times New Roman"/>
                    </w:rPr>
                    <w:t>砂类特种干粉砂浆</w:t>
                  </w:r>
                </w:p>
              </w:tc>
              <w:tc>
                <w:tcPr>
                  <w:tcW w:w="568" w:type="pct"/>
                  <w:vAlign w:val="center"/>
                </w:tcPr>
                <w:p>
                  <w:pPr>
                    <w:pStyle w:val="33"/>
                    <w:spacing w:line="240" w:lineRule="auto"/>
                    <w:rPr>
                      <w:rFonts w:hint="default" w:ascii="Times New Roman" w:hAnsi="Times New Roman" w:cs="Times New Roman"/>
                      <w:color w:val="FF0000"/>
                      <w:highlight w:val="none"/>
                    </w:rPr>
                  </w:pPr>
                  <w:r>
                    <w:rPr>
                      <w:rFonts w:hint="default" w:ascii="Times New Roman" w:hAnsi="Times New Roman" w:cs="Times New Roman"/>
                      <w:color w:val="FF0000"/>
                      <w:highlight w:val="none"/>
                    </w:rPr>
                    <w:t>25</w:t>
                  </w:r>
                </w:p>
              </w:tc>
              <w:tc>
                <w:tcPr>
                  <w:tcW w:w="834" w:type="pct"/>
                  <w:vAlign w:val="center"/>
                </w:tcPr>
                <w:p>
                  <w:pPr>
                    <w:pStyle w:val="33"/>
                    <w:spacing w:line="240" w:lineRule="auto"/>
                    <w:rPr>
                      <w:rFonts w:hint="default" w:ascii="Times New Roman" w:hAnsi="Times New Roman" w:eastAsia="宋体" w:cs="Times New Roman"/>
                      <w:color w:val="FF0000"/>
                      <w:highlight w:val="none"/>
                      <w:lang w:eastAsia="zh-CN"/>
                    </w:rPr>
                  </w:pPr>
                  <w:r>
                    <w:rPr>
                      <w:rFonts w:hint="default" w:ascii="Times New Roman" w:hAnsi="Times New Roman" w:cs="Times New Roman"/>
                      <w:color w:val="FF0000"/>
                      <w:highlight w:val="none"/>
                      <w:lang w:val="en-US" w:eastAsia="zh-CN"/>
                    </w:rPr>
                    <w:t>/</w:t>
                  </w:r>
                </w:p>
              </w:tc>
              <w:tc>
                <w:tcPr>
                  <w:tcW w:w="659" w:type="pct"/>
                  <w:vAlign w:val="center"/>
                </w:tcPr>
                <w:p>
                  <w:pPr>
                    <w:pStyle w:val="33"/>
                    <w:spacing w:line="240" w:lineRule="auto"/>
                    <w:rPr>
                      <w:rFonts w:hint="default" w:ascii="Times New Roman" w:hAnsi="Times New Roman" w:cs="Times New Roman"/>
                      <w:color w:val="FF0000"/>
                      <w:highlight w:val="none"/>
                    </w:rPr>
                  </w:pPr>
                  <w:r>
                    <w:rPr>
                      <w:rFonts w:hint="default" w:ascii="Times New Roman" w:hAnsi="Times New Roman" w:cs="Times New Roman"/>
                      <w:color w:val="FF0000"/>
                      <w:highlight w:val="none"/>
                    </w:rPr>
                    <w:t>300</w:t>
                  </w:r>
                </w:p>
              </w:tc>
              <w:tc>
                <w:tcPr>
                  <w:tcW w:w="659" w:type="pct"/>
                  <w:vAlign w:val="center"/>
                </w:tcPr>
                <w:p>
                  <w:pPr>
                    <w:pStyle w:val="33"/>
                    <w:spacing w:line="240" w:lineRule="auto"/>
                    <w:rPr>
                      <w:rFonts w:hint="default" w:ascii="Times New Roman" w:hAnsi="Times New Roman" w:cs="Times New Roman"/>
                      <w:color w:val="FF0000"/>
                      <w:highlight w:val="none"/>
                    </w:rPr>
                  </w:pPr>
                  <w:r>
                    <w:rPr>
                      <w:rFonts w:hint="default" w:ascii="Times New Roman" w:hAnsi="Times New Roman" w:cs="Times New Roman"/>
                      <w:color w:val="FF0000"/>
                      <w:highlight w:val="none"/>
                    </w:rPr>
                    <w:t>袋装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5" w:type="pct"/>
                  <w:vMerge w:val="restart"/>
                  <w:vAlign w:val="center"/>
                </w:tcPr>
                <w:p>
                  <w:pPr>
                    <w:pStyle w:val="33"/>
                    <w:spacing w:line="240" w:lineRule="auto"/>
                    <w:rPr>
                      <w:rFonts w:hint="default" w:ascii="Times New Roman" w:hAnsi="Times New Roman" w:cs="Times New Roman"/>
                    </w:rPr>
                  </w:pPr>
                  <w:r>
                    <w:rPr>
                      <w:rFonts w:hint="default" w:ascii="Times New Roman" w:hAnsi="Times New Roman" w:cs="Times New Roman"/>
                    </w:rPr>
                    <w:t>机制砂</w:t>
                  </w:r>
                </w:p>
              </w:tc>
              <w:tc>
                <w:tcPr>
                  <w:tcW w:w="1193" w:type="pct"/>
                  <w:gridSpan w:val="2"/>
                  <w:vMerge w:val="restart"/>
                  <w:vAlign w:val="center"/>
                </w:tcPr>
                <w:p>
                  <w:pPr>
                    <w:pStyle w:val="33"/>
                    <w:spacing w:line="240" w:lineRule="auto"/>
                    <w:rPr>
                      <w:rFonts w:hint="default" w:ascii="Times New Roman" w:hAnsi="Times New Roman" w:cs="Times New Roman"/>
                    </w:rPr>
                  </w:pPr>
                  <w:r>
                    <w:rPr>
                      <w:rFonts w:hint="default" w:ascii="Times New Roman" w:hAnsi="Times New Roman" w:cs="Times New Roman"/>
                    </w:rPr>
                    <w:t>石灰石石制砂线</w:t>
                  </w:r>
                </w:p>
              </w:tc>
              <w:tc>
                <w:tcPr>
                  <w:tcW w:w="698" w:type="pct"/>
                  <w:vAlign w:val="center"/>
                </w:tcPr>
                <w:p>
                  <w:pPr>
                    <w:pStyle w:val="33"/>
                    <w:spacing w:line="240" w:lineRule="auto"/>
                    <w:rPr>
                      <w:rFonts w:hint="default" w:ascii="Times New Roman" w:hAnsi="Times New Roman" w:cs="Times New Roman"/>
                    </w:rPr>
                  </w:pPr>
                  <w:r>
                    <w:rPr>
                      <w:rFonts w:hint="default" w:ascii="Times New Roman" w:hAnsi="Times New Roman" w:cs="Times New Roman"/>
                    </w:rPr>
                    <w:t>石灰石</w:t>
                  </w:r>
                </w:p>
                <w:p>
                  <w:pPr>
                    <w:pStyle w:val="33"/>
                    <w:spacing w:line="240" w:lineRule="auto"/>
                    <w:rPr>
                      <w:rFonts w:hint="default" w:ascii="Times New Roman" w:hAnsi="Times New Roman" w:cs="Times New Roman"/>
                    </w:rPr>
                  </w:pPr>
                  <w:r>
                    <w:rPr>
                      <w:rFonts w:hint="default" w:ascii="Times New Roman" w:hAnsi="Times New Roman" w:cs="Times New Roman"/>
                    </w:rPr>
                    <w:t>机制砂</w:t>
                  </w:r>
                </w:p>
              </w:tc>
              <w:tc>
                <w:tcPr>
                  <w:tcW w:w="568" w:type="pct"/>
                  <w:vAlign w:val="center"/>
                </w:tcPr>
                <w:p>
                  <w:pPr>
                    <w:pStyle w:val="33"/>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38</w:t>
                  </w:r>
                </w:p>
              </w:tc>
              <w:tc>
                <w:tcPr>
                  <w:tcW w:w="834" w:type="pct"/>
                  <w:vAlign w:val="center"/>
                </w:tcPr>
                <w:p>
                  <w:pPr>
                    <w:pStyle w:val="33"/>
                    <w:spacing w:line="240" w:lineRule="auto"/>
                    <w:rPr>
                      <w:rFonts w:hint="default" w:ascii="Times New Roman" w:hAnsi="Times New Roman" w:cs="Times New Roman"/>
                      <w:color w:val="FF0000"/>
                      <w:highlight w:val="none"/>
                    </w:rPr>
                  </w:pPr>
                  <w:r>
                    <w:rPr>
                      <w:rFonts w:hint="default" w:ascii="Times New Roman" w:hAnsi="Times New Roman" w:cs="Times New Roman"/>
                      <w:color w:val="FF0000"/>
                      <w:highlight w:val="none"/>
                    </w:rPr>
                    <w:t>0~1.18，1.18~2.36，2.36~4.75</w:t>
                  </w:r>
                </w:p>
              </w:tc>
              <w:tc>
                <w:tcPr>
                  <w:tcW w:w="659" w:type="pct"/>
                  <w:vAlign w:val="center"/>
                </w:tcPr>
                <w:p>
                  <w:pPr>
                    <w:pStyle w:val="33"/>
                    <w:spacing w:line="240" w:lineRule="auto"/>
                    <w:rPr>
                      <w:rFonts w:hint="default" w:ascii="Times New Roman" w:hAnsi="Times New Roman" w:cs="Times New Roman"/>
                      <w:color w:val="FF0000"/>
                      <w:highlight w:val="none"/>
                    </w:rPr>
                  </w:pPr>
                  <w:r>
                    <w:rPr>
                      <w:rFonts w:hint="default" w:ascii="Times New Roman" w:hAnsi="Times New Roman" w:cs="Times New Roman"/>
                      <w:color w:val="FF0000"/>
                      <w:highlight w:val="none"/>
                    </w:rPr>
                    <w:t>300</w:t>
                  </w:r>
                </w:p>
              </w:tc>
              <w:tc>
                <w:tcPr>
                  <w:tcW w:w="659" w:type="pct"/>
                  <w:vAlign w:val="center"/>
                </w:tcPr>
                <w:p>
                  <w:pPr>
                    <w:pStyle w:val="33"/>
                    <w:spacing w:line="240" w:lineRule="auto"/>
                    <w:rPr>
                      <w:rFonts w:hint="default" w:ascii="Times New Roman" w:hAnsi="Times New Roman" w:cs="Times New Roman"/>
                      <w:color w:val="FF0000"/>
                      <w:highlight w:val="none"/>
                    </w:rPr>
                  </w:pPr>
                  <w:r>
                    <w:rPr>
                      <w:rFonts w:hint="default" w:ascii="Times New Roman" w:hAnsi="Times New Roman" w:cs="Times New Roman"/>
                      <w:color w:val="FF0000"/>
                      <w:highlight w:val="none"/>
                    </w:rPr>
                    <w:t>筒仓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5" w:type="pct"/>
                  <w:vMerge w:val="continue"/>
                  <w:vAlign w:val="center"/>
                </w:tcPr>
                <w:p>
                  <w:pPr>
                    <w:pStyle w:val="33"/>
                    <w:spacing w:line="240" w:lineRule="auto"/>
                    <w:rPr>
                      <w:rFonts w:hint="default" w:ascii="Times New Roman" w:hAnsi="Times New Roman" w:cs="Times New Roman"/>
                    </w:rPr>
                  </w:pPr>
                </w:p>
              </w:tc>
              <w:tc>
                <w:tcPr>
                  <w:tcW w:w="1193" w:type="pct"/>
                  <w:gridSpan w:val="2"/>
                  <w:vMerge w:val="continue"/>
                  <w:vAlign w:val="center"/>
                </w:tcPr>
                <w:p>
                  <w:pPr>
                    <w:pStyle w:val="33"/>
                    <w:spacing w:line="240" w:lineRule="auto"/>
                    <w:rPr>
                      <w:rFonts w:hint="default" w:ascii="Times New Roman" w:hAnsi="Times New Roman" w:cs="Times New Roman"/>
                    </w:rPr>
                  </w:pPr>
                </w:p>
              </w:tc>
              <w:tc>
                <w:tcPr>
                  <w:tcW w:w="698" w:type="pct"/>
                  <w:vAlign w:val="center"/>
                </w:tcPr>
                <w:p>
                  <w:pPr>
                    <w:pStyle w:val="33"/>
                    <w:spacing w:line="240" w:lineRule="auto"/>
                    <w:rPr>
                      <w:rFonts w:hint="default" w:ascii="Times New Roman" w:hAnsi="Times New Roman" w:eastAsia="宋体" w:cs="Times New Roman"/>
                      <w:lang w:val="en-US" w:eastAsia="zh-CN"/>
                    </w:rPr>
                  </w:pPr>
                  <w:r>
                    <w:rPr>
                      <w:rFonts w:hint="default" w:ascii="Times New Roman" w:hAnsi="Times New Roman" w:cs="Times New Roman"/>
                      <w:lang w:val="en-US" w:eastAsia="zh-CN"/>
                    </w:rPr>
                    <w:t>石粉</w:t>
                  </w:r>
                </w:p>
              </w:tc>
              <w:tc>
                <w:tcPr>
                  <w:tcW w:w="568" w:type="pct"/>
                  <w:vAlign w:val="center"/>
                </w:tcPr>
                <w:p>
                  <w:pPr>
                    <w:pStyle w:val="33"/>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834" w:type="pct"/>
                  <w:vAlign w:val="center"/>
                </w:tcPr>
                <w:p>
                  <w:pPr>
                    <w:pStyle w:val="33"/>
                    <w:spacing w:line="240" w:lineRule="auto"/>
                    <w:rPr>
                      <w:rFonts w:hint="default" w:ascii="Times New Roman" w:hAnsi="Times New Roman" w:eastAsia="宋体" w:cs="Times New Roman"/>
                      <w:color w:val="FF0000"/>
                      <w:highlight w:val="none"/>
                      <w:lang w:val="en-US" w:eastAsia="zh-CN"/>
                    </w:rPr>
                  </w:pPr>
                  <w:r>
                    <w:rPr>
                      <w:rFonts w:hint="default" w:ascii="Times New Roman" w:hAnsi="Times New Roman" w:cs="Times New Roman"/>
                      <w:color w:val="FF0000"/>
                      <w:highlight w:val="none"/>
                      <w:lang w:val="en-US" w:eastAsia="zh-CN"/>
                    </w:rPr>
                    <w:t>0~0.12</w:t>
                  </w:r>
                </w:p>
              </w:tc>
              <w:tc>
                <w:tcPr>
                  <w:tcW w:w="659" w:type="pct"/>
                  <w:vAlign w:val="center"/>
                </w:tcPr>
                <w:p>
                  <w:pPr>
                    <w:pStyle w:val="33"/>
                    <w:spacing w:line="240" w:lineRule="auto"/>
                    <w:ind w:right="0" w:rightChars="0" w:firstLine="0" w:firstLineChars="0"/>
                    <w:rPr>
                      <w:rFonts w:hint="default" w:ascii="Times New Roman" w:hAnsi="Times New Roman" w:eastAsia="宋体" w:cs="Times New Roman"/>
                      <w:color w:val="FF0000"/>
                      <w:kern w:val="2"/>
                      <w:sz w:val="21"/>
                      <w:szCs w:val="24"/>
                      <w:highlight w:val="none"/>
                      <w:lang w:val="en-US" w:eastAsia="zh-CN" w:bidi="ar-SA"/>
                    </w:rPr>
                  </w:pPr>
                  <w:r>
                    <w:rPr>
                      <w:rFonts w:hint="default" w:ascii="Times New Roman" w:hAnsi="Times New Roman" w:cs="Times New Roman"/>
                      <w:color w:val="FF0000"/>
                      <w:highlight w:val="none"/>
                    </w:rPr>
                    <w:t>300</w:t>
                  </w:r>
                </w:p>
              </w:tc>
              <w:tc>
                <w:tcPr>
                  <w:tcW w:w="659" w:type="pct"/>
                  <w:vAlign w:val="center"/>
                </w:tcPr>
                <w:p>
                  <w:pPr>
                    <w:pStyle w:val="33"/>
                    <w:spacing w:line="240" w:lineRule="auto"/>
                    <w:ind w:right="0" w:rightChars="0" w:firstLine="0" w:firstLineChars="0"/>
                    <w:rPr>
                      <w:rFonts w:hint="default" w:ascii="Times New Roman" w:hAnsi="Times New Roman" w:eastAsia="宋体" w:cs="Times New Roman"/>
                      <w:color w:val="FF0000"/>
                      <w:kern w:val="2"/>
                      <w:sz w:val="21"/>
                      <w:szCs w:val="24"/>
                      <w:highlight w:val="none"/>
                      <w:lang w:val="en-US" w:eastAsia="zh-CN" w:bidi="ar-SA"/>
                    </w:rPr>
                  </w:pPr>
                  <w:r>
                    <w:rPr>
                      <w:rFonts w:hint="default" w:ascii="Times New Roman" w:hAnsi="Times New Roman" w:cs="Times New Roman"/>
                      <w:color w:val="FF0000"/>
                      <w:highlight w:val="none"/>
                    </w:rPr>
                    <w:t>筒仓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385" w:type="pct"/>
                  <w:vMerge w:val="continue"/>
                  <w:vAlign w:val="center"/>
                </w:tcPr>
                <w:p>
                  <w:pPr>
                    <w:pStyle w:val="33"/>
                    <w:spacing w:line="240" w:lineRule="auto"/>
                    <w:rPr>
                      <w:rFonts w:hint="default" w:ascii="Times New Roman" w:hAnsi="Times New Roman" w:cs="Times New Roman"/>
                    </w:rPr>
                  </w:pPr>
                </w:p>
              </w:tc>
              <w:tc>
                <w:tcPr>
                  <w:tcW w:w="1193" w:type="pct"/>
                  <w:gridSpan w:val="2"/>
                  <w:vMerge w:val="restart"/>
                  <w:vAlign w:val="center"/>
                </w:tcPr>
                <w:p>
                  <w:pPr>
                    <w:pStyle w:val="33"/>
                    <w:spacing w:line="240" w:lineRule="auto"/>
                    <w:rPr>
                      <w:rFonts w:hint="default" w:ascii="Times New Roman" w:hAnsi="Times New Roman" w:cs="Times New Roman"/>
                      <w:color w:val="auto"/>
                    </w:rPr>
                  </w:pPr>
                  <w:r>
                    <w:rPr>
                      <w:rFonts w:hint="default" w:ascii="Times New Roman" w:hAnsi="Times New Roman" w:cs="Times New Roman"/>
                      <w:color w:val="auto"/>
                    </w:rPr>
                    <w:t>鹅卵石制砂线</w:t>
                  </w:r>
                </w:p>
              </w:tc>
              <w:tc>
                <w:tcPr>
                  <w:tcW w:w="698" w:type="pct"/>
                  <w:vAlign w:val="center"/>
                </w:tcPr>
                <w:p>
                  <w:pPr>
                    <w:pStyle w:val="33"/>
                    <w:spacing w:line="240" w:lineRule="auto"/>
                    <w:rPr>
                      <w:rFonts w:hint="default" w:ascii="Times New Roman" w:hAnsi="Times New Roman" w:cs="Times New Roman"/>
                      <w:color w:val="auto"/>
                    </w:rPr>
                  </w:pPr>
                  <w:r>
                    <w:rPr>
                      <w:rFonts w:hint="default" w:ascii="Times New Roman" w:hAnsi="Times New Roman" w:cs="Times New Roman"/>
                      <w:color w:val="auto"/>
                    </w:rPr>
                    <w:t>鹅卵石</w:t>
                  </w:r>
                </w:p>
                <w:p>
                  <w:pPr>
                    <w:pStyle w:val="33"/>
                    <w:spacing w:line="240" w:lineRule="auto"/>
                    <w:rPr>
                      <w:rFonts w:hint="default" w:ascii="Times New Roman" w:hAnsi="Times New Roman" w:cs="Times New Roman"/>
                      <w:color w:val="auto"/>
                      <w:lang w:val="zh-CN"/>
                    </w:rPr>
                  </w:pPr>
                  <w:r>
                    <w:rPr>
                      <w:rFonts w:hint="default" w:ascii="Times New Roman" w:hAnsi="Times New Roman" w:cs="Times New Roman"/>
                      <w:color w:val="auto"/>
                    </w:rPr>
                    <w:t>机制砂</w:t>
                  </w:r>
                </w:p>
              </w:tc>
              <w:tc>
                <w:tcPr>
                  <w:tcW w:w="568" w:type="pct"/>
                  <w:vAlign w:val="center"/>
                </w:tcPr>
                <w:p>
                  <w:pPr>
                    <w:pStyle w:val="33"/>
                    <w:spacing w:line="240" w:lineRule="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2</w:t>
                  </w:r>
                  <w:r>
                    <w:rPr>
                      <w:rFonts w:hint="default" w:ascii="Times New Roman" w:hAnsi="Times New Roman" w:cs="Times New Roman"/>
                      <w:color w:val="auto"/>
                      <w:highlight w:val="none"/>
                      <w:lang w:val="en-US" w:eastAsia="zh-CN"/>
                    </w:rPr>
                    <w:t>2</w:t>
                  </w:r>
                </w:p>
              </w:tc>
              <w:tc>
                <w:tcPr>
                  <w:tcW w:w="834" w:type="pct"/>
                  <w:vAlign w:val="center"/>
                </w:tcPr>
                <w:p>
                  <w:pPr>
                    <w:pStyle w:val="33"/>
                    <w:spacing w:line="240" w:lineRule="auto"/>
                    <w:rPr>
                      <w:rFonts w:hint="default" w:ascii="Times New Roman" w:hAnsi="Times New Roman" w:cs="Times New Roman"/>
                      <w:color w:val="FF0000"/>
                      <w:highlight w:val="none"/>
                      <w:lang w:val="en-US"/>
                    </w:rPr>
                  </w:pPr>
                  <w:r>
                    <w:rPr>
                      <w:rFonts w:hint="default" w:ascii="Times New Roman" w:hAnsi="Times New Roman" w:cs="Times New Roman"/>
                      <w:color w:val="FF0000"/>
                      <w:highlight w:val="none"/>
                      <w:lang w:val="en-US" w:eastAsia="zh-CN"/>
                    </w:rPr>
                    <w:t>0~0.12</w:t>
                  </w:r>
                </w:p>
              </w:tc>
              <w:tc>
                <w:tcPr>
                  <w:tcW w:w="659" w:type="pct"/>
                  <w:vAlign w:val="center"/>
                </w:tcPr>
                <w:p>
                  <w:pPr>
                    <w:pStyle w:val="33"/>
                    <w:spacing w:line="240" w:lineRule="auto"/>
                    <w:rPr>
                      <w:rFonts w:hint="default" w:ascii="Times New Roman" w:hAnsi="Times New Roman" w:cs="Times New Roman"/>
                      <w:color w:val="FF0000"/>
                      <w:highlight w:val="none"/>
                    </w:rPr>
                  </w:pPr>
                  <w:r>
                    <w:rPr>
                      <w:rFonts w:hint="default" w:ascii="Times New Roman" w:hAnsi="Times New Roman" w:cs="Times New Roman"/>
                      <w:color w:val="FF0000"/>
                      <w:highlight w:val="none"/>
                    </w:rPr>
                    <w:t>300</w:t>
                  </w:r>
                </w:p>
              </w:tc>
              <w:tc>
                <w:tcPr>
                  <w:tcW w:w="659" w:type="pct"/>
                  <w:vAlign w:val="center"/>
                </w:tcPr>
                <w:p>
                  <w:pPr>
                    <w:pStyle w:val="33"/>
                    <w:spacing w:line="240" w:lineRule="auto"/>
                    <w:rPr>
                      <w:rFonts w:hint="default" w:ascii="Times New Roman" w:hAnsi="Times New Roman" w:cs="Times New Roman"/>
                      <w:color w:val="FF0000"/>
                      <w:highlight w:val="none"/>
                    </w:rPr>
                  </w:pPr>
                  <w:r>
                    <w:rPr>
                      <w:rFonts w:hint="default" w:ascii="Times New Roman" w:hAnsi="Times New Roman" w:cs="Times New Roman"/>
                      <w:color w:val="FF0000"/>
                      <w:highlight w:val="none"/>
                    </w:rPr>
                    <w:t>筒仓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385" w:type="pct"/>
                  <w:vMerge w:val="continue"/>
                  <w:vAlign w:val="center"/>
                </w:tcPr>
                <w:p>
                  <w:pPr>
                    <w:pStyle w:val="33"/>
                    <w:spacing w:line="240" w:lineRule="auto"/>
                    <w:rPr>
                      <w:rFonts w:hint="default" w:ascii="Times New Roman" w:hAnsi="Times New Roman" w:cs="Times New Roman"/>
                    </w:rPr>
                  </w:pPr>
                </w:p>
              </w:tc>
              <w:tc>
                <w:tcPr>
                  <w:tcW w:w="1193" w:type="pct"/>
                  <w:gridSpan w:val="2"/>
                  <w:vMerge w:val="continue"/>
                  <w:vAlign w:val="center"/>
                </w:tcPr>
                <w:p>
                  <w:pPr>
                    <w:pStyle w:val="33"/>
                    <w:spacing w:line="240" w:lineRule="auto"/>
                    <w:rPr>
                      <w:rFonts w:hint="default" w:ascii="Times New Roman" w:hAnsi="Times New Roman" w:cs="Times New Roman"/>
                      <w:color w:val="auto"/>
                    </w:rPr>
                  </w:pPr>
                </w:p>
              </w:tc>
              <w:tc>
                <w:tcPr>
                  <w:tcW w:w="698" w:type="pct"/>
                  <w:vAlign w:val="center"/>
                </w:tcPr>
                <w:p>
                  <w:pPr>
                    <w:pStyle w:val="33"/>
                    <w:spacing w:line="240" w:lineRule="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石粉</w:t>
                  </w:r>
                </w:p>
              </w:tc>
              <w:tc>
                <w:tcPr>
                  <w:tcW w:w="568" w:type="pct"/>
                  <w:vAlign w:val="center"/>
                </w:tcPr>
                <w:p>
                  <w:pPr>
                    <w:pStyle w:val="33"/>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834" w:type="pct"/>
                  <w:vAlign w:val="center"/>
                </w:tcPr>
                <w:p>
                  <w:pPr>
                    <w:pStyle w:val="33"/>
                    <w:spacing w:line="240" w:lineRule="auto"/>
                    <w:rPr>
                      <w:rFonts w:hint="default" w:ascii="Times New Roman" w:hAnsi="Times New Roman" w:cs="Times New Roman"/>
                      <w:color w:val="FF0000"/>
                      <w:highlight w:val="none"/>
                      <w:lang w:val="en-US" w:eastAsia="zh-CN"/>
                    </w:rPr>
                  </w:pPr>
                  <w:r>
                    <w:rPr>
                      <w:rFonts w:hint="default" w:ascii="Times New Roman" w:hAnsi="Times New Roman" w:cs="Times New Roman"/>
                      <w:color w:val="FF0000"/>
                      <w:highlight w:val="none"/>
                    </w:rPr>
                    <w:t>0~1.18</w:t>
                  </w:r>
                </w:p>
              </w:tc>
              <w:tc>
                <w:tcPr>
                  <w:tcW w:w="659" w:type="pct"/>
                  <w:vAlign w:val="center"/>
                </w:tcPr>
                <w:p>
                  <w:pPr>
                    <w:pStyle w:val="33"/>
                    <w:spacing w:line="240" w:lineRule="auto"/>
                    <w:ind w:right="0" w:rightChars="0" w:firstLine="0" w:firstLineChars="0"/>
                    <w:rPr>
                      <w:rFonts w:hint="default" w:ascii="Times New Roman" w:hAnsi="Times New Roman" w:eastAsia="宋体" w:cs="Times New Roman"/>
                      <w:color w:val="FF0000"/>
                      <w:kern w:val="2"/>
                      <w:sz w:val="21"/>
                      <w:szCs w:val="24"/>
                      <w:highlight w:val="none"/>
                      <w:lang w:val="en-US" w:eastAsia="zh-CN" w:bidi="ar-SA"/>
                    </w:rPr>
                  </w:pPr>
                  <w:r>
                    <w:rPr>
                      <w:rFonts w:hint="default" w:ascii="Times New Roman" w:hAnsi="Times New Roman" w:cs="Times New Roman"/>
                      <w:color w:val="FF0000"/>
                      <w:highlight w:val="none"/>
                    </w:rPr>
                    <w:t>300</w:t>
                  </w:r>
                </w:p>
              </w:tc>
              <w:tc>
                <w:tcPr>
                  <w:tcW w:w="659" w:type="pct"/>
                  <w:vAlign w:val="center"/>
                </w:tcPr>
                <w:p>
                  <w:pPr>
                    <w:pStyle w:val="33"/>
                    <w:spacing w:line="240" w:lineRule="auto"/>
                    <w:ind w:right="0" w:rightChars="0" w:firstLine="0" w:firstLineChars="0"/>
                    <w:rPr>
                      <w:rFonts w:hint="default" w:ascii="Times New Roman" w:hAnsi="Times New Roman" w:eastAsia="宋体" w:cs="Times New Roman"/>
                      <w:color w:val="FF0000"/>
                      <w:kern w:val="2"/>
                      <w:sz w:val="21"/>
                      <w:szCs w:val="24"/>
                      <w:highlight w:val="none"/>
                      <w:lang w:val="en-US" w:eastAsia="zh-CN" w:bidi="ar-SA"/>
                    </w:rPr>
                  </w:pPr>
                  <w:r>
                    <w:rPr>
                      <w:rFonts w:hint="default" w:ascii="Times New Roman" w:hAnsi="Times New Roman" w:cs="Times New Roman"/>
                      <w:color w:val="FF0000"/>
                      <w:highlight w:val="none"/>
                    </w:rPr>
                    <w:t>筒仓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579" w:type="pct"/>
                  <w:gridSpan w:val="3"/>
                  <w:vAlign w:val="center"/>
                </w:tcPr>
                <w:p>
                  <w:pPr>
                    <w:pStyle w:val="33"/>
                    <w:spacing w:line="240" w:lineRule="auto"/>
                    <w:rPr>
                      <w:rFonts w:hint="default" w:ascii="Times New Roman" w:hAnsi="Times New Roman" w:cs="Times New Roman"/>
                      <w:color w:val="auto"/>
                    </w:rPr>
                  </w:pPr>
                  <w:r>
                    <w:rPr>
                      <w:rFonts w:hint="default" w:ascii="Times New Roman" w:hAnsi="Times New Roman" w:cs="Times New Roman"/>
                      <w:color w:val="auto"/>
                    </w:rPr>
                    <w:t>河沙烘干线</w:t>
                  </w:r>
                </w:p>
              </w:tc>
              <w:tc>
                <w:tcPr>
                  <w:tcW w:w="698" w:type="pct"/>
                  <w:vAlign w:val="center"/>
                </w:tcPr>
                <w:p>
                  <w:pPr>
                    <w:pStyle w:val="33"/>
                    <w:spacing w:line="240" w:lineRule="auto"/>
                    <w:ind w:right="0" w:rightChars="0" w:firstLine="0" w:firstLineChars="0"/>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河砂</w:t>
                  </w:r>
                </w:p>
              </w:tc>
              <w:tc>
                <w:tcPr>
                  <w:tcW w:w="568" w:type="pct"/>
                  <w:vAlign w:val="center"/>
                </w:tcPr>
                <w:p>
                  <w:pPr>
                    <w:pStyle w:val="33"/>
                    <w:spacing w:line="240" w:lineRule="auto"/>
                    <w:ind w:right="0" w:rightChars="0" w:firstLine="0" w:firstLine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5</w:t>
                  </w:r>
                </w:p>
              </w:tc>
              <w:tc>
                <w:tcPr>
                  <w:tcW w:w="834" w:type="pct"/>
                  <w:vAlign w:val="center"/>
                </w:tcPr>
                <w:p>
                  <w:pPr>
                    <w:pStyle w:val="33"/>
                    <w:spacing w:line="240" w:lineRule="auto"/>
                    <w:ind w:right="0" w:rightChars="0" w:firstLine="0" w:firstLineChars="0"/>
                    <w:rPr>
                      <w:rFonts w:hint="default" w:ascii="Times New Roman" w:hAnsi="Times New Roman" w:eastAsia="宋体" w:cs="Times New Roman"/>
                      <w:color w:val="FF0000"/>
                      <w:kern w:val="2"/>
                      <w:sz w:val="21"/>
                      <w:szCs w:val="24"/>
                      <w:highlight w:val="none"/>
                      <w:lang w:val="en-US" w:eastAsia="zh-CN" w:bidi="ar-SA"/>
                    </w:rPr>
                  </w:pPr>
                  <w:r>
                    <w:rPr>
                      <w:rFonts w:hint="default" w:ascii="Times New Roman" w:hAnsi="Times New Roman" w:cs="Times New Roman"/>
                      <w:color w:val="FF0000"/>
                      <w:highlight w:val="none"/>
                      <w:lang w:val="en-US" w:eastAsia="zh-CN"/>
                    </w:rPr>
                    <w:t>粒径：</w:t>
                  </w:r>
                  <w:r>
                    <w:rPr>
                      <w:rFonts w:hint="default" w:ascii="Times New Roman" w:hAnsi="Times New Roman" w:cs="Times New Roman"/>
                      <w:color w:val="FF0000"/>
                      <w:highlight w:val="none"/>
                    </w:rPr>
                    <w:t>0~4.75</w:t>
                  </w:r>
                </w:p>
              </w:tc>
              <w:tc>
                <w:tcPr>
                  <w:tcW w:w="659" w:type="pct"/>
                  <w:vAlign w:val="center"/>
                </w:tcPr>
                <w:p>
                  <w:pPr>
                    <w:pStyle w:val="33"/>
                    <w:spacing w:line="240" w:lineRule="auto"/>
                    <w:ind w:right="0" w:rightChars="0" w:firstLine="0" w:firstLineChars="0"/>
                    <w:rPr>
                      <w:rFonts w:hint="default" w:ascii="Times New Roman" w:hAnsi="Times New Roman" w:eastAsia="宋体" w:cs="Times New Roman"/>
                      <w:color w:val="FF0000"/>
                      <w:kern w:val="2"/>
                      <w:sz w:val="21"/>
                      <w:szCs w:val="24"/>
                      <w:highlight w:val="none"/>
                      <w:lang w:val="en-US" w:eastAsia="zh-CN" w:bidi="ar-SA"/>
                    </w:rPr>
                  </w:pPr>
                  <w:r>
                    <w:rPr>
                      <w:rFonts w:hint="default" w:ascii="Times New Roman" w:hAnsi="Times New Roman" w:cs="Times New Roman"/>
                      <w:color w:val="FF0000"/>
                      <w:highlight w:val="none"/>
                    </w:rPr>
                    <w:t>800</w:t>
                  </w:r>
                </w:p>
              </w:tc>
              <w:tc>
                <w:tcPr>
                  <w:tcW w:w="659" w:type="pct"/>
                  <w:vAlign w:val="center"/>
                </w:tcPr>
                <w:p>
                  <w:pPr>
                    <w:pStyle w:val="33"/>
                    <w:spacing w:line="240" w:lineRule="auto"/>
                    <w:ind w:right="0" w:rightChars="0" w:firstLine="0" w:firstLineChars="0"/>
                    <w:rPr>
                      <w:rFonts w:hint="default" w:ascii="Times New Roman" w:hAnsi="Times New Roman" w:eastAsia="宋体" w:cs="Times New Roman"/>
                      <w:color w:val="FF0000"/>
                      <w:kern w:val="2"/>
                      <w:sz w:val="21"/>
                      <w:szCs w:val="24"/>
                      <w:highlight w:val="none"/>
                      <w:lang w:val="en-US" w:eastAsia="zh-CN" w:bidi="ar-SA"/>
                    </w:rPr>
                  </w:pPr>
                  <w:r>
                    <w:rPr>
                      <w:rFonts w:hint="default" w:ascii="Times New Roman" w:hAnsi="Times New Roman" w:cs="Times New Roman"/>
                      <w:color w:val="FF0000"/>
                      <w:highlight w:val="none"/>
                    </w:rPr>
                    <w:t>筒仓</w:t>
                  </w:r>
                </w:p>
              </w:tc>
            </w:tr>
            <w:bookmarkEnd w:id="12"/>
          </w:tbl>
          <w:p>
            <w:pPr>
              <w:bidi w:val="0"/>
              <w:ind w:left="0" w:leftChars="0" w:firstLine="0" w:firstLineChars="0"/>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2.2.3 主要原辅材料及能源消耗</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干粉砂浆产品原材料主要为普通硅酸盐水泥、机制砂、石英砂、石粉、胶粉等，特种干粉砂浆原材料主要增加少量添加剂、无机颜料等。其中机制砂、石粉原料来自本项目配套原料生产线，机制砂原料主要为石灰石、鹅卵石、河沙，砂石原料由湖南洞庭资源控股集团有限公司供应，已签订砂石保供协议，见附件7。主要能源为天然气、电、自来水。</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主要原辅材料及能源消耗见下表2-3。</w:t>
            </w:r>
          </w:p>
          <w:p>
            <w:pPr>
              <w:pStyle w:val="32"/>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表2-3 主要原辅材料及能源消耗情况一览表</w:t>
            </w:r>
          </w:p>
          <w:tbl>
            <w:tblPr>
              <w:tblStyle w:val="21"/>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4"/>
              <w:gridCol w:w="1264"/>
              <w:gridCol w:w="1073"/>
              <w:gridCol w:w="1128"/>
              <w:gridCol w:w="1105"/>
              <w:gridCol w:w="846"/>
              <w:gridCol w:w="1288"/>
              <w:gridCol w:w="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内容</w:t>
                  </w: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物料名称</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用量</w:t>
                  </w:r>
                </w:p>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（万t/a）</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最大储存量（t）</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储存位置</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包装方式/规格</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原料来源</w:t>
                  </w:r>
                </w:p>
              </w:tc>
              <w:tc>
                <w:tcPr>
                  <w:tcW w:w="53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用途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restar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原料生产线</w:t>
                  </w: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石灰石</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cs="Times New Roman"/>
                      <w:color w:val="FF0000"/>
                      <w:sz w:val="21"/>
                      <w:szCs w:val="21"/>
                      <w:highlight w:val="none"/>
                      <w:lang w:val="en-US" w:eastAsia="zh-CN"/>
                    </w:rPr>
                    <w:t>44.44</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2000</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堆场</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散装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w:t>
                  </w:r>
                </w:p>
              </w:tc>
              <w:tc>
                <w:tcPr>
                  <w:tcW w:w="536" w:type="pct"/>
                  <w:vMerge w:val="restar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生产</w:t>
                  </w:r>
                </w:p>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机制砂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lang w:val="en-US" w:eastAsia="zh-CN"/>
                    </w:rPr>
                  </w:pP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鹅卵石</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cs="Times New Roman"/>
                      <w:color w:val="FF0000"/>
                      <w:sz w:val="21"/>
                      <w:szCs w:val="21"/>
                      <w:highlight w:val="none"/>
                      <w:lang w:val="en-US" w:eastAsia="zh-CN"/>
                    </w:rPr>
                    <w:t>27.78</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cs="Times New Roman"/>
                      <w:color w:val="FF0000"/>
                      <w:sz w:val="21"/>
                      <w:szCs w:val="21"/>
                      <w:highlight w:val="none"/>
                    </w:rPr>
                    <w:t>3000</w:t>
                  </w:r>
                </w:p>
              </w:tc>
              <w:tc>
                <w:tcPr>
                  <w:tcW w:w="657"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堆场</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散装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外购</w:t>
                  </w:r>
                </w:p>
              </w:tc>
              <w:tc>
                <w:tcPr>
                  <w:tcW w:w="536" w:type="pct"/>
                  <w:vMerge w:val="continue"/>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河沙</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FF0000"/>
                      <w:sz w:val="21"/>
                      <w:szCs w:val="21"/>
                      <w:highlight w:val="none"/>
                      <w:lang w:val="en-US"/>
                    </w:rPr>
                  </w:pPr>
                  <w:r>
                    <w:rPr>
                      <w:rFonts w:hint="default" w:ascii="Times New Roman" w:hAnsi="Times New Roman" w:cs="Times New Roman"/>
                      <w:color w:val="FF0000"/>
                      <w:sz w:val="21"/>
                      <w:szCs w:val="21"/>
                      <w:highlight w:val="none"/>
                      <w:lang w:val="en-US" w:eastAsia="zh-CN"/>
                    </w:rPr>
                    <w:t>16.67</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3000</w:t>
                  </w:r>
                </w:p>
              </w:tc>
              <w:tc>
                <w:tcPr>
                  <w:tcW w:w="657" w:type="pct"/>
                  <w:noWrap w:val="0"/>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堆场</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散装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w:t>
                  </w:r>
                </w:p>
              </w:tc>
              <w:tc>
                <w:tcPr>
                  <w:tcW w:w="536" w:type="pct"/>
                  <w:vMerge w:val="continue"/>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restar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普通干粉砂浆</w:t>
                  </w: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普通硅酸盐水泥</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220</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原料筒仓</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散装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w:t>
                  </w:r>
                </w:p>
              </w:tc>
              <w:tc>
                <w:tcPr>
                  <w:tcW w:w="53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原材料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石英砂</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200</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原料筒仓</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散装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w:t>
                  </w:r>
                </w:p>
              </w:tc>
              <w:tc>
                <w:tcPr>
                  <w:tcW w:w="53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原材料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石粉</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3</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300</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cs="Times New Roman"/>
                      <w:color w:val="FF0000"/>
                      <w:sz w:val="21"/>
                      <w:szCs w:val="21"/>
                      <w:highlight w:val="none"/>
                      <w:lang w:eastAsia="zh-CN"/>
                    </w:rPr>
                    <w:t>原料筒仓</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散装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cs="Times New Roman"/>
                      <w:color w:val="FF0000"/>
                      <w:sz w:val="21"/>
                      <w:szCs w:val="21"/>
                      <w:highlight w:val="none"/>
                      <w:lang w:val="en-US" w:eastAsia="zh-CN"/>
                    </w:rPr>
                    <w:t>石灰石制砂</w:t>
                  </w:r>
                </w:p>
              </w:tc>
              <w:tc>
                <w:tcPr>
                  <w:tcW w:w="53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原材料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白水泥</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4.2</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原料筒仓</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散装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w:t>
                  </w:r>
                </w:p>
              </w:tc>
              <w:tc>
                <w:tcPr>
                  <w:tcW w:w="53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原材料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胶粉</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4.1</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原料筒仓</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袋装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w:t>
                  </w:r>
                </w:p>
              </w:tc>
              <w:tc>
                <w:tcPr>
                  <w:tcW w:w="53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原材料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机制砂</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43</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260</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cs="Times New Roman"/>
                      <w:color w:val="FF0000"/>
                      <w:sz w:val="21"/>
                      <w:szCs w:val="21"/>
                      <w:highlight w:val="none"/>
                      <w:lang w:eastAsia="zh-CN"/>
                    </w:rPr>
                    <w:t>原料筒仓</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袋装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cs="Times New Roman"/>
                      <w:color w:val="FF0000"/>
                      <w:sz w:val="21"/>
                      <w:szCs w:val="21"/>
                      <w:highlight w:val="none"/>
                      <w:lang w:val="en-US" w:eastAsia="zh-CN"/>
                    </w:rPr>
                    <w:t>鹅卵石制砂/河沙</w:t>
                  </w:r>
                </w:p>
              </w:tc>
              <w:tc>
                <w:tcPr>
                  <w:tcW w:w="53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原材料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restart"/>
                  <w:noWrap w:val="0"/>
                  <w:vAlign w:val="center"/>
                </w:tcPr>
                <w:p>
                  <w:pPr>
                    <w:pStyle w:val="28"/>
                    <w:keepNext w:val="0"/>
                    <w:keepLines w:val="0"/>
                    <w:pageBreakBefore w:val="0"/>
                    <w:widowControl w:val="0"/>
                    <w:kinsoku/>
                    <w:wordWrap/>
                    <w:overflowPunct/>
                    <w:topLinePunct w:val="0"/>
                    <w:autoSpaceDE/>
                    <w:autoSpaceDN/>
                    <w:bidi w:val="0"/>
                    <w:spacing w:beforeLines="0" w:after="0" w:afterLines="0"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彩色特种砂浆</w:t>
                  </w: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白色硅酸盐水泥</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2.05</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原料筒仓</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散装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w:t>
                  </w:r>
                </w:p>
              </w:tc>
              <w:tc>
                <w:tcPr>
                  <w:tcW w:w="53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原材料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白色砂子</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4.9</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300</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原料筒仓</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吨包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w:t>
                  </w:r>
                </w:p>
              </w:tc>
              <w:tc>
                <w:tcPr>
                  <w:tcW w:w="53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原材料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重钙粉</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0.82</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300</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原料筒仓</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散装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w:t>
                  </w:r>
                </w:p>
              </w:tc>
              <w:tc>
                <w:tcPr>
                  <w:tcW w:w="53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原材料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胶粉</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0.16</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车间袋装</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袋装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w:t>
                  </w:r>
                </w:p>
              </w:tc>
              <w:tc>
                <w:tcPr>
                  <w:tcW w:w="53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原材料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cs="Times New Roman"/>
                      <w:color w:val="FF0000"/>
                      <w:sz w:val="21"/>
                      <w:szCs w:val="21"/>
                      <w:highlight w:val="none"/>
                      <w:lang w:val="en-US" w:eastAsia="zh-CN"/>
                    </w:rPr>
                    <w:t>钛白粉</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cs="Times New Roman"/>
                      <w:color w:val="FF0000"/>
                      <w:sz w:val="21"/>
                      <w:szCs w:val="21"/>
                      <w:highlight w:val="none"/>
                      <w:lang w:val="en-US" w:eastAsia="zh-CN"/>
                    </w:rPr>
                    <w:t>0.016</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cs="Times New Roman"/>
                      <w:color w:val="FF0000"/>
                      <w:sz w:val="21"/>
                      <w:szCs w:val="21"/>
                      <w:highlight w:val="none"/>
                      <w:lang w:val="en-US" w:eastAsia="zh-CN"/>
                    </w:rPr>
                    <w:t>0.016</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车间袋装</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袋装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w:t>
                  </w:r>
                </w:p>
              </w:tc>
              <w:tc>
                <w:tcPr>
                  <w:tcW w:w="53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原材料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p>
              </w:tc>
              <w:tc>
                <w:tcPr>
                  <w:tcW w:w="752" w:type="pct"/>
                  <w:noWrap w:val="0"/>
                  <w:vAlign w:val="center"/>
                </w:tcPr>
                <w:p>
                  <w:pPr>
                    <w:pStyle w:val="31"/>
                    <w:spacing w:line="300" w:lineRule="exact"/>
                    <w:ind w:firstLine="0" w:firstLineChars="0"/>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cs="Times New Roman"/>
                      <w:color w:val="FF0000"/>
                      <w:szCs w:val="21"/>
                      <w:highlight w:val="none"/>
                    </w:rPr>
                    <w:t>铁黑</w:t>
                  </w:r>
                </w:p>
              </w:tc>
              <w:tc>
                <w:tcPr>
                  <w:tcW w:w="638" w:type="pct"/>
                  <w:noWrap w:val="0"/>
                  <w:vAlign w:val="center"/>
                </w:tcPr>
                <w:p>
                  <w:pPr>
                    <w:pStyle w:val="31"/>
                    <w:spacing w:line="300" w:lineRule="exact"/>
                    <w:ind w:firstLine="0" w:firstLineChars="0"/>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cs="Times New Roman"/>
                      <w:color w:val="FF0000"/>
                      <w:szCs w:val="21"/>
                      <w:highlight w:val="none"/>
                    </w:rPr>
                    <w:t>0.01</w:t>
                  </w:r>
                </w:p>
              </w:tc>
              <w:tc>
                <w:tcPr>
                  <w:tcW w:w="671" w:type="pct"/>
                  <w:noWrap w:val="0"/>
                  <w:vAlign w:val="center"/>
                </w:tcPr>
                <w:p>
                  <w:pPr>
                    <w:pStyle w:val="31"/>
                    <w:spacing w:line="300" w:lineRule="exact"/>
                    <w:ind w:firstLine="0" w:firstLineChars="0"/>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cs="Times New Roman"/>
                      <w:color w:val="FF0000"/>
                      <w:szCs w:val="21"/>
                      <w:highlight w:val="none"/>
                    </w:rPr>
                    <w:t>0.01</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车间袋装</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袋装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w:t>
                  </w:r>
                </w:p>
              </w:tc>
              <w:tc>
                <w:tcPr>
                  <w:tcW w:w="53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原材料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p>
              </w:tc>
              <w:tc>
                <w:tcPr>
                  <w:tcW w:w="752" w:type="pct"/>
                  <w:noWrap w:val="0"/>
                  <w:vAlign w:val="center"/>
                </w:tcPr>
                <w:p>
                  <w:pPr>
                    <w:pStyle w:val="31"/>
                    <w:spacing w:line="300" w:lineRule="exact"/>
                    <w:ind w:firstLine="0" w:firstLineChars="0"/>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cs="Times New Roman"/>
                      <w:color w:val="FF0000"/>
                      <w:szCs w:val="21"/>
                      <w:highlight w:val="none"/>
                    </w:rPr>
                    <w:t>铁红</w:t>
                  </w:r>
                </w:p>
              </w:tc>
              <w:tc>
                <w:tcPr>
                  <w:tcW w:w="638" w:type="pct"/>
                  <w:noWrap w:val="0"/>
                  <w:vAlign w:val="center"/>
                </w:tcPr>
                <w:p>
                  <w:pPr>
                    <w:pStyle w:val="31"/>
                    <w:spacing w:line="300" w:lineRule="exact"/>
                    <w:ind w:firstLine="0" w:firstLineChars="0"/>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cs="Times New Roman"/>
                      <w:color w:val="FF0000"/>
                      <w:szCs w:val="21"/>
                      <w:highlight w:val="none"/>
                    </w:rPr>
                    <w:t>0.02</w:t>
                  </w:r>
                </w:p>
              </w:tc>
              <w:tc>
                <w:tcPr>
                  <w:tcW w:w="671" w:type="pct"/>
                  <w:noWrap w:val="0"/>
                  <w:vAlign w:val="center"/>
                </w:tcPr>
                <w:p>
                  <w:pPr>
                    <w:pStyle w:val="31"/>
                    <w:spacing w:line="300" w:lineRule="exact"/>
                    <w:ind w:firstLine="0" w:firstLineChars="0"/>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cs="Times New Roman"/>
                      <w:color w:val="FF0000"/>
                      <w:szCs w:val="21"/>
                      <w:highlight w:val="none"/>
                    </w:rPr>
                    <w:t>0.02</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车间袋装</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袋装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w:t>
                  </w:r>
                </w:p>
              </w:tc>
              <w:tc>
                <w:tcPr>
                  <w:tcW w:w="53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原材料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p>
              </w:tc>
              <w:tc>
                <w:tcPr>
                  <w:tcW w:w="752" w:type="pct"/>
                  <w:noWrap w:val="0"/>
                  <w:vAlign w:val="center"/>
                </w:tcPr>
                <w:p>
                  <w:pPr>
                    <w:pStyle w:val="31"/>
                    <w:spacing w:line="300" w:lineRule="exact"/>
                    <w:ind w:firstLine="0" w:firstLineChars="0"/>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cs="Times New Roman"/>
                      <w:color w:val="FF0000"/>
                      <w:szCs w:val="21"/>
                      <w:highlight w:val="none"/>
                    </w:rPr>
                    <w:t>铁黄</w:t>
                  </w:r>
                </w:p>
              </w:tc>
              <w:tc>
                <w:tcPr>
                  <w:tcW w:w="638" w:type="pct"/>
                  <w:noWrap w:val="0"/>
                  <w:vAlign w:val="center"/>
                </w:tcPr>
                <w:p>
                  <w:pPr>
                    <w:pStyle w:val="31"/>
                    <w:spacing w:line="300" w:lineRule="exact"/>
                    <w:ind w:firstLine="0" w:firstLineChars="0"/>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cs="Times New Roman"/>
                      <w:color w:val="FF0000"/>
                      <w:szCs w:val="21"/>
                      <w:highlight w:val="none"/>
                    </w:rPr>
                    <w:t>0.018</w:t>
                  </w:r>
                </w:p>
              </w:tc>
              <w:tc>
                <w:tcPr>
                  <w:tcW w:w="671" w:type="pct"/>
                  <w:noWrap w:val="0"/>
                  <w:vAlign w:val="center"/>
                </w:tcPr>
                <w:p>
                  <w:pPr>
                    <w:pStyle w:val="31"/>
                    <w:spacing w:line="300" w:lineRule="exact"/>
                    <w:ind w:firstLine="0" w:firstLineChars="0"/>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cs="Times New Roman"/>
                      <w:color w:val="FF0000"/>
                      <w:szCs w:val="21"/>
                      <w:highlight w:val="none"/>
                    </w:rPr>
                    <w:t>0.018</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车间袋装</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袋装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w:t>
                  </w:r>
                </w:p>
              </w:tc>
              <w:tc>
                <w:tcPr>
                  <w:tcW w:w="53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原材料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p>
              </w:tc>
              <w:tc>
                <w:tcPr>
                  <w:tcW w:w="752" w:type="pct"/>
                  <w:noWrap w:val="0"/>
                  <w:vAlign w:val="center"/>
                </w:tcPr>
                <w:p>
                  <w:pPr>
                    <w:pStyle w:val="31"/>
                    <w:spacing w:line="300" w:lineRule="exact"/>
                    <w:ind w:firstLine="0" w:firstLineChars="0"/>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cs="Times New Roman"/>
                      <w:color w:val="FF0000"/>
                      <w:szCs w:val="21"/>
                      <w:highlight w:val="none"/>
                    </w:rPr>
                    <w:t>铁绿</w:t>
                  </w:r>
                </w:p>
              </w:tc>
              <w:tc>
                <w:tcPr>
                  <w:tcW w:w="638" w:type="pct"/>
                  <w:noWrap w:val="0"/>
                  <w:vAlign w:val="center"/>
                </w:tcPr>
                <w:p>
                  <w:pPr>
                    <w:pStyle w:val="31"/>
                    <w:spacing w:line="300" w:lineRule="exact"/>
                    <w:ind w:firstLine="0" w:firstLineChars="0"/>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cs="Times New Roman"/>
                      <w:color w:val="FF0000"/>
                      <w:szCs w:val="21"/>
                      <w:highlight w:val="none"/>
                    </w:rPr>
                    <w:t>0.016</w:t>
                  </w:r>
                </w:p>
              </w:tc>
              <w:tc>
                <w:tcPr>
                  <w:tcW w:w="671" w:type="pct"/>
                  <w:noWrap w:val="0"/>
                  <w:vAlign w:val="center"/>
                </w:tcPr>
                <w:p>
                  <w:pPr>
                    <w:pStyle w:val="31"/>
                    <w:spacing w:line="300" w:lineRule="exact"/>
                    <w:ind w:firstLine="0" w:firstLineChars="0"/>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cs="Times New Roman"/>
                      <w:color w:val="FF0000"/>
                      <w:szCs w:val="21"/>
                      <w:highlight w:val="none"/>
                    </w:rPr>
                    <w:t>0.016</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车间袋装</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袋装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w:t>
                  </w:r>
                </w:p>
              </w:tc>
              <w:tc>
                <w:tcPr>
                  <w:tcW w:w="53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原材料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restart"/>
                  <w:noWrap w:val="0"/>
                  <w:vAlign w:val="center"/>
                </w:tcPr>
                <w:p>
                  <w:pPr>
                    <w:pStyle w:val="28"/>
                    <w:keepNext w:val="0"/>
                    <w:keepLines w:val="0"/>
                    <w:pageBreakBefore w:val="0"/>
                    <w:widowControl w:val="0"/>
                    <w:kinsoku/>
                    <w:wordWrap/>
                    <w:overflowPunct/>
                    <w:topLinePunct w:val="0"/>
                    <w:autoSpaceDE/>
                    <w:autoSpaceDN/>
                    <w:bidi w:val="0"/>
                    <w:spacing w:beforeLines="0" w:after="0" w:afterLines="0"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特种干粉砂浆</w:t>
                  </w: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普通硅酸盐水泥</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7.6</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400</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原料筒仓</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散装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w:t>
                  </w:r>
                </w:p>
              </w:tc>
              <w:tc>
                <w:tcPr>
                  <w:tcW w:w="536" w:type="pct"/>
                  <w:noWrap w:val="0"/>
                  <w:vAlign w:val="center"/>
                </w:tcPr>
                <w:p>
                  <w:pPr>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原材料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28"/>
                    <w:keepNext w:val="0"/>
                    <w:keepLines w:val="0"/>
                    <w:pageBreakBefore w:val="0"/>
                    <w:widowControl w:val="0"/>
                    <w:kinsoku/>
                    <w:wordWrap/>
                    <w:overflowPunct/>
                    <w:topLinePunct w:val="0"/>
                    <w:autoSpaceDE/>
                    <w:autoSpaceDN/>
                    <w:bidi w:val="0"/>
                    <w:spacing w:beforeLines="0" w:after="0" w:afterLines="0" w:line="300" w:lineRule="exact"/>
                    <w:ind w:firstLine="0" w:firstLineChars="0"/>
                    <w:jc w:val="center"/>
                    <w:textAlignment w:val="auto"/>
                    <w:rPr>
                      <w:rFonts w:hint="default" w:ascii="Times New Roman" w:hAnsi="Times New Roman" w:cs="Times New Roman"/>
                      <w:color w:val="auto"/>
                      <w:sz w:val="21"/>
                      <w:szCs w:val="21"/>
                      <w:highlight w:val="none"/>
                    </w:rPr>
                  </w:pP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石英砂</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5.1</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400</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原料筒仓</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散装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w:t>
                  </w:r>
                </w:p>
              </w:tc>
              <w:tc>
                <w:tcPr>
                  <w:tcW w:w="536" w:type="pct"/>
                  <w:noWrap w:val="0"/>
                  <w:vAlign w:val="center"/>
                </w:tcPr>
                <w:p>
                  <w:pPr>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原材料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28"/>
                    <w:keepNext w:val="0"/>
                    <w:keepLines w:val="0"/>
                    <w:pageBreakBefore w:val="0"/>
                    <w:widowControl w:val="0"/>
                    <w:kinsoku/>
                    <w:wordWrap/>
                    <w:overflowPunct/>
                    <w:topLinePunct w:val="0"/>
                    <w:autoSpaceDE/>
                    <w:autoSpaceDN/>
                    <w:bidi w:val="0"/>
                    <w:spacing w:beforeLines="0" w:after="0" w:afterLines="0" w:line="300" w:lineRule="exact"/>
                    <w:ind w:firstLine="0" w:firstLineChars="0"/>
                    <w:jc w:val="center"/>
                    <w:textAlignment w:val="auto"/>
                    <w:rPr>
                      <w:rFonts w:hint="default" w:ascii="Times New Roman" w:hAnsi="Times New Roman" w:cs="Times New Roman"/>
                      <w:color w:val="auto"/>
                      <w:sz w:val="21"/>
                      <w:szCs w:val="21"/>
                      <w:highlight w:val="none"/>
                    </w:rPr>
                  </w:pP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机制砂</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260</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原料筒仓</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袋装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cs="Times New Roman"/>
                      <w:color w:val="FF0000"/>
                      <w:sz w:val="21"/>
                      <w:szCs w:val="21"/>
                      <w:highlight w:val="none"/>
                      <w:lang w:val="en-US" w:eastAsia="zh-CN"/>
                    </w:rPr>
                    <w:t>鹅卵石机制砂/河沙</w:t>
                  </w:r>
                </w:p>
              </w:tc>
              <w:tc>
                <w:tcPr>
                  <w:tcW w:w="536" w:type="pct"/>
                  <w:noWrap w:val="0"/>
                  <w:vAlign w:val="center"/>
                </w:tcPr>
                <w:p>
                  <w:pPr>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原材料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28"/>
                    <w:keepNext w:val="0"/>
                    <w:keepLines w:val="0"/>
                    <w:pageBreakBefore w:val="0"/>
                    <w:widowControl w:val="0"/>
                    <w:kinsoku/>
                    <w:wordWrap/>
                    <w:overflowPunct/>
                    <w:topLinePunct w:val="0"/>
                    <w:autoSpaceDE/>
                    <w:autoSpaceDN/>
                    <w:bidi w:val="0"/>
                    <w:spacing w:beforeLines="0" w:after="0" w:afterLines="0" w:line="300" w:lineRule="exact"/>
                    <w:ind w:firstLine="0" w:firstLineChars="0"/>
                    <w:jc w:val="center"/>
                    <w:textAlignment w:val="auto"/>
                    <w:rPr>
                      <w:rFonts w:hint="default" w:ascii="Times New Roman" w:hAnsi="Times New Roman" w:cs="Times New Roman"/>
                      <w:color w:val="auto"/>
                      <w:sz w:val="21"/>
                      <w:szCs w:val="21"/>
                      <w:highlight w:val="none"/>
                    </w:rPr>
                  </w:pP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石粉</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400</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原料筒仓</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散装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cs="Times New Roman"/>
                      <w:color w:val="FF0000"/>
                      <w:sz w:val="21"/>
                      <w:szCs w:val="21"/>
                      <w:highlight w:val="none"/>
                      <w:lang w:val="en-US" w:eastAsia="zh-CN"/>
                    </w:rPr>
                    <w:t>石灰石制砂</w:t>
                  </w:r>
                </w:p>
              </w:tc>
              <w:tc>
                <w:tcPr>
                  <w:tcW w:w="536" w:type="pct"/>
                  <w:noWrap w:val="0"/>
                  <w:vAlign w:val="center"/>
                </w:tcPr>
                <w:p>
                  <w:pPr>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原材料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28"/>
                    <w:keepNext w:val="0"/>
                    <w:keepLines w:val="0"/>
                    <w:pageBreakBefore w:val="0"/>
                    <w:widowControl w:val="0"/>
                    <w:kinsoku/>
                    <w:wordWrap/>
                    <w:overflowPunct/>
                    <w:topLinePunct w:val="0"/>
                    <w:autoSpaceDE/>
                    <w:autoSpaceDN/>
                    <w:bidi w:val="0"/>
                    <w:spacing w:beforeLines="0" w:after="0" w:afterLines="0" w:line="300" w:lineRule="exact"/>
                    <w:ind w:firstLine="0" w:firstLineChars="0"/>
                    <w:jc w:val="center"/>
                    <w:textAlignment w:val="auto"/>
                    <w:rPr>
                      <w:rFonts w:hint="default" w:ascii="Times New Roman" w:hAnsi="Times New Roman" w:cs="Times New Roman"/>
                      <w:color w:val="auto"/>
                      <w:sz w:val="21"/>
                      <w:szCs w:val="21"/>
                      <w:highlight w:val="none"/>
                    </w:rPr>
                  </w:pP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胶粉</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0.21</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车间袋装</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袋装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w:t>
                  </w:r>
                </w:p>
              </w:tc>
              <w:tc>
                <w:tcPr>
                  <w:tcW w:w="536" w:type="pct"/>
                  <w:noWrap w:val="0"/>
                  <w:vAlign w:val="center"/>
                </w:tcPr>
                <w:p>
                  <w:pPr>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原材料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28"/>
                    <w:keepNext w:val="0"/>
                    <w:keepLines w:val="0"/>
                    <w:pageBreakBefore w:val="0"/>
                    <w:widowControl w:val="0"/>
                    <w:kinsoku/>
                    <w:wordWrap/>
                    <w:overflowPunct/>
                    <w:topLinePunct w:val="0"/>
                    <w:autoSpaceDE/>
                    <w:autoSpaceDN/>
                    <w:bidi w:val="0"/>
                    <w:spacing w:beforeLines="0" w:after="0" w:afterLines="0" w:line="300" w:lineRule="exact"/>
                    <w:ind w:firstLine="0" w:firstLineChars="0"/>
                    <w:jc w:val="center"/>
                    <w:textAlignment w:val="auto"/>
                    <w:rPr>
                      <w:rFonts w:hint="default" w:ascii="Times New Roman" w:hAnsi="Times New Roman" w:cs="Times New Roman"/>
                      <w:color w:val="auto"/>
                      <w:sz w:val="21"/>
                      <w:szCs w:val="21"/>
                      <w:highlight w:val="none"/>
                    </w:rPr>
                  </w:pP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保水剂</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0.21</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车间袋装</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袋装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w:t>
                  </w:r>
                </w:p>
              </w:tc>
              <w:tc>
                <w:tcPr>
                  <w:tcW w:w="536" w:type="pct"/>
                  <w:noWrap w:val="0"/>
                  <w:vAlign w:val="center"/>
                </w:tcPr>
                <w:p>
                  <w:pPr>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原材料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减水剂</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车间袋装</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袋装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w:t>
                  </w:r>
                </w:p>
              </w:tc>
              <w:tc>
                <w:tcPr>
                  <w:tcW w:w="536" w:type="pct"/>
                  <w:noWrap w:val="0"/>
                  <w:vAlign w:val="center"/>
                </w:tcPr>
                <w:p>
                  <w:pPr>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原材料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restar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辅料</w:t>
                  </w: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包装袋</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1320</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成品车间</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包装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w:t>
                  </w:r>
                </w:p>
              </w:tc>
              <w:tc>
                <w:tcPr>
                  <w:tcW w:w="53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产品包装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水性油墨</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0.05</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0.01</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成品车间</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包装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w:t>
                  </w:r>
                </w:p>
              </w:tc>
              <w:tc>
                <w:tcPr>
                  <w:tcW w:w="53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包装喷码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液压油</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0.2</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成品车间</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包装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w:t>
                  </w:r>
                </w:p>
              </w:tc>
              <w:tc>
                <w:tcPr>
                  <w:tcW w:w="53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维护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设备机油</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0.3</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成品车间</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包装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w:t>
                  </w:r>
                </w:p>
              </w:tc>
              <w:tc>
                <w:tcPr>
                  <w:tcW w:w="53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维护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柴油</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生产辅房</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桶装</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外购</w:t>
                  </w:r>
                </w:p>
              </w:tc>
              <w:tc>
                <w:tcPr>
                  <w:tcW w:w="53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维护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restar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能源</w:t>
                  </w: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电（万kWh/a）</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2100</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市政供电</w:t>
                  </w:r>
                </w:p>
              </w:tc>
              <w:tc>
                <w:tcPr>
                  <w:tcW w:w="53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生产、生活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水（t/a）</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7543.5</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市政供水</w:t>
                  </w:r>
                </w:p>
              </w:tc>
              <w:tc>
                <w:tcPr>
                  <w:tcW w:w="53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办公</w:t>
                  </w:r>
                  <w:r>
                    <w:rPr>
                      <w:rFonts w:hint="default" w:ascii="Times New Roman" w:hAnsi="Times New Roman" w:cs="Times New Roman"/>
                      <w:color w:val="auto"/>
                      <w:sz w:val="21"/>
                      <w:szCs w:val="21"/>
                      <w:highlight w:val="none"/>
                    </w:rPr>
                    <w:t>用水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72" w:type="pct"/>
                  <w:vMerge w:val="continue"/>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p>
              </w:tc>
              <w:tc>
                <w:tcPr>
                  <w:tcW w:w="752"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天然气（万m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/a）</w:t>
                  </w:r>
                </w:p>
              </w:tc>
              <w:tc>
                <w:tcPr>
                  <w:tcW w:w="638"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380</w:t>
                  </w:r>
                </w:p>
              </w:tc>
              <w:tc>
                <w:tcPr>
                  <w:tcW w:w="671"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657"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03"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76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天然气管网</w:t>
                  </w:r>
                </w:p>
              </w:tc>
              <w:tc>
                <w:tcPr>
                  <w:tcW w:w="536" w:type="pct"/>
                  <w:noWrap w:val="0"/>
                  <w:vAlign w:val="center"/>
                </w:tcPr>
                <w:p>
                  <w:pPr>
                    <w:pStyle w:val="31"/>
                    <w:keepNext w:val="0"/>
                    <w:keepLines w:val="0"/>
                    <w:pageBreakBefore w:val="0"/>
                    <w:widowControl w:val="0"/>
                    <w:kinsoku/>
                    <w:wordWrap/>
                    <w:overflowPunct/>
                    <w:topLinePunct w:val="0"/>
                    <w:autoSpaceDE/>
                    <w:autoSpaceDN/>
                    <w:bidi w:val="0"/>
                    <w:spacing w:line="300" w:lineRule="exact"/>
                    <w:ind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鹅卵石</w:t>
                  </w:r>
                  <w:r>
                    <w:rPr>
                      <w:rFonts w:hint="default" w:ascii="Times New Roman" w:hAnsi="Times New Roman" w:cs="Times New Roman"/>
                      <w:color w:val="auto"/>
                      <w:sz w:val="21"/>
                      <w:szCs w:val="21"/>
                      <w:highlight w:val="none"/>
                      <w:lang w:val="en-US" w:eastAsia="zh-CN"/>
                    </w:rPr>
                    <w:t>和河砂</w:t>
                  </w:r>
                  <w:r>
                    <w:rPr>
                      <w:rFonts w:hint="default" w:ascii="Times New Roman" w:hAnsi="Times New Roman" w:cs="Times New Roman"/>
                      <w:color w:val="auto"/>
                      <w:sz w:val="21"/>
                      <w:szCs w:val="21"/>
                      <w:highlight w:val="none"/>
                    </w:rPr>
                    <w:t>烘干</w:t>
                  </w:r>
                </w:p>
              </w:tc>
            </w:tr>
          </w:tbl>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主要原辅料介绍如下：</w:t>
            </w:r>
          </w:p>
          <w:p>
            <w:pPr>
              <w:numPr>
                <w:ilvl w:val="0"/>
                <w:numId w:val="2"/>
              </w:numPr>
              <w:bidi w:val="0"/>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鹅卵石：外购鹅卵石为经过水洗的鹅卵石，基本不含泥沙，含水率约为10%，水分烘干过程全部消耗。</w:t>
            </w:r>
          </w:p>
          <w:p>
            <w:pPr>
              <w:pStyle w:val="2"/>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（2）河砂：外购河砂为经过水洗的河砂，含水率为10%，不含泥沙水分烘干过程全部消耗。</w:t>
            </w:r>
          </w:p>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水泥：粉状水硬性无机胶凝材料，加水搅拌后成浆体，能在空气中硬化或者在水中硬化，并能把砂、石等材料牢固地胶结在一起。早期石灰与火山灰的混合物与现代的石灰火山灰水泥很相似，用它胶结碎石制成的混凝土，硬化后不但强度较高，而且还能抵抗淡水或含盐水的侵蚀。</w:t>
            </w:r>
          </w:p>
          <w:p>
            <w:pPr>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4）减水剂：本项目采用聚羧酸减水剂，无色透明粘稠液体，稍有气味。成份：75%水、25%甲基烯丙基聚氧乙烯醚与丙烯酸的共聚物。聚羧酸减水剂是一种高性能减水剂，是水泥混凝土运用中的一种水泥分散剂，能防止混凝土坍落度损失而不引起明显缓凝，低掺量下发挥较高的塑化效果，流动性保持性好、水泥适应广分子构造上自由度大、合成技术多、高性能化的余地很大，对混凝土增强效果显著，能降低混凝土收缩，有害物质含量极低等技术性能特点，赋予了混凝土出色的施工和易性、良好的强度发展、优良的耐久性、聚羧酸系高性能减水剂具有良好的综合技</w:t>
            </w:r>
            <w:r>
              <w:rPr>
                <w:rFonts w:hint="default" w:ascii="Times New Roman" w:hAnsi="Times New Roman" w:eastAsia="宋体" w:cs="Times New Roman"/>
                <w:color w:val="auto"/>
                <w:lang w:val="en-US" w:eastAsia="zh-CN"/>
              </w:rPr>
              <w:t>术性能优势及环保特点，符合现代化混凝土工程的需要。</w:t>
            </w:r>
          </w:p>
          <w:p>
            <w:pPr>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r>
              <w:rPr>
                <w:rFonts w:hint="default" w:ascii="Times New Roman" w:hAnsi="Times New Roman" w:cs="Times New Roman"/>
                <w:color w:val="auto"/>
                <w:lang w:val="en-US" w:eastAsia="zh-CN"/>
              </w:rPr>
              <w:t>5</w:t>
            </w:r>
            <w:r>
              <w:rPr>
                <w:rFonts w:hint="default" w:ascii="Times New Roman" w:hAnsi="Times New Roman" w:eastAsia="宋体" w:cs="Times New Roman"/>
                <w:color w:val="auto"/>
                <w:lang w:val="en-US" w:eastAsia="zh-CN"/>
              </w:rPr>
              <w:t>）保水剂：保水剂使用的是</w:t>
            </w: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HYPERLINK "https://baike.baidu.com/item/%E9%AB%98%E5%90%B8%E6%B0%B4%E6%80%A7%E6%A0%91%E8%84%82/10859282" \t "https://baike.baidu.com/item/_blank" </w:instrText>
            </w:r>
            <w:r>
              <w:rPr>
                <w:rFonts w:hint="default" w:ascii="Times New Roman" w:hAnsi="Times New Roman" w:eastAsia="宋体" w:cs="Times New Roman"/>
                <w:color w:val="auto"/>
                <w:lang w:val="en-US" w:eastAsia="zh-CN"/>
              </w:rPr>
              <w:fldChar w:fldCharType="separate"/>
            </w:r>
            <w:r>
              <w:rPr>
                <w:rFonts w:hint="default" w:ascii="Times New Roman" w:hAnsi="Times New Roman" w:eastAsia="宋体" w:cs="Times New Roman"/>
                <w:color w:val="auto"/>
                <w:lang w:val="en-US" w:eastAsia="zh-CN"/>
              </w:rPr>
              <w:t>高吸水性树脂</w:t>
            </w:r>
            <w:r>
              <w:rPr>
                <w:rFonts w:hint="default" w:ascii="Times New Roman" w:hAnsi="Times New Roman" w:eastAsia="宋体" w:cs="Times New Roman"/>
                <w:color w:val="auto"/>
                <w:lang w:val="en-US" w:eastAsia="zh-CN"/>
              </w:rPr>
              <w:fldChar w:fldCharType="end"/>
            </w:r>
            <w:r>
              <w:rPr>
                <w:rFonts w:hint="default" w:ascii="Times New Roman" w:hAnsi="Times New Roman" w:eastAsia="宋体" w:cs="Times New Roman"/>
                <w:color w:val="auto"/>
                <w:lang w:val="en-US" w:eastAsia="zh-CN"/>
              </w:rPr>
              <w:t>，它是一种吸水能力特别强的功能高分子材料。无毒无害，可反复释水、吸水。目前保水剂共分为两大类，一类是</w:t>
            </w: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HYPERLINK "https://baike.baidu.com/item/%E4%B8%99%E7%83%AF%E9%85%B0%E8%83%BA" \t "https://baike.baidu.com/item/_blank" </w:instrText>
            </w:r>
            <w:r>
              <w:rPr>
                <w:rFonts w:hint="default" w:ascii="Times New Roman" w:hAnsi="Times New Roman" w:eastAsia="宋体" w:cs="Times New Roman"/>
                <w:color w:val="auto"/>
                <w:lang w:val="en-US" w:eastAsia="zh-CN"/>
              </w:rPr>
              <w:fldChar w:fldCharType="separate"/>
            </w:r>
            <w:r>
              <w:rPr>
                <w:rFonts w:hint="default" w:ascii="Times New Roman" w:hAnsi="Times New Roman" w:eastAsia="宋体" w:cs="Times New Roman"/>
                <w:color w:val="auto"/>
                <w:lang w:val="en-US" w:eastAsia="zh-CN"/>
              </w:rPr>
              <w:t>丙烯酰胺</w:t>
            </w:r>
            <w:r>
              <w:rPr>
                <w:rFonts w:hint="default" w:ascii="Times New Roman" w:hAnsi="Times New Roman" w:eastAsia="宋体" w:cs="Times New Roman"/>
                <w:color w:val="auto"/>
                <w:lang w:val="en-US" w:eastAsia="zh-CN"/>
              </w:rPr>
              <w:fldChar w:fldCharType="end"/>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HYPERLINK "https://baike.baidu.com/item/%E4%B8%99%E7%83%AF%E9%85%B8" \t "https://baike.baidu.com/item/_blank" </w:instrText>
            </w:r>
            <w:r>
              <w:rPr>
                <w:rFonts w:hint="default" w:ascii="Times New Roman" w:hAnsi="Times New Roman" w:eastAsia="宋体" w:cs="Times New Roman"/>
                <w:color w:val="auto"/>
                <w:lang w:val="en-US" w:eastAsia="zh-CN"/>
              </w:rPr>
              <w:fldChar w:fldCharType="separate"/>
            </w:r>
            <w:r>
              <w:rPr>
                <w:rFonts w:hint="default" w:ascii="Times New Roman" w:hAnsi="Times New Roman" w:eastAsia="宋体" w:cs="Times New Roman"/>
                <w:color w:val="auto"/>
                <w:lang w:val="en-US" w:eastAsia="zh-CN"/>
              </w:rPr>
              <w:t>丙烯酸</w:t>
            </w:r>
            <w:r>
              <w:rPr>
                <w:rFonts w:hint="default" w:ascii="Times New Roman" w:hAnsi="Times New Roman" w:eastAsia="宋体" w:cs="Times New Roman"/>
                <w:color w:val="auto"/>
                <w:lang w:val="en-US" w:eastAsia="zh-CN"/>
              </w:rPr>
              <w:fldChar w:fldCharType="end"/>
            </w:r>
            <w:r>
              <w:rPr>
                <w:rFonts w:hint="default" w:ascii="Times New Roman" w:hAnsi="Times New Roman" w:eastAsia="宋体" w:cs="Times New Roman"/>
                <w:color w:val="auto"/>
                <w:lang w:val="en-US" w:eastAsia="zh-CN"/>
              </w:rPr>
              <w:t>盐共聚交联物（</w:t>
            </w: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HYPERLINK "https://baike.baidu.com/item/%E8%81%9A%E4%B8%99%E7%83%AF%E9%85%B0%E8%83%BA" \t "https://baike.baidu.com/item/_blank" </w:instrText>
            </w:r>
            <w:r>
              <w:rPr>
                <w:rFonts w:hint="default" w:ascii="Times New Roman" w:hAnsi="Times New Roman" w:eastAsia="宋体" w:cs="Times New Roman"/>
                <w:color w:val="auto"/>
                <w:lang w:val="en-US" w:eastAsia="zh-CN"/>
              </w:rPr>
              <w:fldChar w:fldCharType="separate"/>
            </w:r>
            <w:r>
              <w:rPr>
                <w:rFonts w:hint="default" w:ascii="Times New Roman" w:hAnsi="Times New Roman" w:eastAsia="宋体" w:cs="Times New Roman"/>
                <w:color w:val="auto"/>
                <w:lang w:val="en-US" w:eastAsia="zh-CN"/>
              </w:rPr>
              <w:t>聚丙烯酰胺</w:t>
            </w:r>
            <w:r>
              <w:rPr>
                <w:rFonts w:hint="default" w:ascii="Times New Roman" w:hAnsi="Times New Roman" w:eastAsia="宋体" w:cs="Times New Roman"/>
                <w:color w:val="auto"/>
                <w:lang w:val="en-US" w:eastAsia="zh-CN"/>
              </w:rPr>
              <w:fldChar w:fldCharType="end"/>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HYPERLINK "https://baike.baidu.com/item/%E8%81%9A%E4%B8%99%E7%83%AF%E9%85%B8%E9%92%A0" \t "https://baike.baidu.com/item/_blank" </w:instrText>
            </w:r>
            <w:r>
              <w:rPr>
                <w:rFonts w:hint="default" w:ascii="Times New Roman" w:hAnsi="Times New Roman" w:eastAsia="宋体" w:cs="Times New Roman"/>
                <w:color w:val="auto"/>
                <w:lang w:val="en-US" w:eastAsia="zh-CN"/>
              </w:rPr>
              <w:fldChar w:fldCharType="separate"/>
            </w:r>
            <w:r>
              <w:rPr>
                <w:rFonts w:hint="default" w:ascii="Times New Roman" w:hAnsi="Times New Roman" w:eastAsia="宋体" w:cs="Times New Roman"/>
                <w:color w:val="auto"/>
                <w:lang w:val="en-US" w:eastAsia="zh-CN"/>
              </w:rPr>
              <w:t>聚丙烯酸钠</w:t>
            </w:r>
            <w:r>
              <w:rPr>
                <w:rFonts w:hint="default" w:ascii="Times New Roman" w:hAnsi="Times New Roman" w:eastAsia="宋体" w:cs="Times New Roman"/>
                <w:color w:val="auto"/>
                <w:lang w:val="en-US" w:eastAsia="zh-CN"/>
              </w:rPr>
              <w:fldChar w:fldCharType="end"/>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HYPERLINK "https://baike.baidu.com/item/%E8%81%9A%E4%B8%99%E7%83%AF%E9%85%B8%E9%92%BE/8492294" \t "https://baike.baidu.com/item/_blank" </w:instrText>
            </w:r>
            <w:r>
              <w:rPr>
                <w:rFonts w:hint="default" w:ascii="Times New Roman" w:hAnsi="Times New Roman" w:eastAsia="宋体" w:cs="Times New Roman"/>
                <w:color w:val="auto"/>
                <w:lang w:val="en-US" w:eastAsia="zh-CN"/>
              </w:rPr>
              <w:fldChar w:fldCharType="separate"/>
            </w:r>
            <w:r>
              <w:rPr>
                <w:rFonts w:hint="default" w:ascii="Times New Roman" w:hAnsi="Times New Roman" w:eastAsia="宋体" w:cs="Times New Roman"/>
                <w:color w:val="auto"/>
                <w:lang w:val="en-US" w:eastAsia="zh-CN"/>
              </w:rPr>
              <w:t>聚丙烯酸钾</w:t>
            </w:r>
            <w:r>
              <w:rPr>
                <w:rFonts w:hint="default" w:ascii="Times New Roman" w:hAnsi="Times New Roman" w:eastAsia="宋体" w:cs="Times New Roman"/>
                <w:color w:val="auto"/>
                <w:lang w:val="en-US" w:eastAsia="zh-CN"/>
              </w:rPr>
              <w:fldChar w:fldCharType="end"/>
            </w:r>
            <w:r>
              <w:rPr>
                <w:rFonts w:hint="default" w:ascii="Times New Roman" w:hAnsi="Times New Roman" w:eastAsia="宋体" w:cs="Times New Roman"/>
                <w:color w:val="auto"/>
                <w:lang w:val="en-US" w:eastAsia="zh-CN"/>
              </w:rPr>
              <w:t>、聚丙烯酸铵等）；另一类是淀粉接枝丙烯酸盐共聚交联物(淀粉接枝丙烯酸盐）。</w:t>
            </w: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HYPERLINK "https://baike.baidu.com/item/%E8%81%9A%E4%B8%99%E7%83%AF%E9%85%B0%E8%83%BA/3501873" \t "https://baike.baidu.com/item/_blank" </w:instrText>
            </w:r>
            <w:r>
              <w:rPr>
                <w:rFonts w:hint="default" w:ascii="Times New Roman" w:hAnsi="Times New Roman" w:eastAsia="宋体" w:cs="Times New Roman"/>
                <w:color w:val="auto"/>
                <w:lang w:val="en-US" w:eastAsia="zh-CN"/>
              </w:rPr>
              <w:fldChar w:fldCharType="separate"/>
            </w:r>
            <w:r>
              <w:rPr>
                <w:rFonts w:hint="default" w:ascii="Times New Roman" w:hAnsi="Times New Roman" w:eastAsia="宋体" w:cs="Times New Roman"/>
                <w:color w:val="auto"/>
                <w:lang w:val="en-US" w:eastAsia="zh-CN"/>
              </w:rPr>
              <w:t>聚丙烯酰胺</w:t>
            </w:r>
            <w:r>
              <w:rPr>
                <w:rFonts w:hint="default" w:ascii="Times New Roman" w:hAnsi="Times New Roman" w:eastAsia="宋体" w:cs="Times New Roman"/>
                <w:color w:val="auto"/>
                <w:lang w:val="en-US" w:eastAsia="zh-CN"/>
              </w:rPr>
              <w:fldChar w:fldCharType="end"/>
            </w:r>
            <w:r>
              <w:rPr>
                <w:rFonts w:hint="default" w:ascii="Times New Roman" w:hAnsi="Times New Roman" w:eastAsia="宋体" w:cs="Times New Roman"/>
                <w:color w:val="auto"/>
                <w:lang w:val="en-US" w:eastAsia="zh-CN"/>
              </w:rPr>
              <w:t>--聚丙烯酰胺呈白色颗粒晶体状，主要成分为：丙烯酰胺65%-66%+丙烯酸钾23%-24%+水8%-10%+交联剂0.5%-1.0%。淀粉接枝丙烯酸盐--淀粉接枝丙烯酸盐为白色或淡黄色颗粒状晶体，主要成分为：淀粉18%-27%+丙烯酸盐62%-71%+水10%+交联剂0.5%-1.0%。</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乳胶粉：为水溶性可再分散粉末，分为乙烯/醋酸乙烯酯的共聚物、醋酸乙烯/叔碳酸乙烯共聚物、丙烯酸共聚物等等，喷雾干燥后制成的粉体粘合剂，以聚乙烯醇作为保护胶体。这种粉体在与水接触后可以很快再分散成乳液，由于可再分散乳胶粉具有高粘结能力和独特的性能，提高砂浆的柔性并有较长之开放时间，赋予砂浆优良的耐碱性，改善砂浆的粘附性粘合性、抗折强度、防水性、可塑性、耐磨性能和施工性外，在柔性抗裂砂浆中更具有较强的柔韧性。</w:t>
            </w:r>
          </w:p>
          <w:p>
            <w:pPr>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w:t>
            </w:r>
            <w:r>
              <w:rPr>
                <w:rFonts w:hint="default" w:ascii="Times New Roman" w:hAnsi="Times New Roman" w:cs="Times New Roman"/>
                <w:color w:val="auto"/>
                <w:kern w:val="2"/>
                <w:sz w:val="24"/>
                <w:szCs w:val="24"/>
                <w:lang w:val="en-US" w:eastAsia="zh-CN" w:bidi="ar-SA"/>
              </w:rPr>
              <w:t>7</w:t>
            </w:r>
            <w:r>
              <w:rPr>
                <w:rFonts w:hint="default" w:ascii="Times New Roman" w:hAnsi="Times New Roman" w:eastAsia="宋体" w:cs="Times New Roman"/>
                <w:color w:val="auto"/>
                <w:kern w:val="2"/>
                <w:sz w:val="24"/>
                <w:szCs w:val="24"/>
                <w:lang w:val="en-US" w:eastAsia="zh-CN" w:bidi="ar-SA"/>
              </w:rPr>
              <w:t>）重钙粉：</w:t>
            </w:r>
            <w:r>
              <w:rPr>
                <w:rFonts w:hint="default" w:ascii="Times New Roman" w:hAnsi="Times New Roman" w:eastAsia="宋体" w:cs="Times New Roman"/>
                <w:color w:val="auto"/>
                <w:kern w:val="2"/>
                <w:sz w:val="24"/>
                <w:szCs w:val="24"/>
                <w:lang w:val="en-US" w:eastAsia="zh-CN" w:bidi="ar-SA"/>
              </w:rPr>
              <w:fldChar w:fldCharType="begin"/>
            </w:r>
            <w:r>
              <w:rPr>
                <w:rFonts w:hint="default" w:ascii="Times New Roman" w:hAnsi="Times New Roman" w:eastAsia="宋体" w:cs="Times New Roman"/>
                <w:color w:val="auto"/>
                <w:kern w:val="2"/>
                <w:sz w:val="24"/>
                <w:szCs w:val="24"/>
                <w:lang w:val="en-US" w:eastAsia="zh-CN" w:bidi="ar-SA"/>
              </w:rPr>
              <w:instrText xml:space="preserve"> HYPERLINK "https://baike.baidu.com/item/%E9%87%8D%E8%B4%A8%E7%A2%B3%E9%85%B8%E9%92%99/10387369" \t "https://baike.baidu.com/item/%E9%87%8D%E9%92%99%E7%B2%89/_blank" </w:instrText>
            </w:r>
            <w:r>
              <w:rPr>
                <w:rFonts w:hint="default" w:ascii="Times New Roman" w:hAnsi="Times New Roman" w:eastAsia="宋体" w:cs="Times New Roman"/>
                <w:color w:val="auto"/>
                <w:kern w:val="2"/>
                <w:sz w:val="24"/>
                <w:szCs w:val="24"/>
                <w:lang w:val="en-US" w:eastAsia="zh-CN" w:bidi="ar-SA"/>
              </w:rPr>
              <w:fldChar w:fldCharType="separate"/>
            </w:r>
            <w:r>
              <w:rPr>
                <w:rFonts w:hint="default" w:ascii="Times New Roman" w:hAnsi="Times New Roman" w:eastAsia="宋体" w:cs="Times New Roman"/>
                <w:color w:val="auto"/>
                <w:kern w:val="2"/>
                <w:sz w:val="24"/>
                <w:szCs w:val="24"/>
                <w:lang w:val="en-US" w:eastAsia="zh-CN" w:bidi="ar-SA"/>
              </w:rPr>
              <w:t>重质碳酸钙</w:t>
            </w:r>
            <w:r>
              <w:rPr>
                <w:rFonts w:hint="default" w:ascii="Times New Roman" w:hAnsi="Times New Roman" w:eastAsia="宋体" w:cs="Times New Roman"/>
                <w:color w:val="auto"/>
                <w:kern w:val="2"/>
                <w:sz w:val="24"/>
                <w:szCs w:val="24"/>
                <w:lang w:val="en-US" w:eastAsia="zh-CN" w:bidi="ar-SA"/>
              </w:rPr>
              <w:fldChar w:fldCharType="end"/>
            </w:r>
            <w:r>
              <w:rPr>
                <w:rFonts w:hint="default" w:ascii="Times New Roman" w:hAnsi="Times New Roman" w:eastAsia="宋体" w:cs="Times New Roman"/>
                <w:color w:val="auto"/>
                <w:kern w:val="2"/>
                <w:sz w:val="24"/>
                <w:szCs w:val="24"/>
                <w:lang w:val="en-US" w:eastAsia="zh-CN" w:bidi="ar-SA"/>
              </w:rPr>
              <w:t>简称重钙，是用优质的石灰石为原料，经</w:t>
            </w:r>
            <w:r>
              <w:rPr>
                <w:rFonts w:hint="default" w:ascii="Times New Roman" w:hAnsi="Times New Roman" w:eastAsia="宋体" w:cs="Times New Roman"/>
                <w:color w:val="auto"/>
                <w:kern w:val="2"/>
                <w:sz w:val="24"/>
                <w:szCs w:val="24"/>
                <w:lang w:val="en-US" w:eastAsia="zh-CN" w:bidi="ar-SA"/>
              </w:rPr>
              <w:fldChar w:fldCharType="begin"/>
            </w:r>
            <w:r>
              <w:rPr>
                <w:rFonts w:hint="default" w:ascii="Times New Roman" w:hAnsi="Times New Roman" w:eastAsia="宋体" w:cs="Times New Roman"/>
                <w:color w:val="auto"/>
                <w:kern w:val="2"/>
                <w:sz w:val="24"/>
                <w:szCs w:val="24"/>
                <w:lang w:val="en-US" w:eastAsia="zh-CN" w:bidi="ar-SA"/>
              </w:rPr>
              <w:instrText xml:space="preserve"> HYPERLINK "https://baike.baidu.com/item/%E7%9F%B3%E7%81%B0%E7%A3%A8%E7%B2%89%E6%9C%BA/10879332" \t "https://baike.baidu.com/item/%E9%87%8D%E9%92%99%E7%B2%89/_blank" </w:instrText>
            </w:r>
            <w:r>
              <w:rPr>
                <w:rFonts w:hint="default" w:ascii="Times New Roman" w:hAnsi="Times New Roman" w:eastAsia="宋体" w:cs="Times New Roman"/>
                <w:color w:val="auto"/>
                <w:kern w:val="2"/>
                <w:sz w:val="24"/>
                <w:szCs w:val="24"/>
                <w:lang w:val="en-US" w:eastAsia="zh-CN" w:bidi="ar-SA"/>
              </w:rPr>
              <w:fldChar w:fldCharType="separate"/>
            </w:r>
            <w:r>
              <w:rPr>
                <w:rFonts w:hint="default" w:ascii="Times New Roman" w:hAnsi="Times New Roman" w:eastAsia="宋体" w:cs="Times New Roman"/>
                <w:color w:val="auto"/>
                <w:kern w:val="2"/>
                <w:sz w:val="24"/>
                <w:szCs w:val="24"/>
                <w:lang w:val="en-US" w:eastAsia="zh-CN" w:bidi="ar-SA"/>
              </w:rPr>
              <w:t>石灰磨粉机</w:t>
            </w:r>
            <w:r>
              <w:rPr>
                <w:rFonts w:hint="default" w:ascii="Times New Roman" w:hAnsi="Times New Roman" w:eastAsia="宋体" w:cs="Times New Roman"/>
                <w:color w:val="auto"/>
                <w:kern w:val="2"/>
                <w:sz w:val="24"/>
                <w:szCs w:val="24"/>
                <w:lang w:val="en-US" w:eastAsia="zh-CN" w:bidi="ar-SA"/>
              </w:rPr>
              <w:fldChar w:fldCharType="end"/>
            </w:r>
            <w:r>
              <w:rPr>
                <w:rFonts w:hint="default" w:ascii="Times New Roman" w:hAnsi="Times New Roman" w:eastAsia="宋体" w:cs="Times New Roman"/>
                <w:color w:val="auto"/>
                <w:kern w:val="2"/>
                <w:sz w:val="24"/>
                <w:szCs w:val="24"/>
                <w:lang w:val="en-US" w:eastAsia="zh-CN" w:bidi="ar-SA"/>
              </w:rPr>
              <w:t>加工成白色粉体，它的主要成分是CaCO</w:t>
            </w:r>
            <w:r>
              <w:rPr>
                <w:rFonts w:hint="default" w:ascii="Times New Roman" w:hAnsi="Times New Roman" w:eastAsia="宋体" w:cs="Times New Roman"/>
                <w:color w:val="auto"/>
                <w:kern w:val="2"/>
                <w:sz w:val="24"/>
                <w:szCs w:val="24"/>
                <w:vertAlign w:val="subscript"/>
                <w:lang w:val="en-US" w:eastAsia="zh-CN" w:bidi="ar-SA"/>
              </w:rPr>
              <w:t>3</w:t>
            </w:r>
            <w:r>
              <w:rPr>
                <w:rFonts w:hint="default" w:ascii="Times New Roman" w:hAnsi="Times New Roman" w:eastAsia="宋体" w:cs="Times New Roman"/>
                <w:color w:val="auto"/>
                <w:kern w:val="2"/>
                <w:sz w:val="24"/>
                <w:szCs w:val="24"/>
                <w:lang w:val="en-US" w:eastAsia="zh-CN" w:bidi="ar-SA"/>
              </w:rPr>
              <w:t>。重钙具有白度高、纯度好、色相柔和及化学成分稳定等特点。重钙通常用作填料，广泛用于各种制造行业，作填充剂起到增加产品的体积，降低生产成本。</w:t>
            </w:r>
          </w:p>
          <w:p>
            <w:pPr>
              <w:pStyle w:val="20"/>
              <w:spacing w:after="0" w:line="360" w:lineRule="auto"/>
              <w:ind w:left="0" w:leftChars="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lang w:val="en-US" w:eastAsia="zh-CN"/>
              </w:rPr>
              <w:t>（8）水性油墨：水性油墨简称为水墨，柔性版水性墨也称</w:t>
            </w:r>
            <w:r>
              <w:rPr>
                <w:rFonts w:hint="default" w:ascii="Times New Roman" w:hAnsi="Times New Roman" w:cs="Times New Roman"/>
                <w:color w:val="auto"/>
                <w:lang w:val="en-US" w:eastAsia="zh-CN"/>
              </w:rPr>
              <w:fldChar w:fldCharType="begin"/>
            </w:r>
            <w:r>
              <w:rPr>
                <w:rFonts w:hint="default" w:ascii="Times New Roman" w:hAnsi="Times New Roman" w:cs="Times New Roman"/>
                <w:color w:val="auto"/>
                <w:lang w:val="en-US" w:eastAsia="zh-CN"/>
              </w:rPr>
              <w:instrText xml:space="preserve"> HYPERLINK "https://baike.baidu.com/item/%E6%B6%B2%E4%BD%93%E6%B2%B9%E5%A2%A8/6907196" \t "https://baike.baidu.com/item/_blank" </w:instrText>
            </w:r>
            <w:r>
              <w:rPr>
                <w:rFonts w:hint="default" w:ascii="Times New Roman" w:hAnsi="Times New Roman" w:cs="Times New Roman"/>
                <w:color w:val="auto"/>
                <w:lang w:val="en-US" w:eastAsia="zh-CN"/>
              </w:rPr>
              <w:fldChar w:fldCharType="separate"/>
            </w:r>
            <w:r>
              <w:rPr>
                <w:rFonts w:hint="default" w:ascii="Times New Roman" w:hAnsi="Times New Roman" w:cs="Times New Roman"/>
                <w:color w:val="auto"/>
                <w:lang w:val="en-US" w:eastAsia="zh-CN"/>
              </w:rPr>
              <w:t>液体油墨</w:t>
            </w:r>
            <w:r>
              <w:rPr>
                <w:rFonts w:hint="default" w:ascii="Times New Roman" w:hAnsi="Times New Roman" w:cs="Times New Roman"/>
                <w:color w:val="auto"/>
                <w:lang w:val="en-US" w:eastAsia="zh-CN"/>
              </w:rPr>
              <w:fldChar w:fldCharType="end"/>
            </w:r>
            <w:r>
              <w:rPr>
                <w:rFonts w:hint="default" w:ascii="Times New Roman" w:hAnsi="Times New Roman" w:cs="Times New Roman"/>
                <w:color w:val="auto"/>
                <w:lang w:val="en-US" w:eastAsia="zh-CN"/>
              </w:rPr>
              <w:t>，它主要由</w:t>
            </w:r>
            <w:r>
              <w:rPr>
                <w:rFonts w:hint="default" w:ascii="Times New Roman" w:hAnsi="Times New Roman" w:cs="Times New Roman"/>
                <w:color w:val="auto"/>
                <w:lang w:val="en-US" w:eastAsia="zh-CN"/>
              </w:rPr>
              <w:fldChar w:fldCharType="begin"/>
            </w:r>
            <w:r>
              <w:rPr>
                <w:rFonts w:hint="default" w:ascii="Times New Roman" w:hAnsi="Times New Roman" w:cs="Times New Roman"/>
                <w:color w:val="auto"/>
                <w:lang w:val="en-US" w:eastAsia="zh-CN"/>
              </w:rPr>
              <w:instrText xml:space="preserve"> HYPERLINK "https://baike.baidu.com/item/%E6%B0%B4%E6%BA%B6%E6%80%A7%E6%A0%91%E8%84%82/6649395" \t "https://baike.baidu.com/item/_blank" </w:instrText>
            </w:r>
            <w:r>
              <w:rPr>
                <w:rFonts w:hint="default" w:ascii="Times New Roman" w:hAnsi="Times New Roman" w:cs="Times New Roman"/>
                <w:color w:val="auto"/>
                <w:lang w:val="en-US" w:eastAsia="zh-CN"/>
              </w:rPr>
              <w:fldChar w:fldCharType="separate"/>
            </w:r>
            <w:r>
              <w:rPr>
                <w:rFonts w:hint="default" w:ascii="Times New Roman" w:hAnsi="Times New Roman" w:cs="Times New Roman"/>
                <w:color w:val="auto"/>
                <w:lang w:val="en-US" w:eastAsia="zh-CN"/>
              </w:rPr>
              <w:t>水溶性树脂</w:t>
            </w:r>
            <w:r>
              <w:rPr>
                <w:rFonts w:hint="default" w:ascii="Times New Roman" w:hAnsi="Times New Roman" w:cs="Times New Roman"/>
                <w:color w:val="auto"/>
                <w:lang w:val="en-US" w:eastAsia="zh-CN"/>
              </w:rPr>
              <w:fldChar w:fldCharType="end"/>
            </w:r>
            <w:r>
              <w:rPr>
                <w:rFonts w:hint="default" w:ascii="Times New Roman" w:hAnsi="Times New Roman" w:cs="Times New Roman"/>
                <w:color w:val="auto"/>
                <w:lang w:val="en-US" w:eastAsia="zh-CN"/>
              </w:rPr>
              <w:t>、</w:t>
            </w:r>
            <w:r>
              <w:rPr>
                <w:rFonts w:hint="default" w:ascii="Times New Roman" w:hAnsi="Times New Roman" w:cs="Times New Roman"/>
                <w:color w:val="auto"/>
                <w:lang w:val="en-US" w:eastAsia="zh-CN"/>
              </w:rPr>
              <w:fldChar w:fldCharType="begin"/>
            </w:r>
            <w:r>
              <w:rPr>
                <w:rFonts w:hint="default" w:ascii="Times New Roman" w:hAnsi="Times New Roman" w:cs="Times New Roman"/>
                <w:color w:val="auto"/>
                <w:lang w:val="en-US" w:eastAsia="zh-CN"/>
              </w:rPr>
              <w:instrText xml:space="preserve"> HYPERLINK "https://baike.baidu.com/item/%E6%9C%89%E6%9C%BA%E9%A2%9C%E6%96%99/10677771" \t "https://baike.baidu.com/item/_blank" </w:instrText>
            </w:r>
            <w:r>
              <w:rPr>
                <w:rFonts w:hint="default" w:ascii="Times New Roman" w:hAnsi="Times New Roman" w:cs="Times New Roman"/>
                <w:color w:val="auto"/>
                <w:lang w:val="en-US" w:eastAsia="zh-CN"/>
              </w:rPr>
              <w:fldChar w:fldCharType="separate"/>
            </w:r>
            <w:r>
              <w:rPr>
                <w:rFonts w:hint="default" w:ascii="Times New Roman" w:hAnsi="Times New Roman" w:cs="Times New Roman"/>
                <w:color w:val="auto"/>
                <w:lang w:val="en-US" w:eastAsia="zh-CN"/>
              </w:rPr>
              <w:t>有机颜料</w:t>
            </w:r>
            <w:r>
              <w:rPr>
                <w:rFonts w:hint="default" w:ascii="Times New Roman" w:hAnsi="Times New Roman" w:cs="Times New Roman"/>
                <w:color w:val="auto"/>
                <w:lang w:val="en-US" w:eastAsia="zh-CN"/>
              </w:rPr>
              <w:fldChar w:fldCharType="end"/>
            </w:r>
            <w:r>
              <w:rPr>
                <w:rFonts w:hint="default" w:ascii="Times New Roman" w:hAnsi="Times New Roman" w:cs="Times New Roman"/>
                <w:color w:val="auto"/>
                <w:lang w:val="en-US" w:eastAsia="zh-CN"/>
              </w:rPr>
              <w:t>、溶剂及相关助剂经复合研磨加工</w:t>
            </w:r>
            <w:r>
              <w:rPr>
                <w:rFonts w:hint="default" w:ascii="Times New Roman" w:hAnsi="Times New Roman" w:cs="Times New Roman"/>
                <w:color w:val="auto"/>
                <w:highlight w:val="none"/>
                <w:lang w:val="en-US" w:eastAsia="zh-CN"/>
              </w:rPr>
              <w:t>而成。主要成分为35%~45%聚乙烯乙酸酯、10%颜料、1%~3%三乙醇胺、45%水；</w:t>
            </w:r>
          </w:p>
          <w:p>
            <w:pPr>
              <w:pStyle w:val="2"/>
              <w:bidi w:val="0"/>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（9）钛白粉：是一种重要的无机化工颜料，主要成分为</w:t>
            </w:r>
            <w:r>
              <w:rPr>
                <w:rFonts w:hint="default" w:ascii="Times New Roman" w:hAnsi="Times New Roman" w:cs="Times New Roman"/>
                <w:color w:val="FF0000"/>
                <w:u w:val="single"/>
                <w:lang w:val="en-US" w:eastAsia="zh-CN"/>
              </w:rPr>
              <w:fldChar w:fldCharType="begin"/>
            </w:r>
            <w:r>
              <w:rPr>
                <w:rFonts w:hint="default" w:ascii="Times New Roman" w:hAnsi="Times New Roman" w:cs="Times New Roman"/>
                <w:color w:val="FF0000"/>
                <w:u w:val="single"/>
                <w:lang w:val="en-US" w:eastAsia="zh-CN"/>
              </w:rPr>
              <w:instrText xml:space="preserve"> HYPERLINK "https://baike.baidu.com/item/%E4%BA%8C%E6%B0%A7%E5%8C%96%E9%92%9B/513513" \t "https://baike.baidu.com/item/_blank" </w:instrText>
            </w:r>
            <w:r>
              <w:rPr>
                <w:rFonts w:hint="default" w:ascii="Times New Roman" w:hAnsi="Times New Roman" w:cs="Times New Roman"/>
                <w:color w:val="FF0000"/>
                <w:u w:val="single"/>
                <w:lang w:val="en-US" w:eastAsia="zh-CN"/>
              </w:rPr>
              <w:fldChar w:fldCharType="separate"/>
            </w:r>
            <w:r>
              <w:rPr>
                <w:rFonts w:hint="default" w:ascii="Times New Roman" w:hAnsi="Times New Roman" w:cs="Times New Roman"/>
                <w:color w:val="FF0000"/>
                <w:u w:val="single"/>
                <w:lang w:val="en-US" w:eastAsia="zh-CN"/>
              </w:rPr>
              <w:t>二氧化钛</w:t>
            </w:r>
            <w:r>
              <w:rPr>
                <w:rFonts w:hint="default" w:ascii="Times New Roman" w:hAnsi="Times New Roman" w:cs="Times New Roman"/>
                <w:color w:val="FF0000"/>
                <w:u w:val="single"/>
                <w:lang w:val="en-US" w:eastAsia="zh-CN"/>
              </w:rPr>
              <w:fldChar w:fldCharType="end"/>
            </w:r>
            <w:r>
              <w:rPr>
                <w:rFonts w:hint="default" w:ascii="Times New Roman" w:hAnsi="Times New Roman" w:cs="Times New Roman"/>
                <w:color w:val="FF0000"/>
                <w:u w:val="single"/>
                <w:lang w:val="en-US" w:eastAsia="zh-CN"/>
              </w:rPr>
              <w:t>。在常用的白色颜料中，</w:t>
            </w:r>
            <w:r>
              <w:rPr>
                <w:rFonts w:hint="default" w:ascii="Times New Roman" w:hAnsi="Times New Roman" w:cs="Times New Roman"/>
                <w:color w:val="FF0000"/>
                <w:u w:val="single"/>
                <w:lang w:val="en-US" w:eastAsia="zh-CN"/>
              </w:rPr>
              <w:fldChar w:fldCharType="begin"/>
            </w:r>
            <w:r>
              <w:rPr>
                <w:rFonts w:hint="default" w:ascii="Times New Roman" w:hAnsi="Times New Roman" w:cs="Times New Roman"/>
                <w:color w:val="FF0000"/>
                <w:u w:val="single"/>
                <w:lang w:val="en-US" w:eastAsia="zh-CN"/>
              </w:rPr>
              <w:instrText xml:space="preserve"> HYPERLINK "https://baike.baidu.com/item/%E4%BA%8C%E6%B0%A7%E5%8C%96%E9%92%9B/513513" \t "https://baike.baidu.com/item/_blank" </w:instrText>
            </w:r>
            <w:r>
              <w:rPr>
                <w:rFonts w:hint="default" w:ascii="Times New Roman" w:hAnsi="Times New Roman" w:cs="Times New Roman"/>
                <w:color w:val="FF0000"/>
                <w:u w:val="single"/>
                <w:lang w:val="en-US" w:eastAsia="zh-CN"/>
              </w:rPr>
              <w:fldChar w:fldCharType="separate"/>
            </w:r>
            <w:r>
              <w:rPr>
                <w:rFonts w:hint="default" w:ascii="Times New Roman" w:hAnsi="Times New Roman" w:cs="Times New Roman"/>
                <w:color w:val="FF0000"/>
                <w:u w:val="single"/>
                <w:lang w:val="en-US" w:eastAsia="zh-CN"/>
              </w:rPr>
              <w:t>二氧化钛</w:t>
            </w:r>
            <w:r>
              <w:rPr>
                <w:rFonts w:hint="default" w:ascii="Times New Roman" w:hAnsi="Times New Roman" w:cs="Times New Roman"/>
                <w:color w:val="FF0000"/>
                <w:u w:val="single"/>
                <w:lang w:val="en-US" w:eastAsia="zh-CN"/>
              </w:rPr>
              <w:fldChar w:fldCharType="end"/>
            </w:r>
            <w:r>
              <w:rPr>
                <w:rFonts w:hint="default" w:ascii="Times New Roman" w:hAnsi="Times New Roman" w:cs="Times New Roman"/>
                <w:color w:val="FF0000"/>
                <w:u w:val="single"/>
                <w:lang w:val="en-US" w:eastAsia="zh-CN"/>
              </w:rPr>
              <w:t>的相对密度最小，同等质量的白色颜料中，二氧化钛的表面积最大，颜料体积最高。</w:t>
            </w:r>
          </w:p>
          <w:p>
            <w:pPr>
              <w:pStyle w:val="2"/>
              <w:bidi w:val="0"/>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（10）铁黑、铁红、铁绿、铁黄：本项目使用颜料为氧化铁颜料，氧化铁别称</w:t>
            </w:r>
            <w:r>
              <w:rPr>
                <w:rFonts w:hint="default" w:ascii="Times New Roman" w:hAnsi="Times New Roman" w:cs="Times New Roman"/>
                <w:color w:val="FF0000"/>
                <w:u w:val="single"/>
                <w:lang w:val="en-US" w:eastAsia="zh-CN"/>
              </w:rPr>
              <w:fldChar w:fldCharType="begin"/>
            </w:r>
            <w:r>
              <w:rPr>
                <w:rFonts w:hint="default" w:ascii="Times New Roman" w:hAnsi="Times New Roman" w:cs="Times New Roman"/>
                <w:color w:val="FF0000"/>
                <w:u w:val="single"/>
                <w:lang w:val="en-US" w:eastAsia="zh-CN"/>
              </w:rPr>
              <w:instrText xml:space="preserve"> HYPERLINK "https://baike.baidu.com/item/%E7%A3%81%E9%93%81%E7%9F%BF/441931" \t "https://baike.baidu.com/item/%E9%93%81%E9%BB%91/_blank" </w:instrText>
            </w:r>
            <w:r>
              <w:rPr>
                <w:rFonts w:hint="default" w:ascii="Times New Roman" w:hAnsi="Times New Roman" w:cs="Times New Roman"/>
                <w:color w:val="FF0000"/>
                <w:u w:val="single"/>
                <w:lang w:val="en-US" w:eastAsia="zh-CN"/>
              </w:rPr>
              <w:fldChar w:fldCharType="separate"/>
            </w:r>
            <w:r>
              <w:rPr>
                <w:rFonts w:hint="default" w:ascii="Times New Roman" w:hAnsi="Times New Roman" w:cs="Times New Roman"/>
                <w:color w:val="FF0000"/>
                <w:u w:val="single"/>
                <w:lang w:val="en-US" w:eastAsia="zh-CN"/>
              </w:rPr>
              <w:t>磁铁矿</w:t>
            </w:r>
            <w:r>
              <w:rPr>
                <w:rFonts w:hint="default" w:ascii="Times New Roman" w:hAnsi="Times New Roman" w:cs="Times New Roman"/>
                <w:color w:val="FF0000"/>
                <w:u w:val="single"/>
                <w:lang w:val="en-US" w:eastAsia="zh-CN"/>
              </w:rPr>
              <w:fldChar w:fldCharType="end"/>
            </w:r>
            <w:r>
              <w:rPr>
                <w:rFonts w:hint="default" w:ascii="Times New Roman" w:hAnsi="Times New Roman" w:cs="Times New Roman"/>
                <w:color w:val="FF0000"/>
                <w:u w:val="single"/>
                <w:lang w:val="en-US" w:eastAsia="zh-CN"/>
              </w:rPr>
              <w:t>，化学成分为Fe</w:t>
            </w:r>
            <w:r>
              <w:rPr>
                <w:rFonts w:hint="default" w:ascii="Times New Roman" w:hAnsi="Times New Roman" w:cs="Times New Roman"/>
                <w:color w:val="FF0000"/>
                <w:u w:val="single"/>
                <w:vertAlign w:val="subscript"/>
                <w:lang w:val="en-US" w:eastAsia="zh-CN"/>
              </w:rPr>
              <w:t>3</w:t>
            </w:r>
            <w:r>
              <w:rPr>
                <w:rFonts w:hint="default" w:ascii="Times New Roman" w:hAnsi="Times New Roman" w:cs="Times New Roman"/>
                <w:color w:val="FF0000"/>
                <w:u w:val="single"/>
                <w:lang w:val="en-US" w:eastAsia="zh-CN"/>
              </w:rPr>
              <w:t>O</w:t>
            </w:r>
            <w:r>
              <w:rPr>
                <w:rFonts w:hint="default" w:ascii="Times New Roman" w:hAnsi="Times New Roman" w:cs="Times New Roman"/>
                <w:color w:val="FF0000"/>
                <w:u w:val="single"/>
                <w:vertAlign w:val="subscript"/>
                <w:lang w:val="en-US" w:eastAsia="zh-CN"/>
              </w:rPr>
              <w:t>4</w:t>
            </w:r>
            <w:r>
              <w:rPr>
                <w:rFonts w:hint="default" w:ascii="Times New Roman" w:hAnsi="Times New Roman" w:cs="Times New Roman"/>
                <w:color w:val="FF0000"/>
                <w:u w:val="single"/>
                <w:lang w:val="en-US" w:eastAsia="zh-CN"/>
              </w:rPr>
              <w:t>，晶体属等轴晶系的氧化物矿物。氧化铁颜料主要成分是</w:t>
            </w:r>
            <w:r>
              <w:rPr>
                <w:rFonts w:hint="default" w:ascii="Times New Roman" w:hAnsi="Times New Roman" w:cs="Times New Roman"/>
                <w:color w:val="FF0000"/>
                <w:u w:val="single"/>
                <w:lang w:val="en-US" w:eastAsia="zh-CN"/>
              </w:rPr>
              <w:fldChar w:fldCharType="begin"/>
            </w:r>
            <w:r>
              <w:rPr>
                <w:rFonts w:hint="default" w:ascii="Times New Roman" w:hAnsi="Times New Roman" w:cs="Times New Roman"/>
                <w:color w:val="FF0000"/>
                <w:u w:val="single"/>
                <w:lang w:val="en-US" w:eastAsia="zh-CN"/>
              </w:rPr>
              <w:instrText xml:space="preserve"> HYPERLINK "https://baike.baidu.com/item/%E6%B0%A7%E5%8C%96%E9%93%81/134115" \t "https://baike.baidu.com/item/%E6%B0%A7%E5%8C%96%E9%93%81%E9%BB%84/_blank" </w:instrText>
            </w:r>
            <w:r>
              <w:rPr>
                <w:rFonts w:hint="default" w:ascii="Times New Roman" w:hAnsi="Times New Roman" w:cs="Times New Roman"/>
                <w:color w:val="FF0000"/>
                <w:u w:val="single"/>
                <w:lang w:val="en-US" w:eastAsia="zh-CN"/>
              </w:rPr>
              <w:fldChar w:fldCharType="separate"/>
            </w:r>
            <w:r>
              <w:rPr>
                <w:rFonts w:hint="default" w:ascii="Times New Roman" w:hAnsi="Times New Roman" w:cs="Times New Roman"/>
                <w:color w:val="FF0000"/>
                <w:u w:val="single"/>
                <w:lang w:val="en-US" w:eastAsia="zh-CN"/>
              </w:rPr>
              <w:t>氧化铁</w:t>
            </w:r>
            <w:r>
              <w:rPr>
                <w:rFonts w:hint="default" w:ascii="Times New Roman" w:hAnsi="Times New Roman" w:cs="Times New Roman"/>
                <w:color w:val="FF0000"/>
                <w:u w:val="single"/>
                <w:lang w:val="en-US" w:eastAsia="zh-CN"/>
              </w:rPr>
              <w:fldChar w:fldCharType="end"/>
            </w:r>
            <w:r>
              <w:rPr>
                <w:rFonts w:hint="default" w:ascii="Times New Roman" w:hAnsi="Times New Roman" w:cs="Times New Roman"/>
                <w:color w:val="FF0000"/>
                <w:u w:val="single"/>
                <w:lang w:val="en-US" w:eastAsia="zh-CN"/>
              </w:rPr>
              <w:t>，</w:t>
            </w:r>
            <w:r>
              <w:rPr>
                <w:rFonts w:hint="default" w:ascii="Times New Roman" w:hAnsi="Times New Roman" w:cs="Times New Roman"/>
                <w:color w:val="FF0000"/>
                <w:u w:val="single"/>
                <w:lang w:val="en-US" w:eastAsia="zh-CN"/>
              </w:rPr>
              <w:fldChar w:fldCharType="begin"/>
            </w:r>
            <w:r>
              <w:rPr>
                <w:rFonts w:hint="default" w:ascii="Times New Roman" w:hAnsi="Times New Roman" w:cs="Times New Roman"/>
                <w:color w:val="FF0000"/>
                <w:u w:val="single"/>
                <w:lang w:val="en-US" w:eastAsia="zh-CN"/>
              </w:rPr>
              <w:instrText xml:space="preserve"> HYPERLINK "https://baike.baidu.com/item/%E5%8C%96%E5%AD%A6%E5%BC%8F/2609855" \t "https://baike.baidu.com/item/%E6%B0%A7%E5%8C%96%E9%93%81%E9%BB%84/_blank" </w:instrText>
            </w:r>
            <w:r>
              <w:rPr>
                <w:rFonts w:hint="default" w:ascii="Times New Roman" w:hAnsi="Times New Roman" w:cs="Times New Roman"/>
                <w:color w:val="FF0000"/>
                <w:u w:val="single"/>
                <w:lang w:val="en-US" w:eastAsia="zh-CN"/>
              </w:rPr>
              <w:fldChar w:fldCharType="separate"/>
            </w:r>
            <w:r>
              <w:rPr>
                <w:rFonts w:hint="default" w:ascii="Times New Roman" w:hAnsi="Times New Roman" w:cs="Times New Roman"/>
                <w:color w:val="FF0000"/>
                <w:u w:val="single"/>
                <w:lang w:val="en-US" w:eastAsia="zh-CN"/>
              </w:rPr>
              <w:t>化学式</w:t>
            </w:r>
            <w:r>
              <w:rPr>
                <w:rFonts w:hint="default" w:ascii="Times New Roman" w:hAnsi="Times New Roman" w:cs="Times New Roman"/>
                <w:color w:val="FF0000"/>
                <w:u w:val="single"/>
                <w:lang w:val="en-US" w:eastAsia="zh-CN"/>
              </w:rPr>
              <w:fldChar w:fldCharType="end"/>
            </w:r>
            <w:r>
              <w:rPr>
                <w:rFonts w:hint="default" w:ascii="Times New Roman" w:hAnsi="Times New Roman" w:cs="Times New Roman"/>
                <w:color w:val="FF0000"/>
                <w:u w:val="single"/>
                <w:lang w:val="en-US" w:eastAsia="zh-CN"/>
              </w:rPr>
              <w:t>Fe</w:t>
            </w:r>
            <w:r>
              <w:rPr>
                <w:rFonts w:hint="default" w:ascii="Times New Roman" w:hAnsi="Times New Roman" w:cs="Times New Roman"/>
                <w:color w:val="FF0000"/>
                <w:u w:val="single"/>
                <w:vertAlign w:val="subscript"/>
                <w:lang w:val="en-US" w:eastAsia="zh-CN"/>
              </w:rPr>
              <w:t>2</w:t>
            </w:r>
            <w:r>
              <w:rPr>
                <w:rFonts w:hint="default" w:ascii="Times New Roman" w:hAnsi="Times New Roman" w:cs="Times New Roman"/>
                <w:color w:val="FF0000"/>
                <w:u w:val="single"/>
                <w:lang w:val="en-US" w:eastAsia="zh-CN"/>
              </w:rPr>
              <w:t>O</w:t>
            </w:r>
            <w:r>
              <w:rPr>
                <w:rFonts w:hint="default" w:ascii="Times New Roman" w:hAnsi="Times New Roman" w:cs="Times New Roman"/>
                <w:color w:val="FF0000"/>
                <w:u w:val="single"/>
                <w:vertAlign w:val="subscript"/>
                <w:lang w:val="en-US" w:eastAsia="zh-CN"/>
              </w:rPr>
              <w:t>3</w:t>
            </w:r>
            <w:r>
              <w:rPr>
                <w:rFonts w:hint="default" w:ascii="Times New Roman" w:hAnsi="Times New Roman" w:cs="Times New Roman"/>
                <w:color w:val="FF0000"/>
                <w:u w:val="single"/>
                <w:lang w:val="en-US" w:eastAsia="zh-CN"/>
              </w:rPr>
              <w:t>·H</w:t>
            </w:r>
            <w:r>
              <w:rPr>
                <w:rFonts w:hint="default" w:ascii="Times New Roman" w:hAnsi="Times New Roman" w:cs="Times New Roman"/>
                <w:color w:val="FF0000"/>
                <w:u w:val="single"/>
                <w:vertAlign w:val="subscript"/>
                <w:lang w:val="en-US" w:eastAsia="zh-CN"/>
              </w:rPr>
              <w:t>2</w:t>
            </w:r>
            <w:r>
              <w:rPr>
                <w:rFonts w:hint="default" w:ascii="Times New Roman" w:hAnsi="Times New Roman" w:cs="Times New Roman"/>
                <w:color w:val="FF0000"/>
                <w:u w:val="single"/>
                <w:lang w:val="en-US" w:eastAsia="zh-CN"/>
              </w:rPr>
              <w:t>O，是氧化铁的一水合物。氧化铁最大的应用是作为</w:t>
            </w:r>
            <w:r>
              <w:rPr>
                <w:rFonts w:hint="default" w:ascii="Times New Roman" w:hAnsi="Times New Roman" w:cs="Times New Roman"/>
                <w:color w:val="FF0000"/>
                <w:u w:val="single"/>
                <w:lang w:val="en-US" w:eastAsia="zh-CN"/>
              </w:rPr>
              <w:fldChar w:fldCharType="begin"/>
            </w:r>
            <w:r>
              <w:rPr>
                <w:rFonts w:hint="default" w:ascii="Times New Roman" w:hAnsi="Times New Roman" w:cs="Times New Roman"/>
                <w:color w:val="FF0000"/>
                <w:u w:val="single"/>
                <w:lang w:val="en-US" w:eastAsia="zh-CN"/>
              </w:rPr>
              <w:instrText xml:space="preserve"> HYPERLINK "https://baike.baidu.com/item/%E9%A2%9C%E6%96%99/465850" \t "https://baike.baidu.com/item/%E6%B0%A7%E5%8C%96%E9%93%81%E9%BB%84/_blank" </w:instrText>
            </w:r>
            <w:r>
              <w:rPr>
                <w:rFonts w:hint="default" w:ascii="Times New Roman" w:hAnsi="Times New Roman" w:cs="Times New Roman"/>
                <w:color w:val="FF0000"/>
                <w:u w:val="single"/>
                <w:lang w:val="en-US" w:eastAsia="zh-CN"/>
              </w:rPr>
              <w:fldChar w:fldCharType="separate"/>
            </w:r>
            <w:r>
              <w:rPr>
                <w:rFonts w:hint="default" w:ascii="Times New Roman" w:hAnsi="Times New Roman" w:cs="Times New Roman"/>
                <w:color w:val="FF0000"/>
                <w:u w:val="single"/>
                <w:lang w:val="en-US" w:eastAsia="zh-CN"/>
              </w:rPr>
              <w:t>颜料</w:t>
            </w:r>
            <w:r>
              <w:rPr>
                <w:rFonts w:hint="default" w:ascii="Times New Roman" w:hAnsi="Times New Roman" w:cs="Times New Roman"/>
                <w:color w:val="FF0000"/>
                <w:u w:val="single"/>
                <w:lang w:val="en-US" w:eastAsia="zh-CN"/>
              </w:rPr>
              <w:fldChar w:fldCharType="end"/>
            </w:r>
            <w:r>
              <w:rPr>
                <w:rFonts w:hint="default" w:ascii="Times New Roman" w:hAnsi="Times New Roman" w:cs="Times New Roman"/>
                <w:color w:val="FF0000"/>
                <w:u w:val="single"/>
                <w:lang w:val="en-US" w:eastAsia="zh-CN"/>
              </w:rPr>
              <w:t>来</w:t>
            </w:r>
            <w:r>
              <w:rPr>
                <w:rFonts w:hint="default" w:ascii="Times New Roman" w:hAnsi="Times New Roman" w:cs="Times New Roman"/>
                <w:color w:val="FF0000"/>
                <w:u w:val="single"/>
                <w:lang w:val="en-US" w:eastAsia="zh-CN"/>
              </w:rPr>
              <w:fldChar w:fldCharType="begin"/>
            </w:r>
            <w:r>
              <w:rPr>
                <w:rFonts w:hint="default" w:ascii="Times New Roman" w:hAnsi="Times New Roman" w:cs="Times New Roman"/>
                <w:color w:val="FF0000"/>
                <w:u w:val="single"/>
                <w:lang w:val="en-US" w:eastAsia="zh-CN"/>
              </w:rPr>
              <w:instrText xml:space="preserve"> HYPERLINK "https://baike.baidu.com/item/%E4%BD%BF%E7%94%A8/7741550" \t "https://baike.baidu.com/item/%E6%B0%A7%E5%8C%96%E9%93%81%E9%BB%84/_blank" </w:instrText>
            </w:r>
            <w:r>
              <w:rPr>
                <w:rFonts w:hint="default" w:ascii="Times New Roman" w:hAnsi="Times New Roman" w:cs="Times New Roman"/>
                <w:color w:val="FF0000"/>
                <w:u w:val="single"/>
                <w:lang w:val="en-US" w:eastAsia="zh-CN"/>
              </w:rPr>
              <w:fldChar w:fldCharType="separate"/>
            </w:r>
            <w:r>
              <w:rPr>
                <w:rFonts w:hint="default" w:ascii="Times New Roman" w:hAnsi="Times New Roman" w:cs="Times New Roman"/>
                <w:color w:val="FF0000"/>
                <w:u w:val="single"/>
                <w:lang w:val="en-US" w:eastAsia="zh-CN"/>
              </w:rPr>
              <w:t>使用</w:t>
            </w:r>
            <w:r>
              <w:rPr>
                <w:rFonts w:hint="default" w:ascii="Times New Roman" w:hAnsi="Times New Roman" w:cs="Times New Roman"/>
                <w:color w:val="FF0000"/>
                <w:u w:val="single"/>
                <w:lang w:val="en-US" w:eastAsia="zh-CN"/>
              </w:rPr>
              <w:fldChar w:fldCharType="end"/>
            </w:r>
            <w:r>
              <w:rPr>
                <w:rFonts w:hint="default" w:ascii="Times New Roman" w:hAnsi="Times New Roman" w:cs="Times New Roman"/>
                <w:color w:val="FF0000"/>
                <w:u w:val="single"/>
                <w:lang w:val="en-US" w:eastAsia="zh-CN"/>
              </w:rPr>
              <w:t>。按颜色分为</w:t>
            </w:r>
            <w:r>
              <w:rPr>
                <w:rFonts w:hint="default" w:ascii="Times New Roman" w:hAnsi="Times New Roman" w:cs="Times New Roman"/>
                <w:color w:val="FF0000"/>
                <w:u w:val="single"/>
                <w:lang w:val="en-US" w:eastAsia="zh-CN"/>
              </w:rPr>
              <w:fldChar w:fldCharType="begin"/>
            </w:r>
            <w:r>
              <w:rPr>
                <w:rFonts w:hint="default" w:ascii="Times New Roman" w:hAnsi="Times New Roman" w:cs="Times New Roman"/>
                <w:color w:val="FF0000"/>
                <w:u w:val="single"/>
                <w:lang w:val="en-US" w:eastAsia="zh-CN"/>
              </w:rPr>
              <w:instrText xml:space="preserve"> HYPERLINK "https://baike.baidu.com/item/%E6%B0%A7%E5%8C%96%E9%93%81%E7%BA%A2/2023238" \t "https://baike.baidu.com/item/%E6%B0%A7%E5%8C%96%E9%93%81%E9%BB%84/_blank" </w:instrText>
            </w:r>
            <w:r>
              <w:rPr>
                <w:rFonts w:hint="default" w:ascii="Times New Roman" w:hAnsi="Times New Roman" w:cs="Times New Roman"/>
                <w:color w:val="FF0000"/>
                <w:u w:val="single"/>
                <w:lang w:val="en-US" w:eastAsia="zh-CN"/>
              </w:rPr>
              <w:fldChar w:fldCharType="separate"/>
            </w:r>
            <w:r>
              <w:rPr>
                <w:rFonts w:hint="default" w:ascii="Times New Roman" w:hAnsi="Times New Roman" w:cs="Times New Roman"/>
                <w:color w:val="FF0000"/>
                <w:u w:val="single"/>
                <w:lang w:val="en-US" w:eastAsia="zh-CN"/>
              </w:rPr>
              <w:t>氧化铁红</w:t>
            </w:r>
            <w:r>
              <w:rPr>
                <w:rFonts w:hint="default" w:ascii="Times New Roman" w:hAnsi="Times New Roman" w:cs="Times New Roman"/>
                <w:color w:val="FF0000"/>
                <w:u w:val="single"/>
                <w:lang w:val="en-US" w:eastAsia="zh-CN"/>
              </w:rPr>
              <w:fldChar w:fldCharType="end"/>
            </w:r>
            <w:r>
              <w:rPr>
                <w:rFonts w:hint="default" w:ascii="Times New Roman" w:hAnsi="Times New Roman" w:cs="Times New Roman"/>
                <w:color w:val="FF0000"/>
                <w:u w:val="single"/>
                <w:lang w:val="en-US" w:eastAsia="zh-CN"/>
              </w:rPr>
              <w:t>、氧化铁黄、</w:t>
            </w:r>
            <w:r>
              <w:rPr>
                <w:rFonts w:hint="default" w:ascii="Times New Roman" w:hAnsi="Times New Roman" w:cs="Times New Roman"/>
                <w:color w:val="FF0000"/>
                <w:u w:val="single"/>
                <w:lang w:val="en-US" w:eastAsia="zh-CN"/>
              </w:rPr>
              <w:fldChar w:fldCharType="begin"/>
            </w:r>
            <w:r>
              <w:rPr>
                <w:rFonts w:hint="default" w:ascii="Times New Roman" w:hAnsi="Times New Roman" w:cs="Times New Roman"/>
                <w:color w:val="FF0000"/>
                <w:u w:val="single"/>
                <w:lang w:val="en-US" w:eastAsia="zh-CN"/>
              </w:rPr>
              <w:instrText xml:space="preserve"> HYPERLINK "https://baike.baidu.com/item/%E6%B0%A7%E5%8C%96%E9%93%81%E9%BB%91/2034263" \t "https://baike.baidu.com/item/%E6%B0%A7%E5%8C%96%E9%93%81%E9%BB%84/_blank" </w:instrText>
            </w:r>
            <w:r>
              <w:rPr>
                <w:rFonts w:hint="default" w:ascii="Times New Roman" w:hAnsi="Times New Roman" w:cs="Times New Roman"/>
                <w:color w:val="FF0000"/>
                <w:u w:val="single"/>
                <w:lang w:val="en-US" w:eastAsia="zh-CN"/>
              </w:rPr>
              <w:fldChar w:fldCharType="separate"/>
            </w:r>
            <w:r>
              <w:rPr>
                <w:rFonts w:hint="default" w:ascii="Times New Roman" w:hAnsi="Times New Roman" w:cs="Times New Roman"/>
                <w:color w:val="FF0000"/>
                <w:u w:val="single"/>
                <w:lang w:val="en-US" w:eastAsia="zh-CN"/>
              </w:rPr>
              <w:t>氧化铁黑</w:t>
            </w:r>
            <w:r>
              <w:rPr>
                <w:rFonts w:hint="default" w:ascii="Times New Roman" w:hAnsi="Times New Roman" w:cs="Times New Roman"/>
                <w:color w:val="FF0000"/>
                <w:u w:val="single"/>
                <w:lang w:val="en-US" w:eastAsia="zh-CN"/>
              </w:rPr>
              <w:fldChar w:fldCharType="end"/>
            </w:r>
            <w:r>
              <w:rPr>
                <w:rFonts w:hint="default" w:ascii="Times New Roman" w:hAnsi="Times New Roman" w:cs="Times New Roman"/>
                <w:color w:val="FF0000"/>
                <w:u w:val="single"/>
                <w:lang w:val="en-US" w:eastAsia="zh-CN"/>
              </w:rPr>
              <w:t>，</w:t>
            </w:r>
            <w:r>
              <w:rPr>
                <w:rFonts w:hint="default" w:ascii="Times New Roman" w:hAnsi="Times New Roman" w:cs="Times New Roman"/>
                <w:color w:val="FF0000"/>
                <w:u w:val="single"/>
                <w:lang w:val="en-US" w:eastAsia="zh-CN"/>
              </w:rPr>
              <w:fldChar w:fldCharType="begin"/>
            </w:r>
            <w:r>
              <w:rPr>
                <w:rFonts w:hint="default" w:ascii="Times New Roman" w:hAnsi="Times New Roman" w:cs="Times New Roman"/>
                <w:color w:val="FF0000"/>
                <w:u w:val="single"/>
                <w:lang w:val="en-US" w:eastAsia="zh-CN"/>
              </w:rPr>
              <w:instrText xml:space="preserve"> HYPERLINK "https://baike.baidu.com/item/%E6%B0%A7%E5%8C%96%E9%93%81%E6%A3%95/8307918" \t "https://baike.baidu.com/item/%E6%B0%A7%E5%8C%96%E9%93%81%E9%BB%84/_blank" </w:instrText>
            </w:r>
            <w:r>
              <w:rPr>
                <w:rFonts w:hint="default" w:ascii="Times New Roman" w:hAnsi="Times New Roman" w:cs="Times New Roman"/>
                <w:color w:val="FF0000"/>
                <w:u w:val="single"/>
                <w:lang w:val="en-US" w:eastAsia="zh-CN"/>
              </w:rPr>
              <w:fldChar w:fldCharType="separate"/>
            </w:r>
            <w:r>
              <w:rPr>
                <w:rFonts w:hint="default" w:ascii="Times New Roman" w:hAnsi="Times New Roman" w:cs="Times New Roman"/>
                <w:color w:val="FF0000"/>
                <w:u w:val="single"/>
                <w:lang w:val="en-US" w:eastAsia="zh-CN"/>
              </w:rPr>
              <w:t>氧化铁棕</w:t>
            </w:r>
            <w:r>
              <w:rPr>
                <w:rFonts w:hint="default" w:ascii="Times New Roman" w:hAnsi="Times New Roman" w:cs="Times New Roman"/>
                <w:color w:val="FF0000"/>
                <w:u w:val="single"/>
                <w:lang w:val="en-US" w:eastAsia="zh-CN"/>
              </w:rPr>
              <w:fldChar w:fldCharType="end"/>
            </w:r>
            <w:r>
              <w:rPr>
                <w:rFonts w:hint="default" w:ascii="Times New Roman" w:hAnsi="Times New Roman" w:cs="Times New Roman"/>
                <w:color w:val="FF0000"/>
                <w:u w:val="single"/>
                <w:lang w:val="en-US" w:eastAsia="zh-CN"/>
              </w:rPr>
              <w:t>由氧化铁红、氧化铁黑（和氧化铁黄）混合而成。其中铁红是一种红色粉末，又称铁丹、铁红、红粉等，外观为红棕色粉末，是一种低级颜料，工业上称氧化铁红，主要成分为氧化铁。铁黑为黑氧化铁，是具有磁性的黑色晶体。铁绿为绿色粉末，铁黄为黄色粉末。氧化铁颜料易溶于强酸，中强酸，不溶于水、碱和有机溶剂。主要成分Fe</w:t>
            </w:r>
            <w:r>
              <w:rPr>
                <w:rFonts w:hint="default" w:ascii="Times New Roman" w:hAnsi="Times New Roman" w:cs="Times New Roman"/>
                <w:color w:val="FF0000"/>
                <w:u w:val="single"/>
                <w:vertAlign w:val="subscript"/>
                <w:lang w:val="en-US" w:eastAsia="zh-CN"/>
              </w:rPr>
              <w:t>2</w:t>
            </w:r>
            <w:r>
              <w:rPr>
                <w:rFonts w:hint="default" w:ascii="Times New Roman" w:hAnsi="Times New Roman" w:cs="Times New Roman"/>
                <w:color w:val="FF0000"/>
                <w:u w:val="single"/>
                <w:lang w:val="en-US" w:eastAsia="zh-CN"/>
              </w:rPr>
              <w:t>O</w:t>
            </w:r>
            <w:r>
              <w:rPr>
                <w:rFonts w:hint="default" w:ascii="Times New Roman" w:hAnsi="Times New Roman" w:cs="Times New Roman"/>
                <w:color w:val="FF0000"/>
                <w:u w:val="single"/>
                <w:vertAlign w:val="subscript"/>
                <w:lang w:val="en-US" w:eastAsia="zh-CN"/>
              </w:rPr>
              <w:t>3</w:t>
            </w:r>
            <w:r>
              <w:rPr>
                <w:rFonts w:hint="default" w:ascii="Times New Roman" w:hAnsi="Times New Roman" w:cs="Times New Roman"/>
                <w:color w:val="FF0000"/>
                <w:u w:val="single"/>
                <w:lang w:val="en-US" w:eastAsia="zh-CN"/>
              </w:rPr>
              <w:t>%≥86、</w:t>
            </w:r>
            <w:r>
              <w:rPr>
                <w:rFonts w:hint="default" w:ascii="Times New Roman" w:hAnsi="Times New Roman" w:cs="Times New Roman"/>
                <w:color w:val="FF0000"/>
                <w:u w:val="single"/>
                <w:lang w:val="en-US" w:eastAsia="zh-CN"/>
              </w:rPr>
              <w:fldChar w:fldCharType="begin"/>
            </w:r>
            <w:r>
              <w:rPr>
                <w:rFonts w:hint="default" w:ascii="Times New Roman" w:hAnsi="Times New Roman" w:cs="Times New Roman"/>
                <w:color w:val="FF0000"/>
                <w:u w:val="single"/>
                <w:lang w:val="en-US" w:eastAsia="zh-CN"/>
              </w:rPr>
              <w:instrText xml:space="preserve"> HYPERLINK "https://baike.baidu.com/item/%E7%AD%9B%E4%BD%99%E7%89%A9/12636387" \t "https://baike.baidu.com/item/%E6%B0%A7%E5%8C%96%E9%93%81%E9%BB%84/_blank" </w:instrText>
            </w:r>
            <w:r>
              <w:rPr>
                <w:rFonts w:hint="default" w:ascii="Times New Roman" w:hAnsi="Times New Roman" w:cs="Times New Roman"/>
                <w:color w:val="FF0000"/>
                <w:u w:val="single"/>
                <w:lang w:val="en-US" w:eastAsia="zh-CN"/>
              </w:rPr>
              <w:fldChar w:fldCharType="separate"/>
            </w:r>
            <w:r>
              <w:rPr>
                <w:rFonts w:hint="default" w:ascii="Times New Roman" w:hAnsi="Times New Roman" w:cs="Times New Roman"/>
                <w:color w:val="FF0000"/>
                <w:u w:val="single"/>
                <w:lang w:val="en-US" w:eastAsia="zh-CN"/>
              </w:rPr>
              <w:t>筛余物</w:t>
            </w:r>
            <w:r>
              <w:rPr>
                <w:rFonts w:hint="default" w:ascii="Times New Roman" w:hAnsi="Times New Roman" w:cs="Times New Roman"/>
                <w:color w:val="FF0000"/>
                <w:u w:val="single"/>
                <w:lang w:val="en-US" w:eastAsia="zh-CN"/>
              </w:rPr>
              <w:fldChar w:fldCharType="end"/>
            </w:r>
            <w:r>
              <w:rPr>
                <w:rFonts w:hint="default" w:ascii="Times New Roman" w:hAnsi="Times New Roman" w:cs="Times New Roman"/>
                <w:color w:val="FF0000"/>
                <w:u w:val="single"/>
                <w:lang w:val="en-US" w:eastAsia="zh-CN"/>
              </w:rPr>
              <w:t>（320目）%≤0.5、水溶盐，≤0.5%、、水分≤1%；</w:t>
            </w:r>
            <w:r>
              <w:rPr>
                <w:rFonts w:hint="default" w:ascii="Times New Roman" w:hAnsi="Times New Roman" w:cs="Times New Roman"/>
                <w:color w:val="FF0000"/>
                <w:u w:val="single"/>
                <w:lang w:val="en-US" w:eastAsia="zh-CN"/>
              </w:rPr>
              <w:fldChar w:fldCharType="begin"/>
            </w:r>
            <w:r>
              <w:rPr>
                <w:rFonts w:hint="default" w:ascii="Times New Roman" w:hAnsi="Times New Roman" w:cs="Times New Roman"/>
                <w:color w:val="FF0000"/>
                <w:u w:val="single"/>
                <w:lang w:val="en-US" w:eastAsia="zh-CN"/>
              </w:rPr>
              <w:instrText xml:space="preserve"> HYPERLINK "https://baike.baidu.com/item/%E5%90%B8%E6%B2%B9%E9%87%8F/2426543" \t "https://baike.baidu.com/item/%E6%B0%A7%E5%8C%96%E9%93%81%E9%BB%84/_blank" </w:instrText>
            </w:r>
            <w:r>
              <w:rPr>
                <w:rFonts w:hint="default" w:ascii="Times New Roman" w:hAnsi="Times New Roman" w:cs="Times New Roman"/>
                <w:color w:val="FF0000"/>
                <w:u w:val="single"/>
                <w:lang w:val="en-US" w:eastAsia="zh-CN"/>
              </w:rPr>
              <w:fldChar w:fldCharType="separate"/>
            </w:r>
            <w:r>
              <w:rPr>
                <w:rFonts w:hint="default" w:ascii="Times New Roman" w:hAnsi="Times New Roman" w:cs="Times New Roman"/>
                <w:color w:val="FF0000"/>
                <w:u w:val="single"/>
                <w:lang w:val="en-US" w:eastAsia="zh-CN"/>
              </w:rPr>
              <w:t>吸油量</w:t>
            </w:r>
            <w:r>
              <w:rPr>
                <w:rFonts w:hint="default" w:ascii="Times New Roman" w:hAnsi="Times New Roman" w:cs="Times New Roman"/>
                <w:color w:val="FF0000"/>
                <w:u w:val="single"/>
                <w:lang w:val="en-US" w:eastAsia="zh-CN"/>
              </w:rPr>
              <w:fldChar w:fldCharType="end"/>
            </w:r>
            <w:r>
              <w:rPr>
                <w:rFonts w:hint="default" w:ascii="Times New Roman" w:hAnsi="Times New Roman" w:cs="Times New Roman"/>
                <w:color w:val="FF0000"/>
                <w:u w:val="single"/>
                <w:lang w:val="en-US" w:eastAsia="zh-CN"/>
              </w:rPr>
              <w:t>25-35%；PH值3.5-7。</w:t>
            </w:r>
          </w:p>
          <w:p>
            <w:pPr>
              <w:pStyle w:val="2"/>
              <w:bidi w:val="0"/>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本项目彩色干粉砂浆所使用颜料均为氧化铁类工业用颜料，不使用含重金属颜料。</w:t>
            </w:r>
          </w:p>
          <w:p>
            <w:pPr>
              <w:bidi w:val="0"/>
              <w:ind w:left="0" w:leftChars="0" w:firstLine="0" w:firstLineChars="0"/>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2.2.4 主要生产设备</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本项目主要建设5条干粉砂浆生产线和2条原料生产线，其中干粉砂浆生产线包含</w:t>
            </w:r>
            <w:r>
              <w:rPr>
                <w:rFonts w:hint="default" w:ascii="Times New Roman" w:hAnsi="Times New Roman" w:cs="Times New Roman"/>
                <w:color w:val="auto"/>
              </w:rPr>
              <w:t>MTA</w:t>
            </w:r>
            <w:r>
              <w:rPr>
                <w:rFonts w:hint="default" w:ascii="Times New Roman" w:hAnsi="Times New Roman" w:cs="Times New Roman"/>
                <w:color w:val="auto"/>
                <w:lang w:eastAsia="zh-CN"/>
              </w:rPr>
              <w:t>和</w:t>
            </w:r>
            <w:r>
              <w:rPr>
                <w:rFonts w:hint="default" w:ascii="Times New Roman" w:hAnsi="Times New Roman" w:cs="Times New Roman"/>
                <w:color w:val="auto"/>
              </w:rPr>
              <w:t>KMA</w:t>
            </w:r>
            <w:r>
              <w:rPr>
                <w:rFonts w:hint="default" w:ascii="Times New Roman" w:hAnsi="Times New Roman" w:cs="Times New Roman"/>
                <w:color w:val="auto"/>
                <w:lang w:eastAsia="zh-CN"/>
              </w:rPr>
              <w:t>两种</w:t>
            </w:r>
            <w:r>
              <w:rPr>
                <w:rFonts w:hint="default" w:ascii="Times New Roman" w:hAnsi="Times New Roman" w:cs="Times New Roman"/>
                <w:color w:val="auto"/>
              </w:rPr>
              <w:t>生产线</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主要生产设备包含干砂提升机、给料机、螺旋输送机、振动筛、电动振动器、除尘器、空压机等。具体设备见下表2-4。</w:t>
            </w:r>
          </w:p>
          <w:p>
            <w:pPr>
              <w:bidi w:val="0"/>
              <w:ind w:left="0" w:leftChars="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表2-4 主要生产、辅助设施及环保设施设备一览表</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629"/>
              <w:gridCol w:w="1059"/>
              <w:gridCol w:w="947"/>
              <w:gridCol w:w="2344"/>
              <w:gridCol w:w="2307"/>
              <w:gridCol w:w="11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04" w:type="pct"/>
                  <w:gridSpan w:val="2"/>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生产线</w:t>
                  </w:r>
                </w:p>
              </w:tc>
              <w:tc>
                <w:tcPr>
                  <w:tcW w:w="56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工序</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设备名称</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型号</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原料生产线</w:t>
                  </w:r>
                </w:p>
              </w:tc>
              <w:tc>
                <w:tcPr>
                  <w:tcW w:w="629"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cs="Times New Roman"/>
                      <w:i w:val="0"/>
                      <w:iCs w:val="0"/>
                      <w:color w:val="auto"/>
                      <w:kern w:val="0"/>
                      <w:sz w:val="21"/>
                      <w:szCs w:val="21"/>
                      <w:u w:val="none"/>
                      <w:lang w:val="en-US" w:eastAsia="zh-CN" w:bidi="ar"/>
                    </w:rPr>
                    <w:t>鹅卵石</w:t>
                  </w:r>
                  <w:r>
                    <w:rPr>
                      <w:rFonts w:hint="default" w:ascii="Times New Roman" w:hAnsi="Times New Roman" w:eastAsia="宋体" w:cs="Times New Roman"/>
                      <w:i w:val="0"/>
                      <w:iCs w:val="0"/>
                      <w:color w:val="auto"/>
                      <w:kern w:val="0"/>
                      <w:sz w:val="21"/>
                      <w:szCs w:val="21"/>
                      <w:u w:val="none"/>
                      <w:lang w:val="en-US" w:eastAsia="zh-CN" w:bidi="ar"/>
                    </w:rPr>
                    <w:t>生产线</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lang w:val="en-US"/>
                    </w:rPr>
                  </w:pPr>
                </w:p>
              </w:tc>
              <w:tc>
                <w:tcPr>
                  <w:tcW w:w="56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给料</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给料机</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DBC800-2700</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破碎</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圆筛</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ZSC1542</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球磨机</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GMG2740</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圆锥破</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ZFC200</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烘干</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烘干筒</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¢3.2X7m</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筛分</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选粉系统</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YFSF1000</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振动筛</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2624VM</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辅助</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空压机</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空气干燥机</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散装机</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SZ-1</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斗提机</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TD400-20</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储存</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机制砂筒仓</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300m</w:t>
                  </w:r>
                  <w:r>
                    <w:rPr>
                      <w:rFonts w:hint="default" w:ascii="Times New Roman" w:hAnsi="Times New Roman" w:eastAsia="宋体" w:cs="Times New Roman"/>
                      <w:i w:val="0"/>
                      <w:iCs w:val="0"/>
                      <w:color w:val="auto"/>
                      <w:kern w:val="0"/>
                      <w:sz w:val="21"/>
                      <w:szCs w:val="21"/>
                      <w:u w:val="none"/>
                      <w:vertAlign w:val="superscript"/>
                      <w:lang w:val="en-US" w:eastAsia="zh-CN" w:bidi="ar"/>
                    </w:rPr>
                    <w:t>3</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lang w:val="en-US" w:eastAsia="zh-CN"/>
                    </w:rPr>
                  </w:pPr>
                  <w:r>
                    <w:rPr>
                      <w:rFonts w:hint="default" w:ascii="Times New Roman" w:hAnsi="Times New Roman" w:eastAsia="宋体" w:cs="Times New Roman"/>
                      <w:i w:val="0"/>
                      <w:iCs w:val="0"/>
                      <w:color w:val="FF0000"/>
                      <w:kern w:val="0"/>
                      <w:sz w:val="21"/>
                      <w:szCs w:val="21"/>
                      <w:u w:val="none"/>
                      <w:lang w:val="en-US" w:eastAsia="zh-CN" w:bidi="ar"/>
                    </w:rPr>
                    <w:t>环保</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none"/>
                      <w:lang w:val="en-US" w:eastAsia="zh-CN" w:bidi="ar-SA"/>
                    </w:rPr>
                  </w:pPr>
                  <w:r>
                    <w:rPr>
                      <w:rFonts w:hint="default" w:ascii="Times New Roman" w:hAnsi="Times New Roman" w:cs="Times New Roman"/>
                      <w:i w:val="0"/>
                      <w:iCs w:val="0"/>
                      <w:color w:val="FF0000"/>
                      <w:kern w:val="0"/>
                      <w:sz w:val="21"/>
                      <w:szCs w:val="21"/>
                      <w:u w:val="none"/>
                      <w:lang w:val="en-US" w:eastAsia="zh-CN" w:bidi="ar"/>
                    </w:rPr>
                    <w:t>2台</w:t>
                  </w:r>
                  <w:r>
                    <w:rPr>
                      <w:rFonts w:hint="default" w:ascii="Times New Roman" w:hAnsi="Times New Roman" w:eastAsia="宋体" w:cs="Times New Roman"/>
                      <w:i w:val="0"/>
                      <w:iCs w:val="0"/>
                      <w:color w:val="FF0000"/>
                      <w:kern w:val="0"/>
                      <w:sz w:val="21"/>
                      <w:szCs w:val="21"/>
                      <w:u w:val="none"/>
                      <w:lang w:val="en-US" w:eastAsia="zh-CN" w:bidi="ar"/>
                    </w:rPr>
                    <w:t>脉冲布袋+风机</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kern w:val="2"/>
                      <w:sz w:val="21"/>
                      <w:szCs w:val="21"/>
                      <w:u w:val="none"/>
                      <w:lang w:val="en-US" w:eastAsia="zh-CN" w:bidi="ar-SA"/>
                    </w:rPr>
                  </w:pPr>
                  <w:r>
                    <w:rPr>
                      <w:rFonts w:hint="default" w:ascii="Times New Roman" w:hAnsi="Times New Roman" w:cs="Times New Roman"/>
                      <w:i w:val="0"/>
                      <w:iCs w:val="0"/>
                      <w:color w:val="FF0000"/>
                      <w:sz w:val="21"/>
                      <w:szCs w:val="21"/>
                      <w:u w:val="none"/>
                      <w:lang w:val="en-US" w:eastAsia="zh-CN"/>
                    </w:rPr>
                    <w:t>96000m</w:t>
                  </w:r>
                  <w:r>
                    <w:rPr>
                      <w:rFonts w:hint="default" w:ascii="Times New Roman" w:hAnsi="Times New Roman" w:cs="Times New Roman"/>
                      <w:i w:val="0"/>
                      <w:iCs w:val="0"/>
                      <w:color w:val="FF0000"/>
                      <w:sz w:val="21"/>
                      <w:szCs w:val="21"/>
                      <w:u w:val="none"/>
                      <w:vertAlign w:val="superscript"/>
                      <w:lang w:val="en-US" w:eastAsia="zh-CN"/>
                    </w:rPr>
                    <w:t>3</w:t>
                  </w:r>
                  <w:r>
                    <w:rPr>
                      <w:rFonts w:hint="default" w:ascii="Times New Roman" w:hAnsi="Times New Roman" w:cs="Times New Roman"/>
                      <w:i w:val="0"/>
                      <w:iCs w:val="0"/>
                      <w:color w:val="FF0000"/>
                      <w:sz w:val="21"/>
                      <w:szCs w:val="21"/>
                      <w:u w:val="none"/>
                      <w:lang w:val="en-US" w:eastAsia="zh-CN"/>
                    </w:rPr>
                    <w:t>/h</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none"/>
                      <w:lang w:val="en-US" w:eastAsia="zh-CN" w:bidi="ar-SA"/>
                    </w:rPr>
                  </w:pPr>
                  <w:r>
                    <w:rPr>
                      <w:rFonts w:hint="default" w:ascii="Times New Roman" w:hAnsi="Times New Roman" w:cs="Times New Roman"/>
                      <w:i w:val="0"/>
                      <w:iCs w:val="0"/>
                      <w:color w:val="FF0000"/>
                      <w:kern w:val="0"/>
                      <w:sz w:val="21"/>
                      <w:szCs w:val="21"/>
                      <w:u w:val="none"/>
                      <w:lang w:val="en-US" w:eastAsia="zh-CN" w:bidi="ar"/>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cs="Times New Roman"/>
                      <w:i w:val="0"/>
                      <w:iCs w:val="0"/>
                      <w:color w:val="auto"/>
                      <w:sz w:val="21"/>
                      <w:szCs w:val="21"/>
                      <w:u w:val="none"/>
                      <w:lang w:val="en-US" w:eastAsia="zh-CN"/>
                    </w:rPr>
                    <w:t>河沙烘干线</w:t>
                  </w:r>
                </w:p>
              </w:tc>
              <w:tc>
                <w:tcPr>
                  <w:tcW w:w="563"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给料</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干砂提升机</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NE-50</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喂料机</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烘干</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烘干筒</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ZKZRSH3270</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restart"/>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cs="Times New Roman"/>
                      <w:i w:val="0"/>
                      <w:iCs w:val="0"/>
                      <w:color w:val="auto"/>
                      <w:sz w:val="21"/>
                      <w:szCs w:val="21"/>
                      <w:u w:val="none"/>
                      <w:lang w:val="en-US" w:eastAsia="zh-CN"/>
                    </w:rPr>
                    <w:t>筛分</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筛分</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ZS1640-V</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振动器</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MVE100/3</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2</w:t>
                  </w:r>
                  <w:r>
                    <w:rPr>
                      <w:rFonts w:hint="default" w:ascii="Times New Roman" w:hAnsi="Times New Roman" w:cs="Times New Roman"/>
                      <w:i w:val="0"/>
                      <w:iCs w:val="0"/>
                      <w:color w:val="auto"/>
                      <w:kern w:val="0"/>
                      <w:sz w:val="21"/>
                      <w:szCs w:val="21"/>
                      <w:u w:val="none"/>
                      <w:lang w:val="en-US" w:eastAsia="zh-CN" w:bidi="ar"/>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包装</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散装机</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cs="Times New Roman"/>
                      <w:i w:val="0"/>
                      <w:iCs w:val="0"/>
                      <w:color w:val="auto"/>
                      <w:sz w:val="21"/>
                      <w:szCs w:val="21"/>
                      <w:u w:val="none"/>
                      <w:lang w:val="en-US" w:eastAsia="zh-CN"/>
                    </w:rPr>
                    <w:t>辅助</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空压机</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皮带</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螺旋</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鼓风机</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空气干燥机</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kern w:val="2"/>
                      <w:sz w:val="21"/>
                      <w:szCs w:val="21"/>
                      <w:u w:val="none"/>
                      <w:lang w:val="en-US" w:eastAsia="zh-CN" w:bidi="ar-SA"/>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sz w:val="21"/>
                      <w:szCs w:val="21"/>
                      <w:u w:val="none"/>
                      <w:lang w:val="en-US" w:eastAsia="zh-CN"/>
                    </w:rPr>
                    <w:t>储存</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机制砂筒仓</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sz w:val="21"/>
                      <w:szCs w:val="21"/>
                      <w:u w:val="none"/>
                      <w:lang w:val="en-US" w:eastAsia="zh-CN"/>
                    </w:rPr>
                    <w:t>400m</w:t>
                  </w:r>
                  <w:r>
                    <w:rPr>
                      <w:rFonts w:hint="default" w:ascii="Times New Roman" w:hAnsi="Times New Roman" w:eastAsia="宋体" w:cs="Times New Roman"/>
                      <w:i w:val="0"/>
                      <w:iCs w:val="0"/>
                      <w:color w:val="auto"/>
                      <w:sz w:val="21"/>
                      <w:szCs w:val="21"/>
                      <w:u w:val="none"/>
                      <w:vertAlign w:val="superscript"/>
                      <w:lang w:val="en-US" w:eastAsia="zh-CN"/>
                    </w:rPr>
                    <w:t>3</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sz w:val="21"/>
                      <w:szCs w:val="21"/>
                      <w:u w:val="none"/>
                      <w:lang w:val="en-US" w:eastAsia="zh-CN"/>
                    </w:rPr>
                    <w:t>环保</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none"/>
                      <w:lang w:val="en-US" w:eastAsia="zh-CN" w:bidi="ar-SA"/>
                    </w:rPr>
                  </w:pPr>
                  <w:r>
                    <w:rPr>
                      <w:rFonts w:hint="default" w:ascii="Times New Roman" w:hAnsi="Times New Roman" w:cs="Times New Roman"/>
                      <w:i w:val="0"/>
                      <w:iCs w:val="0"/>
                      <w:color w:val="FF0000"/>
                      <w:kern w:val="0"/>
                      <w:sz w:val="21"/>
                      <w:szCs w:val="21"/>
                      <w:u w:val="none"/>
                      <w:lang w:val="en-US" w:eastAsia="zh-CN" w:bidi="ar"/>
                    </w:rPr>
                    <w:t>3台</w:t>
                  </w:r>
                  <w:r>
                    <w:rPr>
                      <w:rFonts w:hint="default" w:ascii="Times New Roman" w:hAnsi="Times New Roman" w:eastAsia="宋体" w:cs="Times New Roman"/>
                      <w:i w:val="0"/>
                      <w:iCs w:val="0"/>
                      <w:color w:val="FF0000"/>
                      <w:kern w:val="0"/>
                      <w:sz w:val="21"/>
                      <w:szCs w:val="21"/>
                      <w:u w:val="none"/>
                      <w:lang w:val="en-US" w:eastAsia="zh-CN" w:bidi="ar"/>
                    </w:rPr>
                    <w:t>脉冲布袋</w:t>
                  </w:r>
                  <w:r>
                    <w:rPr>
                      <w:rFonts w:hint="default" w:ascii="Times New Roman" w:hAnsi="Times New Roman" w:cs="Times New Roman"/>
                      <w:i w:val="0"/>
                      <w:iCs w:val="0"/>
                      <w:color w:val="FF0000"/>
                      <w:kern w:val="0"/>
                      <w:sz w:val="21"/>
                      <w:szCs w:val="21"/>
                      <w:u w:val="none"/>
                      <w:lang w:val="en-US" w:eastAsia="zh-CN" w:bidi="ar"/>
                    </w:rPr>
                    <w:t>+风机</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kern w:val="2"/>
                      <w:sz w:val="21"/>
                      <w:szCs w:val="21"/>
                      <w:u w:val="none"/>
                      <w:lang w:val="en-US" w:eastAsia="zh-CN" w:bidi="ar-SA"/>
                    </w:rPr>
                  </w:pPr>
                  <w:r>
                    <w:rPr>
                      <w:rFonts w:hint="default" w:ascii="Times New Roman" w:hAnsi="Times New Roman" w:cs="Times New Roman"/>
                      <w:i w:val="0"/>
                      <w:iCs w:val="0"/>
                      <w:color w:val="FF0000"/>
                      <w:sz w:val="21"/>
                      <w:szCs w:val="21"/>
                      <w:u w:val="none"/>
                      <w:lang w:val="en-US" w:eastAsia="zh-CN"/>
                    </w:rPr>
                    <w:t>560000m</w:t>
                  </w:r>
                  <w:r>
                    <w:rPr>
                      <w:rFonts w:hint="default" w:ascii="Times New Roman" w:hAnsi="Times New Roman" w:cs="Times New Roman"/>
                      <w:i w:val="0"/>
                      <w:iCs w:val="0"/>
                      <w:color w:val="FF0000"/>
                      <w:sz w:val="21"/>
                      <w:szCs w:val="21"/>
                      <w:u w:val="none"/>
                      <w:vertAlign w:val="superscript"/>
                      <w:lang w:val="en-US" w:eastAsia="zh-CN"/>
                    </w:rPr>
                    <w:t>3</w:t>
                  </w:r>
                  <w:r>
                    <w:rPr>
                      <w:rFonts w:hint="default" w:ascii="Times New Roman" w:hAnsi="Times New Roman" w:cs="Times New Roman"/>
                      <w:i w:val="0"/>
                      <w:iCs w:val="0"/>
                      <w:color w:val="FF0000"/>
                      <w:sz w:val="21"/>
                      <w:szCs w:val="21"/>
                      <w:u w:val="none"/>
                      <w:lang w:val="en-US" w:eastAsia="zh-CN"/>
                    </w:rPr>
                    <w:t>/h</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none"/>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p>
              </w:tc>
              <w:tc>
                <w:tcPr>
                  <w:tcW w:w="629"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石灰石制砂生产线</w:t>
                  </w:r>
                </w:p>
              </w:tc>
              <w:tc>
                <w:tcPr>
                  <w:tcW w:w="5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制砂</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制砂机</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PLS-1200</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筛分</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筛分机</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4GLS2030</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给料</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振动器</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皮带秤</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给料机</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辅助</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输送皮带</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干砂提升机</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NSE450</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提升机辅修电机</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电动葫芦</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CD-2T</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螺旋输送机</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稀油站</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XYZ-10GFA</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散装头电机</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环保</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独立风扇</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kern w:val="2"/>
                      <w:sz w:val="21"/>
                      <w:szCs w:val="21"/>
                      <w:u w:val="none"/>
                      <w:lang w:val="en-US" w:eastAsia="zh-CN" w:bidi="ar-SA"/>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0"/>
                      <w:sz w:val="21"/>
                      <w:szCs w:val="21"/>
                      <w:u w:val="none"/>
                      <w:lang w:val="en-US" w:eastAsia="zh-CN" w:bidi="ar"/>
                    </w:rPr>
                    <w:t>2台</w:t>
                  </w:r>
                  <w:r>
                    <w:rPr>
                      <w:rFonts w:hint="default" w:ascii="Times New Roman" w:hAnsi="Times New Roman" w:eastAsia="宋体" w:cs="Times New Roman"/>
                      <w:i w:val="0"/>
                      <w:iCs w:val="0"/>
                      <w:color w:val="auto"/>
                      <w:kern w:val="0"/>
                      <w:sz w:val="21"/>
                      <w:szCs w:val="21"/>
                      <w:u w:val="none"/>
                      <w:lang w:val="en-US" w:eastAsia="zh-CN" w:bidi="ar"/>
                    </w:rPr>
                    <w:t>脉冲布袋+除尘器风机</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sz w:val="21"/>
                      <w:szCs w:val="21"/>
                      <w:u w:val="none"/>
                      <w:lang w:val="en-US" w:eastAsia="zh-CN"/>
                    </w:rPr>
                    <w:t>56000m</w:t>
                  </w:r>
                  <w:r>
                    <w:rPr>
                      <w:rFonts w:hint="default" w:ascii="Times New Roman" w:hAnsi="Times New Roman" w:cs="Times New Roman"/>
                      <w:i w:val="0"/>
                      <w:iCs w:val="0"/>
                      <w:color w:val="auto"/>
                      <w:sz w:val="21"/>
                      <w:szCs w:val="21"/>
                      <w:u w:val="none"/>
                      <w:vertAlign w:val="superscript"/>
                      <w:lang w:val="en-US" w:eastAsia="zh-CN"/>
                    </w:rPr>
                    <w:t>3</w:t>
                  </w:r>
                  <w:r>
                    <w:rPr>
                      <w:rFonts w:hint="default" w:ascii="Times New Roman" w:hAnsi="Times New Roman" w:cs="Times New Roman"/>
                      <w:i w:val="0"/>
                      <w:iCs w:val="0"/>
                      <w:color w:val="auto"/>
                      <w:sz w:val="21"/>
                      <w:szCs w:val="21"/>
                      <w:u w:val="none"/>
                      <w:lang w:val="en-US" w:eastAsia="zh-CN"/>
                    </w:rPr>
                    <w:t>/h</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cs="Times New Roman"/>
                      <w:i w:val="0"/>
                      <w:iCs w:val="0"/>
                      <w:color w:val="auto"/>
                      <w:kern w:val="0"/>
                      <w:sz w:val="21"/>
                      <w:szCs w:val="21"/>
                      <w:u w:val="none"/>
                      <w:lang w:val="en-US" w:eastAsia="zh-CN" w:bidi="ar"/>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cs="Times New Roman"/>
                      <w:i w:val="0"/>
                      <w:iCs w:val="0"/>
                      <w:color w:val="auto"/>
                      <w:kern w:val="0"/>
                      <w:sz w:val="21"/>
                      <w:szCs w:val="21"/>
                      <w:u w:val="none"/>
                      <w:lang w:val="en-US" w:eastAsia="zh-CN" w:bidi="ar"/>
                    </w:rPr>
                    <w:t>干粉砂浆</w:t>
                  </w:r>
                  <w:r>
                    <w:rPr>
                      <w:rFonts w:hint="default" w:ascii="Times New Roman" w:hAnsi="Times New Roman" w:eastAsia="宋体" w:cs="Times New Roman"/>
                      <w:i w:val="0"/>
                      <w:iCs w:val="0"/>
                      <w:color w:val="auto"/>
                      <w:kern w:val="0"/>
                      <w:sz w:val="21"/>
                      <w:szCs w:val="21"/>
                      <w:u w:val="none"/>
                      <w:lang w:val="en-US" w:eastAsia="zh-CN" w:bidi="ar"/>
                    </w:rPr>
                    <w:t>生产线</w:t>
                  </w:r>
                </w:p>
              </w:tc>
              <w:tc>
                <w:tcPr>
                  <w:tcW w:w="629"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MTA生产线</w:t>
                  </w:r>
                </w:p>
              </w:tc>
              <w:tc>
                <w:tcPr>
                  <w:tcW w:w="563"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给料</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干砂提升机</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NE100</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干砂提升机辅修电机</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给料机</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YJDF-BP-33-R33</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振动给料机</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GZGF1900-3000</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振动筛</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4GLS2530</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振动器</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45台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混合</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飞刀</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TX</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空气干燥机</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ADH150F</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混合机</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MR310V、MR150V</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输送</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螺旋</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电梯</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LTHW-2000-0.75</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螺旋输送机</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CSS250</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提升机辅修电机</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提升机</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NE100</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添加剂螺旋输送机</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DSA125、DSA150</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辅助</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fiberdos</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G140空压机</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G140</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powerdos</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卷匝门</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散装头电机</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DMC-20ho-H-10-BH</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电动葫芦</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CD-2T</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电动振动器</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电动振动器</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MVE100</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混合机独立风扇</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空压机</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SAV90A</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包装</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包装</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码垛</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吨包</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卸料器</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YJDF-BP-33-R33</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环保</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cs="Times New Roman"/>
                      <w:i w:val="0"/>
                      <w:iCs w:val="0"/>
                      <w:color w:val="FF0000"/>
                      <w:kern w:val="0"/>
                      <w:sz w:val="21"/>
                      <w:szCs w:val="21"/>
                      <w:u w:val="none"/>
                      <w:lang w:val="en-US" w:eastAsia="zh-CN" w:bidi="ar"/>
                    </w:rPr>
                    <w:t>6台</w:t>
                  </w:r>
                  <w:r>
                    <w:rPr>
                      <w:rFonts w:hint="default" w:ascii="Times New Roman" w:hAnsi="Times New Roman" w:eastAsia="宋体" w:cs="Times New Roman"/>
                      <w:i w:val="0"/>
                      <w:iCs w:val="0"/>
                      <w:color w:val="FF0000"/>
                      <w:kern w:val="0"/>
                      <w:sz w:val="21"/>
                      <w:szCs w:val="21"/>
                      <w:u w:val="none"/>
                      <w:lang w:val="en-US" w:eastAsia="zh-CN" w:bidi="ar"/>
                    </w:rPr>
                    <w:t>脉冲布袋+风机</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cs="Times New Roman"/>
                      <w:i w:val="0"/>
                      <w:iCs w:val="0"/>
                      <w:color w:val="FF0000"/>
                      <w:sz w:val="21"/>
                      <w:szCs w:val="21"/>
                      <w:u w:val="none"/>
                      <w:lang w:val="en-US" w:eastAsia="zh-CN"/>
                    </w:rPr>
                    <w:t>30000m</w:t>
                  </w:r>
                  <w:r>
                    <w:rPr>
                      <w:rFonts w:hint="default" w:ascii="Times New Roman" w:hAnsi="Times New Roman" w:cs="Times New Roman"/>
                      <w:i w:val="0"/>
                      <w:iCs w:val="0"/>
                      <w:color w:val="FF0000"/>
                      <w:sz w:val="21"/>
                      <w:szCs w:val="21"/>
                      <w:u w:val="none"/>
                      <w:vertAlign w:val="superscript"/>
                      <w:lang w:val="en-US" w:eastAsia="zh-CN"/>
                    </w:rPr>
                    <w:t>3</w:t>
                  </w:r>
                  <w:r>
                    <w:rPr>
                      <w:rFonts w:hint="default" w:ascii="Times New Roman" w:hAnsi="Times New Roman" w:cs="Times New Roman"/>
                      <w:i w:val="0"/>
                      <w:iCs w:val="0"/>
                      <w:color w:val="FF0000"/>
                      <w:sz w:val="21"/>
                      <w:szCs w:val="21"/>
                      <w:u w:val="none"/>
                      <w:lang w:val="en-US" w:eastAsia="zh-CN"/>
                    </w:rPr>
                    <w:t>/h</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lang w:val="en-US"/>
                    </w:rPr>
                  </w:pPr>
                  <w:r>
                    <w:rPr>
                      <w:rFonts w:hint="default" w:ascii="Times New Roman" w:hAnsi="Times New Roman" w:cs="Times New Roman"/>
                      <w:i w:val="0"/>
                      <w:iCs w:val="0"/>
                      <w:color w:val="FF0000"/>
                      <w:kern w:val="0"/>
                      <w:sz w:val="21"/>
                      <w:szCs w:val="21"/>
                      <w:u w:val="none"/>
                      <w:lang w:val="en-US" w:eastAsia="zh-CN" w:bidi="ar"/>
                    </w:rPr>
                    <w:t>2套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KMA生产线</w:t>
                  </w:r>
                </w:p>
              </w:tc>
              <w:tc>
                <w:tcPr>
                  <w:tcW w:w="563"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混合</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筛分机</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ZSP-800-00</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混合机</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MR150V</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飞刀</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TX</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分层系统</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输送</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干砂提升机</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NE100</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干砂提升机辅修电机</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输送机</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18台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辅助</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振动器</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卸料器</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YJDF-BP-33-R33</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乳液喷射系统</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电动葫芦</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CD-2T</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包装机</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重检+剔除送机</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伺服推包</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侧整形推板</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自动托盘库</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冷拉伸套膜机</w:t>
                  </w:r>
                </w:p>
              </w:tc>
              <w:tc>
                <w:tcPr>
                  <w:tcW w:w="1372"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37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6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auto"/>
                      <w:sz w:val="21"/>
                      <w:szCs w:val="21"/>
                      <w:u w:val="none"/>
                    </w:rPr>
                  </w:pPr>
                </w:p>
              </w:tc>
              <w:tc>
                <w:tcPr>
                  <w:tcW w:w="563"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环保</w:t>
                  </w:r>
                </w:p>
              </w:tc>
              <w:tc>
                <w:tcPr>
                  <w:tcW w:w="13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cs="Times New Roman"/>
                      <w:i w:val="0"/>
                      <w:iCs w:val="0"/>
                      <w:color w:val="FF0000"/>
                      <w:kern w:val="0"/>
                      <w:sz w:val="21"/>
                      <w:szCs w:val="21"/>
                      <w:u w:val="none"/>
                      <w:lang w:val="en-US" w:eastAsia="zh-CN" w:bidi="ar"/>
                    </w:rPr>
                    <w:t>5台</w:t>
                  </w:r>
                  <w:r>
                    <w:rPr>
                      <w:rFonts w:hint="default" w:ascii="Times New Roman" w:hAnsi="Times New Roman" w:eastAsia="宋体" w:cs="Times New Roman"/>
                      <w:i w:val="0"/>
                      <w:iCs w:val="0"/>
                      <w:color w:val="FF0000"/>
                      <w:kern w:val="0"/>
                      <w:sz w:val="21"/>
                      <w:szCs w:val="21"/>
                      <w:u w:val="none"/>
                      <w:lang w:val="en-US" w:eastAsia="zh-CN" w:bidi="ar"/>
                    </w:rPr>
                    <w:t>脉冲布袋+风机</w:t>
                  </w:r>
                </w:p>
              </w:tc>
              <w:tc>
                <w:tcPr>
                  <w:tcW w:w="13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cs="Times New Roman"/>
                      <w:i w:val="0"/>
                      <w:iCs w:val="0"/>
                      <w:color w:val="FF0000"/>
                      <w:sz w:val="21"/>
                      <w:szCs w:val="21"/>
                      <w:u w:val="none"/>
                      <w:lang w:val="en-US" w:eastAsia="zh-CN"/>
                    </w:rPr>
                    <w:t>30000m</w:t>
                  </w:r>
                  <w:r>
                    <w:rPr>
                      <w:rFonts w:hint="default" w:ascii="Times New Roman" w:hAnsi="Times New Roman" w:cs="Times New Roman"/>
                      <w:i w:val="0"/>
                      <w:iCs w:val="0"/>
                      <w:color w:val="FF0000"/>
                      <w:sz w:val="21"/>
                      <w:szCs w:val="21"/>
                      <w:u w:val="none"/>
                      <w:vertAlign w:val="superscript"/>
                      <w:lang w:val="en-US" w:eastAsia="zh-CN"/>
                    </w:rPr>
                    <w:t>3</w:t>
                  </w:r>
                  <w:r>
                    <w:rPr>
                      <w:rFonts w:hint="default" w:ascii="Times New Roman" w:hAnsi="Times New Roman" w:cs="Times New Roman"/>
                      <w:i w:val="0"/>
                      <w:iCs w:val="0"/>
                      <w:color w:val="FF0000"/>
                      <w:sz w:val="21"/>
                      <w:szCs w:val="21"/>
                      <w:u w:val="none"/>
                      <w:lang w:val="en-US" w:eastAsia="zh-CN"/>
                    </w:rPr>
                    <w:t>/h</w:t>
                  </w:r>
                </w:p>
              </w:tc>
              <w:tc>
                <w:tcPr>
                  <w:tcW w:w="6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cs="Times New Roman"/>
                      <w:i w:val="0"/>
                      <w:iCs w:val="0"/>
                      <w:color w:val="FF0000"/>
                      <w:kern w:val="0"/>
                      <w:sz w:val="21"/>
                      <w:szCs w:val="21"/>
                      <w:u w:val="none"/>
                      <w:lang w:val="en-US" w:eastAsia="zh-CN" w:bidi="ar"/>
                    </w:rPr>
                    <w:t>1套</w:t>
                  </w:r>
                </w:p>
              </w:tc>
            </w:tr>
          </w:tbl>
          <w:p>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根据企业设计方案，项目各生产线生产时间按5000h/a设计，设计产能为设备最大生产能力的85%，根据计算，项目设备生产能力与产能分析见表2-5。</w:t>
            </w:r>
          </w:p>
          <w:p>
            <w:pPr>
              <w:pStyle w:val="2"/>
              <w:jc w:val="center"/>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表2-5 主要设备生产能力与产能分析</w:t>
            </w:r>
          </w:p>
          <w:tbl>
            <w:tblPr>
              <w:tblStyle w:val="21"/>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447"/>
              <w:gridCol w:w="767"/>
              <w:gridCol w:w="1365"/>
              <w:gridCol w:w="1100"/>
              <w:gridCol w:w="1619"/>
              <w:gridCol w:w="1201"/>
              <w:gridCol w:w="950"/>
              <w:gridCol w:w="9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722" w:type="pct"/>
                  <w:gridSpan w:val="2"/>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eastAsia="宋体" w:cs="Times New Roman"/>
                      <w:i w:val="0"/>
                      <w:iCs w:val="0"/>
                      <w:color w:val="FF0000"/>
                      <w:kern w:val="0"/>
                      <w:sz w:val="21"/>
                      <w:szCs w:val="21"/>
                      <w:u w:val="single"/>
                      <w:lang w:val="en-US" w:eastAsia="zh-CN" w:bidi="ar"/>
                    </w:rPr>
                    <w:t>生产线</w:t>
                  </w:r>
                </w:p>
              </w:tc>
              <w:tc>
                <w:tcPr>
                  <w:tcW w:w="8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0"/>
                      <w:sz w:val="21"/>
                      <w:szCs w:val="21"/>
                      <w:u w:val="single"/>
                      <w:lang w:val="en-US" w:eastAsia="zh-CN" w:bidi="ar"/>
                    </w:rPr>
                  </w:pPr>
                  <w:r>
                    <w:rPr>
                      <w:rFonts w:hint="default" w:ascii="Times New Roman" w:hAnsi="Times New Roman" w:cs="Times New Roman"/>
                      <w:i w:val="0"/>
                      <w:iCs w:val="0"/>
                      <w:color w:val="FF0000"/>
                      <w:kern w:val="0"/>
                      <w:sz w:val="21"/>
                      <w:szCs w:val="21"/>
                      <w:u w:val="single"/>
                      <w:lang w:val="en-US" w:eastAsia="zh-CN" w:bidi="ar"/>
                    </w:rPr>
                    <w:t>主要</w:t>
                  </w:r>
                  <w:r>
                    <w:rPr>
                      <w:rFonts w:hint="default" w:ascii="Times New Roman" w:hAnsi="Times New Roman" w:eastAsia="宋体" w:cs="Times New Roman"/>
                      <w:i w:val="0"/>
                      <w:iCs w:val="0"/>
                      <w:color w:val="FF0000"/>
                      <w:kern w:val="0"/>
                      <w:sz w:val="21"/>
                      <w:szCs w:val="21"/>
                      <w:u w:val="single"/>
                      <w:lang w:val="en-US" w:eastAsia="zh-CN" w:bidi="ar"/>
                    </w:rPr>
                    <w:t>设备</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eastAsia="宋体" w:cs="Times New Roman"/>
                      <w:i w:val="0"/>
                      <w:iCs w:val="0"/>
                      <w:color w:val="FF0000"/>
                      <w:kern w:val="0"/>
                      <w:sz w:val="21"/>
                      <w:szCs w:val="21"/>
                      <w:u w:val="single"/>
                      <w:lang w:val="en-US" w:eastAsia="zh-CN" w:bidi="ar"/>
                    </w:rPr>
                    <w:t>名称</w:t>
                  </w:r>
                </w:p>
              </w:tc>
              <w:tc>
                <w:tcPr>
                  <w:tcW w:w="65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设计生产负荷</w:t>
                  </w:r>
                </w:p>
              </w:tc>
              <w:tc>
                <w:tcPr>
                  <w:tcW w:w="9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设备最大生产能力（t/h）</w:t>
                  </w:r>
                </w:p>
              </w:tc>
              <w:tc>
                <w:tcPr>
                  <w:tcW w:w="71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center"/>
                    <w:rPr>
                      <w:rFonts w:hint="default" w:ascii="Times New Roman" w:hAnsi="Times New Roman"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生产时间（h）</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center"/>
                    <w:rPr>
                      <w:rFonts w:hint="default" w:ascii="Times New Roman" w:hAnsi="Times New Roman"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设备最大产能（t/a）</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center"/>
                    <w:rPr>
                      <w:rFonts w:hint="default" w:ascii="Times New Roman" w:hAnsi="Times New Roman"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实际产能（t/a）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66"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eastAsia="宋体" w:cs="Times New Roman"/>
                      <w:i w:val="0"/>
                      <w:iCs w:val="0"/>
                      <w:color w:val="FF0000"/>
                      <w:kern w:val="0"/>
                      <w:sz w:val="21"/>
                      <w:szCs w:val="21"/>
                      <w:u w:val="single"/>
                      <w:lang w:val="en-US" w:eastAsia="zh-CN" w:bidi="ar"/>
                    </w:rPr>
                    <w:t>原料生产线</w:t>
                  </w:r>
                </w:p>
              </w:tc>
              <w:tc>
                <w:tcPr>
                  <w:tcW w:w="456"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0"/>
                      <w:sz w:val="21"/>
                      <w:szCs w:val="21"/>
                      <w:u w:val="single"/>
                      <w:lang w:val="en-US" w:eastAsia="zh-CN" w:bidi="ar"/>
                    </w:rPr>
                  </w:pPr>
                  <w:r>
                    <w:rPr>
                      <w:rFonts w:hint="default" w:ascii="Times New Roman" w:hAnsi="Times New Roman" w:cs="Times New Roman"/>
                      <w:i w:val="0"/>
                      <w:iCs w:val="0"/>
                      <w:color w:val="FF0000"/>
                      <w:kern w:val="0"/>
                      <w:sz w:val="21"/>
                      <w:szCs w:val="21"/>
                      <w:u w:val="single"/>
                      <w:lang w:val="en-US" w:eastAsia="zh-CN" w:bidi="ar"/>
                    </w:rPr>
                    <w:t>鹅卵石</w:t>
                  </w:r>
                  <w:r>
                    <w:rPr>
                      <w:rFonts w:hint="default" w:ascii="Times New Roman" w:hAnsi="Times New Roman" w:eastAsia="宋体" w:cs="Times New Roman"/>
                      <w:i w:val="0"/>
                      <w:iCs w:val="0"/>
                      <w:color w:val="FF0000"/>
                      <w:kern w:val="0"/>
                      <w:sz w:val="21"/>
                      <w:szCs w:val="21"/>
                      <w:u w:val="single"/>
                      <w:lang w:val="en-US" w:eastAsia="zh-CN" w:bidi="ar"/>
                    </w:rPr>
                    <w:t>机制砂生产线</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lang w:val="en-US"/>
                    </w:rPr>
                  </w:pPr>
                </w:p>
              </w:tc>
              <w:tc>
                <w:tcPr>
                  <w:tcW w:w="8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eastAsia="宋体" w:cs="Times New Roman"/>
                      <w:i w:val="0"/>
                      <w:iCs w:val="0"/>
                      <w:color w:val="FF0000"/>
                      <w:kern w:val="0"/>
                      <w:sz w:val="21"/>
                      <w:szCs w:val="21"/>
                      <w:u w:val="single"/>
                      <w:lang w:val="en-US" w:eastAsia="zh-CN" w:bidi="ar"/>
                    </w:rPr>
                    <w:t>给料机</w:t>
                  </w:r>
                </w:p>
              </w:tc>
              <w:tc>
                <w:tcPr>
                  <w:tcW w:w="65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85%</w:t>
                  </w:r>
                </w:p>
              </w:tc>
              <w:tc>
                <w:tcPr>
                  <w:tcW w:w="9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60</w:t>
                  </w:r>
                </w:p>
              </w:tc>
              <w:tc>
                <w:tcPr>
                  <w:tcW w:w="71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5000</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30万</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25万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45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8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eastAsia="宋体" w:cs="Times New Roman"/>
                      <w:i w:val="0"/>
                      <w:iCs w:val="0"/>
                      <w:color w:val="FF0000"/>
                      <w:kern w:val="0"/>
                      <w:sz w:val="21"/>
                      <w:szCs w:val="21"/>
                      <w:u w:val="single"/>
                      <w:lang w:val="en-US" w:eastAsia="zh-CN" w:bidi="ar"/>
                    </w:rPr>
                    <w:t>圆筛</w:t>
                  </w:r>
                </w:p>
              </w:tc>
              <w:tc>
                <w:tcPr>
                  <w:tcW w:w="65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85%</w:t>
                  </w:r>
                </w:p>
              </w:tc>
              <w:tc>
                <w:tcPr>
                  <w:tcW w:w="9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60</w:t>
                  </w:r>
                </w:p>
              </w:tc>
              <w:tc>
                <w:tcPr>
                  <w:tcW w:w="71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5000</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30万</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25万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6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45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8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eastAsia="宋体" w:cs="Times New Roman"/>
                      <w:i w:val="0"/>
                      <w:iCs w:val="0"/>
                      <w:color w:val="FF0000"/>
                      <w:kern w:val="0"/>
                      <w:sz w:val="21"/>
                      <w:szCs w:val="21"/>
                      <w:u w:val="single"/>
                      <w:lang w:val="en-US" w:eastAsia="zh-CN" w:bidi="ar"/>
                    </w:rPr>
                    <w:t>球磨机</w:t>
                  </w:r>
                </w:p>
              </w:tc>
              <w:tc>
                <w:tcPr>
                  <w:tcW w:w="65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85%</w:t>
                  </w:r>
                </w:p>
              </w:tc>
              <w:tc>
                <w:tcPr>
                  <w:tcW w:w="9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60</w:t>
                  </w:r>
                </w:p>
              </w:tc>
              <w:tc>
                <w:tcPr>
                  <w:tcW w:w="71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5000</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30万</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25万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6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45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8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eastAsia="宋体" w:cs="Times New Roman"/>
                      <w:i w:val="0"/>
                      <w:iCs w:val="0"/>
                      <w:color w:val="FF0000"/>
                      <w:kern w:val="0"/>
                      <w:sz w:val="21"/>
                      <w:szCs w:val="21"/>
                      <w:u w:val="single"/>
                      <w:lang w:val="en-US" w:eastAsia="zh-CN" w:bidi="ar"/>
                    </w:rPr>
                    <w:t>圆锥破</w:t>
                  </w:r>
                </w:p>
              </w:tc>
              <w:tc>
                <w:tcPr>
                  <w:tcW w:w="65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85%</w:t>
                  </w:r>
                </w:p>
              </w:tc>
              <w:tc>
                <w:tcPr>
                  <w:tcW w:w="9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60</w:t>
                  </w:r>
                </w:p>
              </w:tc>
              <w:tc>
                <w:tcPr>
                  <w:tcW w:w="71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5000</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30万</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25万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45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8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eastAsia="宋体" w:cs="Times New Roman"/>
                      <w:i w:val="0"/>
                      <w:iCs w:val="0"/>
                      <w:color w:val="FF0000"/>
                      <w:kern w:val="0"/>
                      <w:sz w:val="21"/>
                      <w:szCs w:val="21"/>
                      <w:u w:val="single"/>
                      <w:lang w:val="en-US" w:eastAsia="zh-CN" w:bidi="ar"/>
                    </w:rPr>
                    <w:t>烘干筒</w:t>
                  </w:r>
                </w:p>
              </w:tc>
              <w:tc>
                <w:tcPr>
                  <w:tcW w:w="65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85%</w:t>
                  </w:r>
                </w:p>
              </w:tc>
              <w:tc>
                <w:tcPr>
                  <w:tcW w:w="9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60</w:t>
                  </w:r>
                </w:p>
              </w:tc>
              <w:tc>
                <w:tcPr>
                  <w:tcW w:w="71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5000</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30万</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25万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26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45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8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eastAsia="宋体" w:cs="Times New Roman"/>
                      <w:i w:val="0"/>
                      <w:iCs w:val="0"/>
                      <w:color w:val="FF0000"/>
                      <w:kern w:val="0"/>
                      <w:sz w:val="21"/>
                      <w:szCs w:val="21"/>
                      <w:u w:val="single"/>
                      <w:lang w:val="en-US" w:eastAsia="zh-CN" w:bidi="ar"/>
                    </w:rPr>
                    <w:t>选粉系统</w:t>
                  </w:r>
                </w:p>
              </w:tc>
              <w:tc>
                <w:tcPr>
                  <w:tcW w:w="65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85%</w:t>
                  </w:r>
                </w:p>
              </w:tc>
              <w:tc>
                <w:tcPr>
                  <w:tcW w:w="9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60</w:t>
                  </w:r>
                </w:p>
              </w:tc>
              <w:tc>
                <w:tcPr>
                  <w:tcW w:w="71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5000</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30万</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25万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6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45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8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eastAsia="宋体" w:cs="Times New Roman"/>
                      <w:i w:val="0"/>
                      <w:iCs w:val="0"/>
                      <w:color w:val="FF0000"/>
                      <w:kern w:val="0"/>
                      <w:sz w:val="21"/>
                      <w:szCs w:val="21"/>
                      <w:u w:val="single"/>
                      <w:lang w:val="en-US" w:eastAsia="zh-CN" w:bidi="ar"/>
                    </w:rPr>
                    <w:t>振动筛</w:t>
                  </w:r>
                </w:p>
              </w:tc>
              <w:tc>
                <w:tcPr>
                  <w:tcW w:w="65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85%</w:t>
                  </w:r>
                </w:p>
              </w:tc>
              <w:tc>
                <w:tcPr>
                  <w:tcW w:w="9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60</w:t>
                  </w:r>
                </w:p>
              </w:tc>
              <w:tc>
                <w:tcPr>
                  <w:tcW w:w="71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5000</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30万</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25万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6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456"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河砂烘干</w:t>
                  </w:r>
                </w:p>
              </w:tc>
              <w:tc>
                <w:tcPr>
                  <w:tcW w:w="8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eastAsia="宋体" w:cs="Times New Roman"/>
                      <w:i w:val="0"/>
                      <w:iCs w:val="0"/>
                      <w:color w:val="FF0000"/>
                      <w:kern w:val="0"/>
                      <w:sz w:val="21"/>
                      <w:szCs w:val="21"/>
                      <w:u w:val="single"/>
                      <w:lang w:val="en-US" w:eastAsia="zh-CN" w:bidi="ar"/>
                    </w:rPr>
                    <w:t>喂料机</w:t>
                  </w:r>
                </w:p>
              </w:tc>
              <w:tc>
                <w:tcPr>
                  <w:tcW w:w="654"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85%</w:t>
                  </w:r>
                </w:p>
              </w:tc>
              <w:tc>
                <w:tcPr>
                  <w:tcW w:w="9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36</w:t>
                  </w:r>
                </w:p>
              </w:tc>
              <w:tc>
                <w:tcPr>
                  <w:tcW w:w="71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5000</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18万</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15万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6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456"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lang w:val="en-US"/>
                    </w:rPr>
                  </w:pPr>
                </w:p>
              </w:tc>
              <w:tc>
                <w:tcPr>
                  <w:tcW w:w="8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eastAsia="宋体" w:cs="Times New Roman"/>
                      <w:i w:val="0"/>
                      <w:iCs w:val="0"/>
                      <w:color w:val="FF0000"/>
                      <w:kern w:val="0"/>
                      <w:sz w:val="21"/>
                      <w:szCs w:val="21"/>
                      <w:u w:val="single"/>
                      <w:lang w:val="en-US" w:eastAsia="zh-CN" w:bidi="ar"/>
                    </w:rPr>
                    <w:t>烘干筒</w:t>
                  </w:r>
                </w:p>
              </w:tc>
              <w:tc>
                <w:tcPr>
                  <w:tcW w:w="65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85%</w:t>
                  </w:r>
                </w:p>
              </w:tc>
              <w:tc>
                <w:tcPr>
                  <w:tcW w:w="9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36</w:t>
                  </w:r>
                </w:p>
              </w:tc>
              <w:tc>
                <w:tcPr>
                  <w:tcW w:w="71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5000</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18万</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15万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6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45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8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eastAsia="宋体" w:cs="Times New Roman"/>
                      <w:i w:val="0"/>
                      <w:iCs w:val="0"/>
                      <w:color w:val="FF0000"/>
                      <w:kern w:val="0"/>
                      <w:sz w:val="21"/>
                      <w:szCs w:val="21"/>
                      <w:u w:val="single"/>
                      <w:lang w:val="en-US" w:eastAsia="zh-CN" w:bidi="ar"/>
                    </w:rPr>
                    <w:t>筛分</w:t>
                  </w:r>
                </w:p>
              </w:tc>
              <w:tc>
                <w:tcPr>
                  <w:tcW w:w="65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85%</w:t>
                  </w:r>
                </w:p>
              </w:tc>
              <w:tc>
                <w:tcPr>
                  <w:tcW w:w="9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36</w:t>
                  </w:r>
                </w:p>
              </w:tc>
              <w:tc>
                <w:tcPr>
                  <w:tcW w:w="71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5000</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18万</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15万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6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45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8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eastAsia="宋体" w:cs="Times New Roman"/>
                      <w:i w:val="0"/>
                      <w:iCs w:val="0"/>
                      <w:color w:val="FF0000"/>
                      <w:kern w:val="0"/>
                      <w:sz w:val="21"/>
                      <w:szCs w:val="21"/>
                      <w:u w:val="single"/>
                      <w:lang w:val="en-US" w:eastAsia="zh-CN" w:bidi="ar"/>
                    </w:rPr>
                    <w:t>散装机</w:t>
                  </w:r>
                </w:p>
              </w:tc>
              <w:tc>
                <w:tcPr>
                  <w:tcW w:w="654"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85%</w:t>
                  </w:r>
                </w:p>
              </w:tc>
              <w:tc>
                <w:tcPr>
                  <w:tcW w:w="9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36</w:t>
                  </w:r>
                </w:p>
              </w:tc>
              <w:tc>
                <w:tcPr>
                  <w:tcW w:w="71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5000</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18万</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15万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6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45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8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0"/>
                      <w:sz w:val="21"/>
                      <w:szCs w:val="21"/>
                      <w:u w:val="single"/>
                      <w:lang w:val="en-US" w:eastAsia="zh-CN" w:bidi="ar"/>
                    </w:rPr>
                  </w:pPr>
                  <w:r>
                    <w:rPr>
                      <w:rFonts w:hint="default" w:ascii="Times New Roman" w:hAnsi="Times New Roman" w:cs="Times New Roman"/>
                      <w:i w:val="0"/>
                      <w:iCs w:val="0"/>
                      <w:color w:val="FF0000"/>
                      <w:kern w:val="0"/>
                      <w:sz w:val="21"/>
                      <w:szCs w:val="21"/>
                      <w:u w:val="single"/>
                      <w:lang w:val="en-US" w:eastAsia="zh-CN" w:bidi="ar"/>
                    </w:rPr>
                    <w:t>其他辅助</w:t>
                  </w:r>
                </w:p>
              </w:tc>
              <w:tc>
                <w:tcPr>
                  <w:tcW w:w="654"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w:t>
                  </w:r>
                </w:p>
              </w:tc>
              <w:tc>
                <w:tcPr>
                  <w:tcW w:w="9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w:t>
                  </w:r>
                </w:p>
              </w:tc>
              <w:tc>
                <w:tcPr>
                  <w:tcW w:w="71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66"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p>
              </w:tc>
              <w:tc>
                <w:tcPr>
                  <w:tcW w:w="456"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0"/>
                      <w:sz w:val="21"/>
                      <w:szCs w:val="21"/>
                      <w:u w:val="single"/>
                      <w:lang w:val="en-US" w:eastAsia="zh-CN" w:bidi="ar"/>
                    </w:rPr>
                  </w:pPr>
                  <w:r>
                    <w:rPr>
                      <w:rFonts w:hint="default" w:ascii="Times New Roman" w:hAnsi="Times New Roman" w:eastAsia="宋体" w:cs="Times New Roman"/>
                      <w:i w:val="0"/>
                      <w:iCs w:val="0"/>
                      <w:color w:val="FF0000"/>
                      <w:kern w:val="0"/>
                      <w:sz w:val="21"/>
                      <w:szCs w:val="21"/>
                      <w:u w:val="single"/>
                      <w:lang w:val="en-US" w:eastAsia="zh-CN" w:bidi="ar"/>
                    </w:rPr>
                    <w:t>石灰石制砂生产线</w:t>
                  </w:r>
                </w:p>
              </w:tc>
              <w:tc>
                <w:tcPr>
                  <w:tcW w:w="8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eastAsia="宋体" w:cs="Times New Roman"/>
                      <w:i w:val="0"/>
                      <w:iCs w:val="0"/>
                      <w:color w:val="FF0000"/>
                      <w:kern w:val="0"/>
                      <w:sz w:val="21"/>
                      <w:szCs w:val="21"/>
                      <w:u w:val="single"/>
                      <w:lang w:val="en-US" w:eastAsia="zh-CN" w:bidi="ar"/>
                    </w:rPr>
                    <w:t>制砂机</w:t>
                  </w:r>
                </w:p>
              </w:tc>
              <w:tc>
                <w:tcPr>
                  <w:tcW w:w="65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85%</w:t>
                  </w:r>
                </w:p>
              </w:tc>
              <w:tc>
                <w:tcPr>
                  <w:tcW w:w="9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95</w:t>
                  </w:r>
                </w:p>
              </w:tc>
              <w:tc>
                <w:tcPr>
                  <w:tcW w:w="71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5000</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47万</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40万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45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8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eastAsia="宋体" w:cs="Times New Roman"/>
                      <w:i w:val="0"/>
                      <w:iCs w:val="0"/>
                      <w:color w:val="FF0000"/>
                      <w:kern w:val="0"/>
                      <w:sz w:val="21"/>
                      <w:szCs w:val="21"/>
                      <w:u w:val="single"/>
                      <w:lang w:val="en-US" w:eastAsia="zh-CN" w:bidi="ar"/>
                    </w:rPr>
                    <w:t>筛分机</w:t>
                  </w:r>
                </w:p>
              </w:tc>
              <w:tc>
                <w:tcPr>
                  <w:tcW w:w="65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85%</w:t>
                  </w:r>
                </w:p>
              </w:tc>
              <w:tc>
                <w:tcPr>
                  <w:tcW w:w="9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95</w:t>
                  </w:r>
                </w:p>
              </w:tc>
              <w:tc>
                <w:tcPr>
                  <w:tcW w:w="71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5000</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47万</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40万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6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45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8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eastAsia="宋体" w:cs="Times New Roman"/>
                      <w:i w:val="0"/>
                      <w:iCs w:val="0"/>
                      <w:color w:val="FF0000"/>
                      <w:kern w:val="0"/>
                      <w:sz w:val="21"/>
                      <w:szCs w:val="21"/>
                      <w:u w:val="single"/>
                      <w:lang w:val="en-US" w:eastAsia="zh-CN" w:bidi="ar"/>
                    </w:rPr>
                    <w:t>给料机</w:t>
                  </w:r>
                </w:p>
              </w:tc>
              <w:tc>
                <w:tcPr>
                  <w:tcW w:w="654"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85%</w:t>
                  </w:r>
                </w:p>
              </w:tc>
              <w:tc>
                <w:tcPr>
                  <w:tcW w:w="9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95</w:t>
                  </w:r>
                </w:p>
              </w:tc>
              <w:tc>
                <w:tcPr>
                  <w:tcW w:w="71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5000</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47万</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40万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6" w:hRule="atLeast"/>
              </w:trPr>
              <w:tc>
                <w:tcPr>
                  <w:tcW w:w="26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45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8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0"/>
                      <w:sz w:val="21"/>
                      <w:szCs w:val="21"/>
                      <w:u w:val="single"/>
                      <w:lang w:val="en-US" w:eastAsia="zh-CN" w:bidi="ar"/>
                    </w:rPr>
                  </w:pPr>
                  <w:r>
                    <w:rPr>
                      <w:rFonts w:hint="default" w:ascii="Times New Roman" w:hAnsi="Times New Roman" w:cs="Times New Roman"/>
                      <w:i w:val="0"/>
                      <w:iCs w:val="0"/>
                      <w:color w:val="FF0000"/>
                      <w:kern w:val="0"/>
                      <w:sz w:val="21"/>
                      <w:szCs w:val="21"/>
                      <w:u w:val="single"/>
                      <w:lang w:val="en-US" w:eastAsia="zh-CN" w:bidi="ar"/>
                    </w:rPr>
                    <w:t>其他辅助</w:t>
                  </w:r>
                </w:p>
              </w:tc>
              <w:tc>
                <w:tcPr>
                  <w:tcW w:w="654"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w:t>
                  </w:r>
                </w:p>
              </w:tc>
              <w:tc>
                <w:tcPr>
                  <w:tcW w:w="9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w:t>
                  </w:r>
                </w:p>
              </w:tc>
              <w:tc>
                <w:tcPr>
                  <w:tcW w:w="71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66"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kern w:val="0"/>
                      <w:sz w:val="21"/>
                      <w:szCs w:val="21"/>
                      <w:u w:val="single"/>
                      <w:lang w:val="en-US" w:eastAsia="zh-CN" w:bidi="ar"/>
                    </w:rPr>
                    <w:t>干粉砂浆</w:t>
                  </w:r>
                  <w:r>
                    <w:rPr>
                      <w:rFonts w:hint="default" w:ascii="Times New Roman" w:hAnsi="Times New Roman" w:eastAsia="宋体" w:cs="Times New Roman"/>
                      <w:i w:val="0"/>
                      <w:iCs w:val="0"/>
                      <w:color w:val="FF0000"/>
                      <w:kern w:val="0"/>
                      <w:sz w:val="21"/>
                      <w:szCs w:val="21"/>
                      <w:u w:val="single"/>
                      <w:lang w:val="en-US" w:eastAsia="zh-CN" w:bidi="ar"/>
                    </w:rPr>
                    <w:t>生产线</w:t>
                  </w:r>
                </w:p>
              </w:tc>
              <w:tc>
                <w:tcPr>
                  <w:tcW w:w="456"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eastAsia="宋体" w:cs="Times New Roman"/>
                      <w:i w:val="0"/>
                      <w:iCs w:val="0"/>
                      <w:color w:val="FF0000"/>
                      <w:kern w:val="0"/>
                      <w:sz w:val="21"/>
                      <w:szCs w:val="21"/>
                      <w:u w:val="single"/>
                      <w:lang w:val="en-US" w:eastAsia="zh-CN" w:bidi="ar"/>
                    </w:rPr>
                    <w:t>MTA生产线</w:t>
                  </w:r>
                </w:p>
              </w:tc>
              <w:tc>
                <w:tcPr>
                  <w:tcW w:w="8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eastAsia="宋体" w:cs="Times New Roman"/>
                      <w:i w:val="0"/>
                      <w:iCs w:val="0"/>
                      <w:color w:val="FF0000"/>
                      <w:kern w:val="0"/>
                      <w:sz w:val="21"/>
                      <w:szCs w:val="21"/>
                      <w:u w:val="single"/>
                      <w:lang w:val="en-US" w:eastAsia="zh-CN" w:bidi="ar"/>
                    </w:rPr>
                    <w:t>振动给料机</w:t>
                  </w:r>
                </w:p>
              </w:tc>
              <w:tc>
                <w:tcPr>
                  <w:tcW w:w="65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85%</w:t>
                  </w:r>
                </w:p>
              </w:tc>
              <w:tc>
                <w:tcPr>
                  <w:tcW w:w="9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kern w:val="2"/>
                      <w:sz w:val="21"/>
                      <w:szCs w:val="21"/>
                      <w:u w:val="single"/>
                      <w:lang w:val="en-US" w:eastAsia="zh-CN" w:bidi="ar-SA"/>
                    </w:rPr>
                    <w:t>170</w:t>
                  </w:r>
                </w:p>
              </w:tc>
              <w:tc>
                <w:tcPr>
                  <w:tcW w:w="71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5000</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85万</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73万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6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45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8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eastAsia="宋体" w:cs="Times New Roman"/>
                      <w:i w:val="0"/>
                      <w:iCs w:val="0"/>
                      <w:color w:val="FF0000"/>
                      <w:kern w:val="0"/>
                      <w:sz w:val="21"/>
                      <w:szCs w:val="21"/>
                      <w:u w:val="single"/>
                      <w:lang w:val="en-US" w:eastAsia="zh-CN" w:bidi="ar"/>
                    </w:rPr>
                    <w:t>振动筛</w:t>
                  </w:r>
                </w:p>
              </w:tc>
              <w:tc>
                <w:tcPr>
                  <w:tcW w:w="65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85%</w:t>
                  </w:r>
                </w:p>
              </w:tc>
              <w:tc>
                <w:tcPr>
                  <w:tcW w:w="9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kern w:val="2"/>
                      <w:sz w:val="21"/>
                      <w:szCs w:val="21"/>
                      <w:u w:val="single"/>
                      <w:lang w:val="en-US" w:eastAsia="zh-CN" w:bidi="ar-SA"/>
                    </w:rPr>
                    <w:t>170</w:t>
                  </w:r>
                </w:p>
              </w:tc>
              <w:tc>
                <w:tcPr>
                  <w:tcW w:w="71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5000</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85万</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73万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45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8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eastAsia="宋体" w:cs="Times New Roman"/>
                      <w:i w:val="0"/>
                      <w:iCs w:val="0"/>
                      <w:color w:val="FF0000"/>
                      <w:kern w:val="0"/>
                      <w:sz w:val="21"/>
                      <w:szCs w:val="21"/>
                      <w:u w:val="single"/>
                      <w:lang w:val="en-US" w:eastAsia="zh-CN" w:bidi="ar"/>
                    </w:rPr>
                    <w:t>混合机</w:t>
                  </w:r>
                </w:p>
              </w:tc>
              <w:tc>
                <w:tcPr>
                  <w:tcW w:w="65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85%</w:t>
                  </w:r>
                </w:p>
              </w:tc>
              <w:tc>
                <w:tcPr>
                  <w:tcW w:w="9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kern w:val="2"/>
                      <w:sz w:val="21"/>
                      <w:szCs w:val="21"/>
                      <w:u w:val="single"/>
                      <w:lang w:val="en-US" w:eastAsia="zh-CN" w:bidi="ar-SA"/>
                    </w:rPr>
                    <w:t>170</w:t>
                  </w:r>
                </w:p>
              </w:tc>
              <w:tc>
                <w:tcPr>
                  <w:tcW w:w="71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single"/>
                      <w:lang w:val="en-US" w:eastAsia="zh-CN" w:bidi="ar-SA"/>
                    </w:rPr>
                  </w:pPr>
                  <w:r>
                    <w:rPr>
                      <w:rFonts w:hint="default" w:ascii="Times New Roman" w:hAnsi="Times New Roman" w:cs="Times New Roman"/>
                      <w:i w:val="0"/>
                      <w:iCs w:val="0"/>
                      <w:color w:val="FF0000"/>
                      <w:sz w:val="21"/>
                      <w:szCs w:val="21"/>
                      <w:u w:val="single"/>
                      <w:lang w:val="en-US" w:eastAsia="zh-CN"/>
                    </w:rPr>
                    <w:t>5000</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85万</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73万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45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8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eastAsia="宋体" w:cs="Times New Roman"/>
                      <w:i w:val="0"/>
                      <w:iCs w:val="0"/>
                      <w:color w:val="FF0000"/>
                      <w:kern w:val="0"/>
                      <w:sz w:val="21"/>
                      <w:szCs w:val="21"/>
                      <w:u w:val="single"/>
                      <w:lang w:val="en-US" w:eastAsia="zh-CN" w:bidi="ar"/>
                    </w:rPr>
                    <w:t>包装</w:t>
                  </w:r>
                </w:p>
              </w:tc>
              <w:tc>
                <w:tcPr>
                  <w:tcW w:w="654"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85%</w:t>
                  </w:r>
                </w:p>
              </w:tc>
              <w:tc>
                <w:tcPr>
                  <w:tcW w:w="9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kern w:val="2"/>
                      <w:sz w:val="21"/>
                      <w:szCs w:val="21"/>
                      <w:u w:val="single"/>
                      <w:lang w:val="en-US" w:eastAsia="zh-CN" w:bidi="ar-SA"/>
                    </w:rPr>
                    <w:t>170</w:t>
                  </w:r>
                </w:p>
              </w:tc>
              <w:tc>
                <w:tcPr>
                  <w:tcW w:w="71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5000</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85万</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73万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6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45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8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0"/>
                      <w:sz w:val="21"/>
                      <w:szCs w:val="21"/>
                      <w:u w:val="single"/>
                      <w:lang w:val="en-US" w:eastAsia="zh-CN" w:bidi="ar"/>
                    </w:rPr>
                  </w:pPr>
                  <w:r>
                    <w:rPr>
                      <w:rFonts w:hint="default" w:ascii="Times New Roman" w:hAnsi="Times New Roman" w:cs="Times New Roman"/>
                      <w:i w:val="0"/>
                      <w:iCs w:val="0"/>
                      <w:color w:val="FF0000"/>
                      <w:kern w:val="0"/>
                      <w:sz w:val="21"/>
                      <w:szCs w:val="21"/>
                      <w:u w:val="single"/>
                      <w:lang w:val="en-US" w:eastAsia="zh-CN" w:bidi="ar"/>
                    </w:rPr>
                    <w:t>其他辅助</w:t>
                  </w:r>
                </w:p>
              </w:tc>
              <w:tc>
                <w:tcPr>
                  <w:tcW w:w="654"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85%</w:t>
                  </w:r>
                </w:p>
              </w:tc>
              <w:tc>
                <w:tcPr>
                  <w:tcW w:w="9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w:t>
                  </w:r>
                </w:p>
              </w:tc>
              <w:tc>
                <w:tcPr>
                  <w:tcW w:w="71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6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456"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eastAsia="宋体" w:cs="Times New Roman"/>
                      <w:i w:val="0"/>
                      <w:iCs w:val="0"/>
                      <w:color w:val="FF0000"/>
                      <w:kern w:val="0"/>
                      <w:sz w:val="21"/>
                      <w:szCs w:val="21"/>
                      <w:u w:val="single"/>
                      <w:lang w:val="en-US" w:eastAsia="zh-CN" w:bidi="ar"/>
                    </w:rPr>
                    <w:t>KMA生产线</w:t>
                  </w:r>
                </w:p>
              </w:tc>
              <w:tc>
                <w:tcPr>
                  <w:tcW w:w="8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eastAsia="宋体" w:cs="Times New Roman"/>
                      <w:i w:val="0"/>
                      <w:iCs w:val="0"/>
                      <w:color w:val="FF0000"/>
                      <w:kern w:val="0"/>
                      <w:sz w:val="21"/>
                      <w:szCs w:val="21"/>
                      <w:u w:val="single"/>
                      <w:lang w:val="en-US" w:eastAsia="zh-CN" w:bidi="ar"/>
                    </w:rPr>
                    <w:t>筛分机</w:t>
                  </w:r>
                </w:p>
              </w:tc>
              <w:tc>
                <w:tcPr>
                  <w:tcW w:w="65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85%</w:t>
                  </w:r>
                </w:p>
              </w:tc>
              <w:tc>
                <w:tcPr>
                  <w:tcW w:w="9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60</w:t>
                  </w:r>
                </w:p>
              </w:tc>
              <w:tc>
                <w:tcPr>
                  <w:tcW w:w="71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5000</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30万</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25万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26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45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8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eastAsia="宋体" w:cs="Times New Roman"/>
                      <w:i w:val="0"/>
                      <w:iCs w:val="0"/>
                      <w:color w:val="FF0000"/>
                      <w:kern w:val="0"/>
                      <w:sz w:val="21"/>
                      <w:szCs w:val="21"/>
                      <w:u w:val="single"/>
                      <w:lang w:val="en-US" w:eastAsia="zh-CN" w:bidi="ar"/>
                    </w:rPr>
                    <w:t>混合机</w:t>
                  </w:r>
                </w:p>
              </w:tc>
              <w:tc>
                <w:tcPr>
                  <w:tcW w:w="65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85%</w:t>
                  </w:r>
                </w:p>
              </w:tc>
              <w:tc>
                <w:tcPr>
                  <w:tcW w:w="9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60</w:t>
                  </w:r>
                </w:p>
              </w:tc>
              <w:tc>
                <w:tcPr>
                  <w:tcW w:w="71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5000</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30万</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25万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45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8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eastAsia="宋体" w:cs="Times New Roman"/>
                      <w:i w:val="0"/>
                      <w:iCs w:val="0"/>
                      <w:color w:val="FF0000"/>
                      <w:kern w:val="0"/>
                      <w:sz w:val="21"/>
                      <w:szCs w:val="21"/>
                      <w:u w:val="single"/>
                      <w:lang w:val="en-US" w:eastAsia="zh-CN" w:bidi="ar"/>
                    </w:rPr>
                    <w:t>包装机</w:t>
                  </w:r>
                </w:p>
              </w:tc>
              <w:tc>
                <w:tcPr>
                  <w:tcW w:w="654"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85%</w:t>
                  </w:r>
                </w:p>
              </w:tc>
              <w:tc>
                <w:tcPr>
                  <w:tcW w:w="9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60</w:t>
                  </w:r>
                </w:p>
              </w:tc>
              <w:tc>
                <w:tcPr>
                  <w:tcW w:w="71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5000</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30万</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rPr>
                  </w:pPr>
                  <w:r>
                    <w:rPr>
                      <w:rFonts w:hint="default" w:ascii="Times New Roman" w:hAnsi="Times New Roman" w:cs="Times New Roman"/>
                      <w:i w:val="0"/>
                      <w:iCs w:val="0"/>
                      <w:color w:val="FF0000"/>
                      <w:sz w:val="21"/>
                      <w:szCs w:val="21"/>
                      <w:u w:val="single"/>
                      <w:lang w:val="en-US" w:eastAsia="zh-CN"/>
                    </w:rPr>
                    <w:t>25万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45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single"/>
                    </w:rPr>
                  </w:pPr>
                </w:p>
              </w:tc>
              <w:tc>
                <w:tcPr>
                  <w:tcW w:w="8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0"/>
                      <w:sz w:val="21"/>
                      <w:szCs w:val="21"/>
                      <w:u w:val="single"/>
                      <w:lang w:val="en-US" w:eastAsia="zh-CN" w:bidi="ar"/>
                    </w:rPr>
                  </w:pPr>
                  <w:r>
                    <w:rPr>
                      <w:rFonts w:hint="default" w:ascii="Times New Roman" w:hAnsi="Times New Roman" w:cs="Times New Roman"/>
                      <w:i w:val="0"/>
                      <w:iCs w:val="0"/>
                      <w:color w:val="FF0000"/>
                      <w:kern w:val="0"/>
                      <w:sz w:val="21"/>
                      <w:szCs w:val="21"/>
                      <w:u w:val="single"/>
                      <w:lang w:val="en-US" w:eastAsia="zh-CN" w:bidi="ar"/>
                    </w:rPr>
                    <w:t>其他辅助</w:t>
                  </w:r>
                </w:p>
              </w:tc>
              <w:tc>
                <w:tcPr>
                  <w:tcW w:w="654" w:type="pc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85%</w:t>
                  </w:r>
                </w:p>
              </w:tc>
              <w:tc>
                <w:tcPr>
                  <w:tcW w:w="96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60</w:t>
                  </w:r>
                </w:p>
              </w:tc>
              <w:tc>
                <w:tcPr>
                  <w:tcW w:w="71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5000</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30万</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i w:val="0"/>
                      <w:iCs w:val="0"/>
                      <w:color w:val="FF0000"/>
                      <w:sz w:val="21"/>
                      <w:szCs w:val="21"/>
                      <w:u w:val="single"/>
                      <w:lang w:val="en-US" w:eastAsia="zh-CN"/>
                    </w:rPr>
                  </w:pPr>
                  <w:r>
                    <w:rPr>
                      <w:rFonts w:hint="default" w:ascii="Times New Roman" w:hAnsi="Times New Roman" w:cs="Times New Roman"/>
                      <w:i w:val="0"/>
                      <w:iCs w:val="0"/>
                      <w:color w:val="FF0000"/>
                      <w:sz w:val="21"/>
                      <w:szCs w:val="21"/>
                      <w:u w:val="single"/>
                      <w:lang w:val="en-US" w:eastAsia="zh-CN"/>
                    </w:rPr>
                    <w:t>25万</w:t>
                  </w:r>
                </w:p>
              </w:tc>
            </w:tr>
          </w:tbl>
          <w:p>
            <w:pPr>
              <w:bidi w:val="0"/>
              <w:rPr>
                <w:rFonts w:hint="default" w:ascii="Times New Roman" w:hAnsi="Times New Roman" w:cs="Times New Roman"/>
                <w:lang w:val="en-US" w:eastAsia="zh-CN"/>
              </w:rPr>
            </w:pPr>
            <w:r>
              <w:rPr>
                <w:rFonts w:hint="default" w:ascii="Times New Roman" w:hAnsi="Times New Roman" w:cs="Times New Roman"/>
                <w:lang w:val="en-US" w:eastAsia="zh-CN"/>
              </w:rPr>
              <w:t>根据表2-5分析可知，本项目设备设计生产能力与产能匹配。</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2.2.5</w:t>
            </w:r>
            <w:r>
              <w:rPr>
                <w:rFonts w:hint="default" w:ascii="Times New Roman" w:hAnsi="Times New Roman" w:eastAsia="黑体" w:cs="Times New Roman"/>
                <w:color w:val="auto"/>
                <w:lang w:val="en-US" w:eastAsia="zh-CN"/>
              </w:rPr>
              <w:t>工作制度及劳动定员</w:t>
            </w:r>
          </w:p>
          <w:p>
            <w:pPr>
              <w:keepNext w:val="0"/>
              <w:keepLines w:val="0"/>
              <w:pageBreakBefore w:val="0"/>
              <w:widowControl w:val="0"/>
              <w:kinsoku/>
              <w:wordWrap/>
              <w:overflowPunct/>
              <w:topLinePunct w:val="0"/>
              <w:autoSpaceDE/>
              <w:autoSpaceDN/>
              <w:bidi w:val="0"/>
              <w:adjustRightInd/>
              <w:snapToGrid/>
              <w:ind w:leftChars="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lang w:val="en-US" w:eastAsia="zh-CN"/>
              </w:rPr>
              <w:t>本项目劳动定员85人，每天两班制，</w:t>
            </w:r>
            <w:r>
              <w:rPr>
                <w:rFonts w:hint="default" w:ascii="Times New Roman" w:hAnsi="Times New Roman" w:cs="Times New Roman"/>
                <w:color w:val="auto"/>
                <w:highlight w:val="none"/>
                <w:lang w:val="en-US" w:eastAsia="zh-CN"/>
              </w:rPr>
              <w:t>每班8小时，年工作300天，不提供食宿，年工作约5000h。</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2.2.6</w:t>
            </w:r>
            <w:r>
              <w:rPr>
                <w:rFonts w:hint="default" w:ascii="Times New Roman" w:hAnsi="Times New Roman" w:eastAsia="黑体" w:cs="Times New Roman"/>
                <w:color w:val="auto"/>
                <w:highlight w:val="none"/>
                <w:lang w:val="en-US" w:eastAsia="zh-CN"/>
              </w:rPr>
              <w:t>项目公用及辅助工程</w:t>
            </w:r>
          </w:p>
          <w:p>
            <w:pPr>
              <w:keepNext w:val="0"/>
              <w:keepLines w:val="0"/>
              <w:pageBreakBefore w:val="0"/>
              <w:widowControl w:val="0"/>
              <w:numPr>
                <w:ilvl w:val="0"/>
                <w:numId w:val="0"/>
              </w:numPr>
              <w:kinsoku/>
              <w:wordWrap/>
              <w:overflowPunct/>
              <w:topLinePunct w:val="0"/>
              <w:autoSpaceDE/>
              <w:autoSpaceDN/>
              <w:bidi w:val="0"/>
              <w:adjustRightInd/>
              <w:snapToGrid/>
              <w:ind w:left="-326" w:leftChars="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       （1）给水</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color w:val="auto"/>
                <w:lang w:val="en-US" w:eastAsia="zh-CN"/>
              </w:rPr>
            </w:pPr>
            <w:r>
              <w:rPr>
                <w:rFonts w:hint="default" w:ascii="Times New Roman" w:hAnsi="Times New Roman" w:eastAsia="宋体" w:cs="Times New Roman"/>
                <w:color w:val="auto"/>
                <w:sz w:val="24"/>
                <w:szCs w:val="24"/>
                <w:highlight w:val="none"/>
                <w:lang w:val="en-US" w:eastAsia="zh-CN"/>
              </w:rPr>
              <w:t>项目用水主要为生产用水和员工生活用水。</w:t>
            </w:r>
            <w:r>
              <w:rPr>
                <w:rFonts w:hint="default" w:ascii="Times New Roman" w:hAnsi="Times New Roman" w:cs="Times New Roman"/>
                <w:color w:val="auto"/>
                <w:lang w:val="en-US" w:eastAsia="zh-CN"/>
              </w:rPr>
              <w:t>本工程用水来自市政供水，新建工程给水由湘杨路市政给水管网就近接入，绿化和景观用水采用雨水回用系统供给。</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①生产用水</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本项目生产干粉砂浆和机制砂，干粉砂浆生产过程不添加水，机制砂采用干法工艺，因此无生产工艺用水。生产用水主要为运输车辆冲洗用水以及堆场洒水抑尘用水。</w:t>
            </w:r>
          </w:p>
          <w:p>
            <w:pPr>
              <w:bidi w:val="0"/>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车辆冲洗用水：本项目在厂区西南侧大门处设置车辆洗轮机，对车辆车轮进行冲洗，减少扬尘产生。车辆洗轮机装置下方设置废水沉淀池，按每日进出车辆50辆计算，类比同类型装置用水，冲洗用水量按0.003L/辆计算，则车辆冲洗用水量为0.15m</w:t>
            </w:r>
            <w:r>
              <w:rPr>
                <w:rFonts w:hint="default" w:ascii="Times New Roman" w:hAnsi="Times New Roman" w:cs="Times New Roman"/>
                <w:color w:val="FF0000"/>
                <w:u w:val="single"/>
                <w:vertAlign w:val="superscript"/>
                <w:lang w:val="en-US" w:eastAsia="zh-CN"/>
              </w:rPr>
              <w:t>3</w:t>
            </w:r>
            <w:r>
              <w:rPr>
                <w:rFonts w:hint="default" w:ascii="Times New Roman" w:hAnsi="Times New Roman" w:cs="Times New Roman"/>
                <w:color w:val="FF0000"/>
                <w:u w:val="single"/>
                <w:lang w:val="en-US" w:eastAsia="zh-CN"/>
              </w:rPr>
              <w:t>/d（45m</w:t>
            </w:r>
            <w:r>
              <w:rPr>
                <w:rFonts w:hint="default" w:ascii="Times New Roman" w:hAnsi="Times New Roman" w:cs="Times New Roman"/>
                <w:color w:val="FF0000"/>
                <w:u w:val="single"/>
                <w:vertAlign w:val="superscript"/>
                <w:lang w:val="en-US" w:eastAsia="zh-CN"/>
              </w:rPr>
              <w:t>3</w:t>
            </w:r>
            <w:r>
              <w:rPr>
                <w:rFonts w:hint="default" w:ascii="Times New Roman" w:hAnsi="Times New Roman" w:cs="Times New Roman"/>
                <w:color w:val="FF0000"/>
                <w:u w:val="single"/>
                <w:lang w:val="en-US" w:eastAsia="zh-CN"/>
              </w:rPr>
              <w:t>/a），废水产生系数按0.5计算，则废水产生量0.075m</w:t>
            </w:r>
            <w:r>
              <w:rPr>
                <w:rFonts w:hint="default" w:ascii="Times New Roman" w:hAnsi="Times New Roman" w:cs="Times New Roman"/>
                <w:color w:val="FF0000"/>
                <w:u w:val="single"/>
                <w:vertAlign w:val="superscript"/>
                <w:lang w:val="en-US" w:eastAsia="zh-CN"/>
              </w:rPr>
              <w:t>3</w:t>
            </w:r>
            <w:r>
              <w:rPr>
                <w:rFonts w:hint="default" w:ascii="Times New Roman" w:hAnsi="Times New Roman" w:cs="Times New Roman"/>
                <w:color w:val="FF0000"/>
                <w:u w:val="single"/>
                <w:lang w:val="en-US" w:eastAsia="zh-CN"/>
              </w:rPr>
              <w:t>/d（22.5m</w:t>
            </w:r>
            <w:r>
              <w:rPr>
                <w:rFonts w:hint="default" w:ascii="Times New Roman" w:hAnsi="Times New Roman" w:cs="Times New Roman"/>
                <w:color w:val="FF0000"/>
                <w:u w:val="single"/>
                <w:vertAlign w:val="superscript"/>
                <w:lang w:val="en-US" w:eastAsia="zh-CN"/>
              </w:rPr>
              <w:t>3</w:t>
            </w:r>
            <w:r>
              <w:rPr>
                <w:rFonts w:hint="default" w:ascii="Times New Roman" w:hAnsi="Times New Roman" w:cs="Times New Roman"/>
                <w:color w:val="FF0000"/>
                <w:u w:val="single"/>
                <w:lang w:val="en-US" w:eastAsia="zh-CN"/>
              </w:rPr>
              <w:t>/a）。车辆冲洗水沉淀后回用于冲洗装置，不排放，沉淀池渣定期清理回用于生产线，不排放。</w:t>
            </w:r>
          </w:p>
          <w:p>
            <w:pPr>
              <w:pStyle w:val="2"/>
              <w:rPr>
                <w:rFonts w:hint="default" w:ascii="Times New Roman" w:hAnsi="Times New Roman" w:eastAsia="宋体" w:cs="Times New Roman"/>
                <w:color w:val="FF0000"/>
                <w:u w:val="single"/>
                <w:lang w:val="en-US" w:eastAsia="zh-CN"/>
              </w:rPr>
            </w:pPr>
            <w:r>
              <w:rPr>
                <w:rFonts w:hint="default" w:ascii="Times New Roman" w:hAnsi="Times New Roman" w:cs="Times New Roman"/>
                <w:color w:val="FF0000"/>
                <w:u w:val="single"/>
                <w:lang w:val="en-US" w:eastAsia="zh-CN"/>
              </w:rPr>
              <w:t>堆场洒水抑尘用水：本项目原料机制砂含水率为10%，原料堆存过程中产生粉尘量较少，主要为原料进厂卸料产生少量扬尘，为减少扬尘产生，项目在卸料点设置雾化喷淋装置，在卸料过程中进行喷淋，喷淋用水量按0.05m</w:t>
            </w:r>
            <w:r>
              <w:rPr>
                <w:rFonts w:hint="default" w:ascii="Times New Roman" w:hAnsi="Times New Roman" w:cs="Times New Roman"/>
                <w:color w:val="FF0000"/>
                <w:u w:val="single"/>
                <w:vertAlign w:val="superscript"/>
                <w:lang w:val="en-US" w:eastAsia="zh-CN"/>
              </w:rPr>
              <w:t>3</w:t>
            </w:r>
            <w:r>
              <w:rPr>
                <w:rFonts w:hint="default" w:ascii="Times New Roman" w:hAnsi="Times New Roman" w:eastAsia="宋体" w:cs="Times New Roman"/>
                <w:bCs/>
                <w:color w:val="FF0000"/>
                <w:sz w:val="24"/>
                <w:u w:val="single"/>
              </w:rPr>
              <w:t>•d计</w:t>
            </w:r>
            <w:r>
              <w:rPr>
                <w:rFonts w:hint="default" w:ascii="Times New Roman" w:hAnsi="Times New Roman" w:eastAsia="宋体" w:cs="Times New Roman"/>
                <w:bCs/>
                <w:color w:val="FF0000"/>
                <w:sz w:val="24"/>
                <w:u w:val="single"/>
                <w:lang w:eastAsia="zh-CN"/>
              </w:rPr>
              <w:t>，</w:t>
            </w:r>
            <w:r>
              <w:rPr>
                <w:rFonts w:hint="default" w:ascii="Times New Roman" w:hAnsi="Times New Roman" w:eastAsia="宋体" w:cs="Times New Roman"/>
                <w:bCs/>
                <w:color w:val="FF0000"/>
                <w:sz w:val="24"/>
                <w:u w:val="single"/>
                <w:lang w:val="en-US" w:eastAsia="zh-CN"/>
              </w:rPr>
              <w:t>则用水量为</w:t>
            </w:r>
            <w:r>
              <w:rPr>
                <w:rFonts w:hint="default" w:ascii="Times New Roman" w:hAnsi="Times New Roman" w:cs="Times New Roman"/>
                <w:bCs/>
                <w:color w:val="FF0000"/>
                <w:sz w:val="24"/>
                <w:u w:val="single"/>
                <w:lang w:val="en-US" w:eastAsia="zh-CN"/>
              </w:rPr>
              <w:t>15</w:t>
            </w:r>
            <w:r>
              <w:rPr>
                <w:rFonts w:hint="default" w:ascii="Times New Roman" w:hAnsi="Times New Roman" w:cs="Times New Roman"/>
                <w:color w:val="FF0000"/>
                <w:u w:val="single"/>
                <w:lang w:val="en-US" w:eastAsia="zh-CN"/>
              </w:rPr>
              <w:t>m</w:t>
            </w:r>
            <w:r>
              <w:rPr>
                <w:rFonts w:hint="default" w:ascii="Times New Roman" w:hAnsi="Times New Roman" w:cs="Times New Roman"/>
                <w:color w:val="FF0000"/>
                <w:u w:val="single"/>
                <w:vertAlign w:val="superscript"/>
                <w:lang w:val="en-US" w:eastAsia="zh-CN"/>
              </w:rPr>
              <w:t>3</w:t>
            </w:r>
            <w:r>
              <w:rPr>
                <w:rFonts w:hint="default" w:ascii="Times New Roman" w:hAnsi="Times New Roman" w:cs="Times New Roman"/>
                <w:color w:val="FF0000"/>
                <w:u w:val="single"/>
                <w:lang w:val="en-US" w:eastAsia="zh-CN"/>
              </w:rPr>
              <w:t>/a。雾化喷淋用水全部蒸发消耗，不产生废水。</w:t>
            </w:r>
          </w:p>
          <w:p>
            <w:pPr>
              <w:pStyle w:val="2"/>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lang w:val="en-US" w:eastAsia="zh-CN"/>
              </w:rPr>
              <w:t>②</w:t>
            </w:r>
            <w:r>
              <w:rPr>
                <w:rFonts w:hint="default" w:ascii="Times New Roman" w:hAnsi="Times New Roman" w:eastAsia="宋体" w:cs="Times New Roman"/>
                <w:color w:val="auto"/>
                <w:sz w:val="24"/>
                <w:szCs w:val="24"/>
                <w:highlight w:val="none"/>
                <w:lang w:val="en-US" w:eastAsia="zh-CN"/>
              </w:rPr>
              <w:t>绿化用水</w:t>
            </w:r>
          </w:p>
          <w:p>
            <w:pPr>
              <w:pStyle w:val="2"/>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z w:val="24"/>
                <w:szCs w:val="24"/>
                <w:highlight w:val="none"/>
                <w:lang w:val="en-US" w:eastAsia="zh-CN"/>
              </w:rPr>
              <w:t>项目占地面积69991.83m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，根据规划设计方案，绿化面积设计占比12.65%，则绿化面积约为8854m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。绿化用水按2L/m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bCs/>
                <w:color w:val="auto"/>
                <w:sz w:val="24"/>
              </w:rPr>
              <w:t>•</w:t>
            </w:r>
            <w:r>
              <w:rPr>
                <w:rFonts w:hint="default" w:ascii="Times New Roman" w:hAnsi="Times New Roman" w:eastAsia="宋体" w:cs="Times New Roman"/>
                <w:color w:val="auto"/>
                <w:sz w:val="24"/>
                <w:szCs w:val="24"/>
                <w:highlight w:val="none"/>
                <w:vertAlign w:val="baseline"/>
                <w:lang w:val="en-US" w:eastAsia="zh-CN"/>
              </w:rPr>
              <w:t>次计算，则每次绿化用水量为17.71m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vertAlign w:val="baseline"/>
                <w:lang w:val="en-US" w:eastAsia="zh-CN"/>
              </w:rPr>
              <w:t>·次。按平均每星期浇水两次计算，则用水量为1700m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vertAlign w:val="baseline"/>
                <w:lang w:val="en-US" w:eastAsia="zh-CN"/>
              </w:rPr>
              <w:t>/a（5.67m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vertAlign w:val="baseline"/>
                <w:lang w:val="en-US" w:eastAsia="zh-CN"/>
              </w:rPr>
              <w:t>/d）。初期雨水经沉淀后回用于绿化用水。</w:t>
            </w:r>
          </w:p>
          <w:p>
            <w:pPr>
              <w:pStyle w:val="2"/>
              <w:rPr>
                <w:rFonts w:hint="default" w:ascii="Times New Roman" w:hAnsi="Times New Roman" w:cs="Times New Roman"/>
                <w:color w:val="auto"/>
                <w:lang w:val="en-US" w:eastAsia="zh-CN"/>
              </w:rPr>
            </w:pPr>
            <w:r>
              <w:rPr>
                <w:rFonts w:hint="default" w:ascii="Times New Roman" w:hAnsi="Times New Roman" w:eastAsia="宋体" w:cs="Times New Roman"/>
                <w:color w:val="auto"/>
                <w:sz w:val="24"/>
                <w:szCs w:val="24"/>
                <w:highlight w:val="none"/>
                <w:lang w:val="en-US" w:eastAsia="zh-CN"/>
              </w:rPr>
              <w:t>③</w:t>
            </w:r>
            <w:r>
              <w:rPr>
                <w:rFonts w:hint="default" w:ascii="Times New Roman" w:hAnsi="Times New Roman" w:cs="Times New Roman"/>
                <w:color w:val="auto"/>
                <w:lang w:val="en-US" w:eastAsia="zh-CN"/>
              </w:rPr>
              <w:t>生活用水</w:t>
            </w:r>
          </w:p>
          <w:p>
            <w:pPr>
              <w:bidi w:val="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lang w:val="en-US" w:eastAsia="zh-CN"/>
              </w:rPr>
              <w:t>本项目预计工作人员85人，不在厂区食宿，</w:t>
            </w:r>
            <w:r>
              <w:rPr>
                <w:rFonts w:hint="default" w:ascii="Times New Roman" w:hAnsi="Times New Roman" w:eastAsia="宋体" w:cs="Times New Roman"/>
                <w:color w:val="auto"/>
                <w:sz w:val="24"/>
                <w:szCs w:val="24"/>
                <w:highlight w:val="none"/>
                <w:lang w:val="en-US" w:eastAsia="zh-CN"/>
              </w:rPr>
              <w:t>年工作天数为300天。依照湖南省地方标准《用水定额》（DB43/T 388-2020）及类比同类型项目，</w:t>
            </w:r>
            <w:r>
              <w:rPr>
                <w:rFonts w:hint="default" w:ascii="Times New Roman" w:hAnsi="Times New Roman" w:eastAsia="宋体" w:cs="Times New Roman"/>
                <w:bCs/>
                <w:color w:val="auto"/>
                <w:sz w:val="24"/>
              </w:rPr>
              <w:t>员工生活用水量按</w:t>
            </w:r>
            <w:r>
              <w:rPr>
                <w:rFonts w:hint="default" w:ascii="Times New Roman" w:hAnsi="Times New Roman" w:eastAsia="宋体" w:cs="Times New Roman"/>
                <w:bCs/>
                <w:color w:val="auto"/>
                <w:sz w:val="24"/>
                <w:lang w:val="en-US" w:eastAsia="zh-CN"/>
              </w:rPr>
              <w:t>45</w:t>
            </w:r>
            <w:r>
              <w:rPr>
                <w:rFonts w:hint="default" w:ascii="Times New Roman" w:hAnsi="Times New Roman" w:eastAsia="宋体" w:cs="Times New Roman"/>
                <w:bCs/>
                <w:color w:val="auto"/>
                <w:sz w:val="24"/>
              </w:rPr>
              <w:t>L/人•d计</w:t>
            </w:r>
            <w:r>
              <w:rPr>
                <w:rFonts w:hint="default" w:ascii="Times New Roman" w:hAnsi="Times New Roman" w:eastAsia="宋体" w:cs="Times New Roman"/>
                <w:color w:val="auto"/>
                <w:sz w:val="24"/>
                <w:szCs w:val="24"/>
                <w:highlight w:val="none"/>
                <w:lang w:val="en-US" w:eastAsia="zh-CN"/>
              </w:rPr>
              <w:t>，则员工生活用水量为</w:t>
            </w:r>
            <w:r>
              <w:rPr>
                <w:rFonts w:hint="default" w:ascii="Times New Roman" w:hAnsi="Times New Roman" w:cs="Times New Roman"/>
                <w:color w:val="auto"/>
                <w:sz w:val="24"/>
                <w:szCs w:val="24"/>
                <w:highlight w:val="none"/>
                <w:lang w:val="en-US" w:eastAsia="zh-CN"/>
              </w:rPr>
              <w:t>3.83</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/d（</w:t>
            </w:r>
            <w:r>
              <w:rPr>
                <w:rFonts w:hint="default" w:ascii="Times New Roman" w:hAnsi="Times New Roman" w:cs="Times New Roman"/>
                <w:color w:val="auto"/>
                <w:sz w:val="24"/>
                <w:szCs w:val="24"/>
                <w:highlight w:val="none"/>
                <w:lang w:val="en-US" w:eastAsia="zh-CN"/>
              </w:rPr>
              <w:t>1149</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/a），废水产生系数按0.8计算，则废水产生量为</w:t>
            </w:r>
            <w:r>
              <w:rPr>
                <w:rFonts w:hint="default" w:ascii="Times New Roman" w:hAnsi="Times New Roman" w:cs="Times New Roman"/>
                <w:color w:val="auto"/>
                <w:sz w:val="24"/>
                <w:szCs w:val="24"/>
                <w:highlight w:val="none"/>
                <w:lang w:val="en-US" w:eastAsia="zh-CN"/>
              </w:rPr>
              <w:t>3.06</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/d（</w:t>
            </w:r>
            <w:r>
              <w:rPr>
                <w:rFonts w:hint="default" w:ascii="Times New Roman" w:hAnsi="Times New Roman" w:cs="Times New Roman"/>
                <w:color w:val="auto"/>
                <w:sz w:val="24"/>
                <w:szCs w:val="24"/>
                <w:highlight w:val="none"/>
                <w:lang w:val="en-US" w:eastAsia="zh-CN"/>
              </w:rPr>
              <w:t>919.2</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w:t>
            </w:r>
          </w:p>
          <w:p>
            <w:pPr>
              <w:pStyle w:val="2"/>
              <w:numPr>
                <w:ilvl w:val="0"/>
                <w:numId w:val="0"/>
              </w:numPr>
              <w:bidi w:val="0"/>
              <w:ind w:left="240" w:left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（2）排水</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本项目无生产性废水产生，废水主要为初期雨水和生活污水。</w:t>
            </w:r>
          </w:p>
          <w:p>
            <w:pPr>
              <w:pStyle w:val="2"/>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初期雨水：本项目地势东高西低，项目在厂区西北角设置一个800m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的初期雨水池收集全厂区的雨水，初期雨水经沉淀后回用于绿化或洒水抑尘，不排放。</w:t>
            </w:r>
          </w:p>
          <w:p>
            <w:pPr>
              <w:pStyle w:val="2"/>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生活污水：根据计算，项目生活污水产生量为</w:t>
            </w:r>
            <w:r>
              <w:rPr>
                <w:rFonts w:hint="default" w:ascii="Times New Roman" w:hAnsi="Times New Roman" w:cs="Times New Roman"/>
                <w:color w:val="auto"/>
                <w:sz w:val="24"/>
                <w:szCs w:val="24"/>
                <w:highlight w:val="none"/>
                <w:lang w:val="en-US" w:eastAsia="zh-CN"/>
              </w:rPr>
              <w:t>3.01</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/d（</w:t>
            </w:r>
            <w:r>
              <w:rPr>
                <w:rFonts w:hint="default" w:ascii="Times New Roman" w:hAnsi="Times New Roman" w:cs="Times New Roman"/>
                <w:color w:val="auto"/>
                <w:sz w:val="24"/>
                <w:szCs w:val="24"/>
                <w:highlight w:val="none"/>
                <w:lang w:val="en-US" w:eastAsia="zh-CN"/>
              </w:rPr>
              <w:t>919.2</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/a），项目在厂区西南侧设置20m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的化粪池收集生活污水，生活污水经</w:t>
            </w:r>
            <w:r>
              <w:rPr>
                <w:rFonts w:hint="default" w:ascii="Times New Roman" w:hAnsi="Times New Roman" w:cs="Times New Roman"/>
                <w:color w:val="auto"/>
                <w:sz w:val="24"/>
                <w:szCs w:val="24"/>
                <w:highlight w:val="none"/>
                <w:lang w:val="en-US" w:eastAsia="zh-CN"/>
              </w:rPr>
              <w:t>化粪池预</w:t>
            </w:r>
            <w:r>
              <w:rPr>
                <w:rFonts w:hint="default" w:ascii="Times New Roman" w:hAnsi="Times New Roman" w:eastAsia="宋体" w:cs="Times New Roman"/>
                <w:color w:val="auto"/>
                <w:sz w:val="24"/>
                <w:szCs w:val="24"/>
                <w:highlight w:val="none"/>
                <w:lang w:val="en-US" w:eastAsia="zh-CN"/>
              </w:rPr>
              <w:t>处理后排入市政管网进入湘阴县第一污水处理厂进一步处理</w:t>
            </w:r>
            <w:r>
              <w:rPr>
                <w:rFonts w:hint="default" w:ascii="Times New Roman" w:hAnsi="Times New Roman" w:cs="Times New Roman"/>
                <w:color w:val="auto"/>
                <w:lang w:val="en-US" w:eastAsia="zh-CN"/>
              </w:rPr>
              <w:t>。</w:t>
            </w:r>
          </w:p>
          <w:p>
            <w:pPr>
              <w:pStyle w:val="2"/>
              <w:numPr>
                <w:ilvl w:val="0"/>
                <w:numId w:val="0"/>
              </w:numPr>
              <w:bidi w:val="0"/>
              <w:ind w:left="240" w:left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（3）水平衡</w:t>
            </w:r>
          </w:p>
          <w:p>
            <w:pPr>
              <w:spacing w:line="360" w:lineRule="auto"/>
              <w:ind w:firstLine="480" w:firstLineChars="200"/>
              <w:rPr>
                <w:rFonts w:hint="default" w:ascii="Times New Roman" w:hAnsi="Times New Roman" w:cs="Times New Roman"/>
                <w:color w:val="auto"/>
                <w:kern w:val="0"/>
                <w:sz w:val="24"/>
                <w:lang w:val="en-US" w:eastAsia="zh-CN"/>
              </w:rPr>
            </w:pPr>
            <w:r>
              <w:rPr>
                <w:rFonts w:hint="default" w:ascii="Times New Roman" w:hAnsi="Times New Roman" w:cs="Times New Roman"/>
                <w:color w:val="auto"/>
                <w:kern w:val="0"/>
                <w:sz w:val="24"/>
                <w:lang w:val="en-US" w:eastAsia="zh-CN"/>
              </w:rPr>
              <w:t>综上，项目用水和排水情况见表2-5。</w:t>
            </w:r>
          </w:p>
          <w:p>
            <w:pPr>
              <w:bidi w:val="0"/>
              <w:ind w:left="0" w:leftChars="0" w:firstLine="0" w:firstLineChars="0"/>
              <w:jc w:val="center"/>
              <w:rPr>
                <w:rFonts w:hint="default" w:ascii="Times New Roman" w:hAnsi="Times New Roman" w:cs="Times New Roman"/>
                <w:color w:val="auto"/>
                <w:vertAlign w:val="baseline"/>
                <w:lang w:val="en-US" w:eastAsia="zh-CN"/>
              </w:rPr>
            </w:pPr>
            <w:r>
              <w:rPr>
                <w:rFonts w:hint="default" w:ascii="Times New Roman" w:hAnsi="Times New Roman" w:cs="Times New Roman"/>
                <w:color w:val="auto"/>
                <w:lang w:val="en-US" w:eastAsia="zh-CN"/>
              </w:rPr>
              <w:t>表2-5 项目用、排水情况一览表</w:t>
            </w:r>
          </w:p>
          <w:tbl>
            <w:tblPr>
              <w:tblStyle w:val="21"/>
              <w:tblW w:w="83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9"/>
              <w:gridCol w:w="873"/>
              <w:gridCol w:w="1012"/>
              <w:gridCol w:w="895"/>
              <w:gridCol w:w="729"/>
              <w:gridCol w:w="825"/>
              <w:gridCol w:w="647"/>
              <w:gridCol w:w="702"/>
              <w:gridCol w:w="796"/>
              <w:gridCol w:w="689"/>
              <w:gridCol w:w="7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256" w:type="pct"/>
                  <w:vMerge w:val="restar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序号</w:t>
                  </w:r>
                </w:p>
              </w:tc>
              <w:tc>
                <w:tcPr>
                  <w:tcW w:w="521" w:type="pct"/>
                  <w:vMerge w:val="restar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用水</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项目</w:t>
                  </w:r>
                </w:p>
              </w:tc>
              <w:tc>
                <w:tcPr>
                  <w:tcW w:w="604" w:type="pct"/>
                  <w:vMerge w:val="restar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用水标准</w:t>
                  </w:r>
                </w:p>
              </w:tc>
              <w:tc>
                <w:tcPr>
                  <w:tcW w:w="534" w:type="pct"/>
                  <w:vMerge w:val="restar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用水</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规模</w:t>
                  </w:r>
                </w:p>
              </w:tc>
              <w:tc>
                <w:tcPr>
                  <w:tcW w:w="927" w:type="pct"/>
                  <w:gridSpan w:val="2"/>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用水量</w:t>
                  </w:r>
                </w:p>
              </w:tc>
              <w:tc>
                <w:tcPr>
                  <w:tcW w:w="386" w:type="pct"/>
                  <w:vMerge w:val="restar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产污系数</w:t>
                  </w:r>
                </w:p>
              </w:tc>
              <w:tc>
                <w:tcPr>
                  <w:tcW w:w="894" w:type="pct"/>
                  <w:gridSpan w:val="2"/>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损耗量</w:t>
                  </w:r>
                </w:p>
              </w:tc>
              <w:tc>
                <w:tcPr>
                  <w:tcW w:w="875" w:type="pct"/>
                  <w:gridSpan w:val="2"/>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废水</w:t>
                  </w:r>
                  <w:r>
                    <w:rPr>
                      <w:rFonts w:hint="default" w:ascii="Times New Roman" w:hAnsi="Times New Roman" w:cs="Times New Roman"/>
                      <w:color w:val="FF0000"/>
                      <w:sz w:val="21"/>
                      <w:szCs w:val="21"/>
                      <w:lang w:val="en-US" w:eastAsia="zh-CN"/>
                    </w:rPr>
                    <w:t>排放</w:t>
                  </w:r>
                  <w:r>
                    <w:rPr>
                      <w:rFonts w:hint="default" w:ascii="Times New Roman" w:hAnsi="Times New Roman" w:cs="Times New Roman"/>
                      <w:color w:val="FF0000"/>
                      <w:sz w:val="21"/>
                      <w:szCs w:val="21"/>
                    </w:rPr>
                    <w:t>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256" w:type="pct"/>
                  <w:vMerge w:val="continue"/>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p>
              </w:tc>
              <w:tc>
                <w:tcPr>
                  <w:tcW w:w="521" w:type="pct"/>
                  <w:vMerge w:val="continue"/>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p>
              </w:tc>
              <w:tc>
                <w:tcPr>
                  <w:tcW w:w="604" w:type="pct"/>
                  <w:vMerge w:val="continue"/>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p>
              </w:tc>
              <w:tc>
                <w:tcPr>
                  <w:tcW w:w="534" w:type="pct"/>
                  <w:vMerge w:val="continue"/>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p>
              </w:tc>
              <w:tc>
                <w:tcPr>
                  <w:tcW w:w="435"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t/d</w:t>
                  </w:r>
                </w:p>
              </w:tc>
              <w:tc>
                <w:tcPr>
                  <w:tcW w:w="492"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t/a</w:t>
                  </w:r>
                </w:p>
              </w:tc>
              <w:tc>
                <w:tcPr>
                  <w:tcW w:w="386" w:type="pct"/>
                  <w:vMerge w:val="continue"/>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p>
              </w:tc>
              <w:tc>
                <w:tcPr>
                  <w:tcW w:w="41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t/d</w:t>
                  </w:r>
                </w:p>
              </w:tc>
              <w:tc>
                <w:tcPr>
                  <w:tcW w:w="475"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rPr>
                    <w:t>t/a</w:t>
                  </w:r>
                </w:p>
              </w:tc>
              <w:tc>
                <w:tcPr>
                  <w:tcW w:w="411"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t/d</w:t>
                  </w:r>
                </w:p>
              </w:tc>
              <w:tc>
                <w:tcPr>
                  <w:tcW w:w="464"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256"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1</w:t>
                  </w:r>
                </w:p>
              </w:tc>
              <w:tc>
                <w:tcPr>
                  <w:tcW w:w="521"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车辆冲洗水</w:t>
                  </w:r>
                </w:p>
              </w:tc>
              <w:tc>
                <w:tcPr>
                  <w:tcW w:w="604"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0.003</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L/辆</w:t>
                  </w:r>
                </w:p>
              </w:tc>
              <w:tc>
                <w:tcPr>
                  <w:tcW w:w="534"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50辆</w:t>
                  </w:r>
                </w:p>
              </w:tc>
              <w:tc>
                <w:tcPr>
                  <w:tcW w:w="435"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0.15</w:t>
                  </w:r>
                </w:p>
              </w:tc>
              <w:tc>
                <w:tcPr>
                  <w:tcW w:w="492"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45</w:t>
                  </w:r>
                </w:p>
              </w:tc>
              <w:tc>
                <w:tcPr>
                  <w:tcW w:w="386"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0.5</w:t>
                  </w:r>
                </w:p>
              </w:tc>
              <w:tc>
                <w:tcPr>
                  <w:tcW w:w="41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0.075</w:t>
                  </w:r>
                </w:p>
              </w:tc>
              <w:tc>
                <w:tcPr>
                  <w:tcW w:w="475"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22.5</w:t>
                  </w:r>
                </w:p>
              </w:tc>
              <w:tc>
                <w:tcPr>
                  <w:tcW w:w="411"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0</w:t>
                  </w:r>
                </w:p>
              </w:tc>
              <w:tc>
                <w:tcPr>
                  <w:tcW w:w="464"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256"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2</w:t>
                  </w:r>
                </w:p>
              </w:tc>
              <w:tc>
                <w:tcPr>
                  <w:tcW w:w="521"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堆场抑尘用水</w:t>
                  </w:r>
                </w:p>
              </w:tc>
              <w:tc>
                <w:tcPr>
                  <w:tcW w:w="604"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0.05</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lang w:val="en-US" w:eastAsia="zh-CN"/>
                    </w:rPr>
                    <w:t>m</w:t>
                  </w:r>
                  <w:r>
                    <w:rPr>
                      <w:rFonts w:hint="default" w:ascii="Times New Roman" w:hAnsi="Times New Roman" w:cs="Times New Roman"/>
                      <w:color w:val="FF0000"/>
                      <w:sz w:val="21"/>
                      <w:szCs w:val="21"/>
                      <w:vertAlign w:val="superscript"/>
                      <w:lang w:val="en-US" w:eastAsia="zh-CN"/>
                    </w:rPr>
                    <w:t>3</w:t>
                  </w:r>
                  <w:r>
                    <w:rPr>
                      <w:rFonts w:hint="default" w:ascii="Times New Roman" w:hAnsi="Times New Roman" w:cs="Times New Roman"/>
                      <w:color w:val="FF0000"/>
                      <w:sz w:val="21"/>
                      <w:szCs w:val="21"/>
                      <w:vertAlign w:val="baseline"/>
                      <w:lang w:val="en-US" w:eastAsia="zh-CN"/>
                    </w:rPr>
                    <w:t>/</w:t>
                  </w:r>
                  <w:r>
                    <w:rPr>
                      <w:rFonts w:hint="default" w:ascii="Times New Roman" w:hAnsi="Times New Roman" w:eastAsia="宋体" w:cs="Times New Roman"/>
                      <w:bCs/>
                      <w:color w:val="FF0000"/>
                      <w:sz w:val="21"/>
                      <w:szCs w:val="21"/>
                    </w:rPr>
                    <w:t>d</w:t>
                  </w:r>
                </w:p>
              </w:tc>
              <w:tc>
                <w:tcPr>
                  <w:tcW w:w="534"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lang w:val="en-US"/>
                    </w:rPr>
                  </w:pPr>
                  <w:r>
                    <w:rPr>
                      <w:rFonts w:hint="default" w:ascii="Times New Roman" w:hAnsi="Times New Roman" w:cs="Times New Roman"/>
                      <w:bCs/>
                      <w:color w:val="FF0000"/>
                      <w:sz w:val="21"/>
                      <w:szCs w:val="21"/>
                      <w:lang w:val="en-US" w:eastAsia="zh-CN"/>
                    </w:rPr>
                    <w:t>300天</w:t>
                  </w:r>
                </w:p>
              </w:tc>
              <w:tc>
                <w:tcPr>
                  <w:tcW w:w="435"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0.05</w:t>
                  </w:r>
                </w:p>
              </w:tc>
              <w:tc>
                <w:tcPr>
                  <w:tcW w:w="492"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lang w:val="en-US"/>
                    </w:rPr>
                  </w:pPr>
                  <w:r>
                    <w:rPr>
                      <w:rFonts w:hint="default" w:ascii="Times New Roman" w:hAnsi="Times New Roman" w:cs="Times New Roman"/>
                      <w:color w:val="FF0000"/>
                      <w:sz w:val="21"/>
                      <w:szCs w:val="21"/>
                      <w:lang w:val="en-US" w:eastAsia="zh-CN"/>
                    </w:rPr>
                    <w:t>15</w:t>
                  </w:r>
                </w:p>
              </w:tc>
              <w:tc>
                <w:tcPr>
                  <w:tcW w:w="386"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w:t>
                  </w:r>
                </w:p>
              </w:tc>
              <w:tc>
                <w:tcPr>
                  <w:tcW w:w="41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bCs/>
                      <w:color w:val="FF0000"/>
                      <w:sz w:val="21"/>
                      <w:szCs w:val="21"/>
                      <w:lang w:val="en-US" w:eastAsia="zh-CN"/>
                    </w:rPr>
                    <w:t>0.05</w:t>
                  </w:r>
                </w:p>
              </w:tc>
              <w:tc>
                <w:tcPr>
                  <w:tcW w:w="475"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FF0000"/>
                      <w:sz w:val="21"/>
                      <w:szCs w:val="21"/>
                      <w:lang w:val="en-US" w:eastAsia="zh-CN"/>
                    </w:rPr>
                  </w:pPr>
                  <w:r>
                    <w:rPr>
                      <w:rFonts w:hint="default" w:ascii="Times New Roman" w:hAnsi="Times New Roman" w:cs="Times New Roman"/>
                      <w:color w:val="FF0000"/>
                      <w:sz w:val="21"/>
                      <w:szCs w:val="21"/>
                      <w:lang w:val="en-US" w:eastAsia="zh-CN"/>
                    </w:rPr>
                    <w:t>15</w:t>
                  </w:r>
                </w:p>
              </w:tc>
              <w:tc>
                <w:tcPr>
                  <w:tcW w:w="411"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0</w:t>
                  </w:r>
                </w:p>
              </w:tc>
              <w:tc>
                <w:tcPr>
                  <w:tcW w:w="464"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256"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3</w:t>
                  </w:r>
                </w:p>
              </w:tc>
              <w:tc>
                <w:tcPr>
                  <w:tcW w:w="521"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绿化</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用水</w:t>
                  </w:r>
                </w:p>
              </w:tc>
              <w:tc>
                <w:tcPr>
                  <w:tcW w:w="604"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r>
                    <w:rPr>
                      <w:rFonts w:hint="default" w:ascii="Times New Roman" w:hAnsi="Times New Roman" w:eastAsia="宋体" w:cs="Times New Roman"/>
                      <w:color w:val="FF0000"/>
                      <w:sz w:val="21"/>
                      <w:szCs w:val="21"/>
                      <w:highlight w:val="none"/>
                      <w:lang w:val="en-US" w:eastAsia="zh-CN"/>
                    </w:rPr>
                    <w:t>2L/m</w:t>
                  </w:r>
                  <w:r>
                    <w:rPr>
                      <w:rFonts w:hint="default" w:ascii="Times New Roman" w:hAnsi="Times New Roman" w:eastAsia="宋体" w:cs="Times New Roman"/>
                      <w:color w:val="FF0000"/>
                      <w:sz w:val="21"/>
                      <w:szCs w:val="21"/>
                      <w:highlight w:val="none"/>
                      <w:vertAlign w:val="superscript"/>
                      <w:lang w:val="en-US" w:eastAsia="zh-CN"/>
                    </w:rPr>
                    <w:t>2</w:t>
                  </w:r>
                  <w:r>
                    <w:rPr>
                      <w:rFonts w:hint="default" w:ascii="Times New Roman" w:hAnsi="Times New Roman" w:eastAsia="宋体" w:cs="Times New Roman"/>
                      <w:bCs/>
                      <w:color w:val="FF0000"/>
                      <w:sz w:val="21"/>
                      <w:szCs w:val="21"/>
                    </w:rPr>
                    <w:t>•</w:t>
                  </w:r>
                  <w:r>
                    <w:rPr>
                      <w:rFonts w:hint="default" w:ascii="Times New Roman" w:hAnsi="Times New Roman" w:eastAsia="宋体" w:cs="Times New Roman"/>
                      <w:color w:val="FF0000"/>
                      <w:sz w:val="21"/>
                      <w:szCs w:val="21"/>
                      <w:highlight w:val="none"/>
                      <w:vertAlign w:val="baseline"/>
                      <w:lang w:val="en-US" w:eastAsia="zh-CN"/>
                    </w:rPr>
                    <w:t>次</w:t>
                  </w:r>
                </w:p>
              </w:tc>
              <w:tc>
                <w:tcPr>
                  <w:tcW w:w="534"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r>
                    <w:rPr>
                      <w:rFonts w:hint="default" w:ascii="Times New Roman" w:hAnsi="Times New Roman" w:eastAsia="宋体" w:cs="Times New Roman"/>
                      <w:color w:val="FF0000"/>
                      <w:sz w:val="21"/>
                      <w:szCs w:val="21"/>
                      <w:highlight w:val="none"/>
                      <w:lang w:val="en-US" w:eastAsia="zh-CN"/>
                    </w:rPr>
                    <w:t>8854m</w:t>
                  </w:r>
                  <w:r>
                    <w:rPr>
                      <w:rFonts w:hint="default" w:ascii="Times New Roman" w:hAnsi="Times New Roman" w:eastAsia="宋体" w:cs="Times New Roman"/>
                      <w:color w:val="FF0000"/>
                      <w:sz w:val="21"/>
                      <w:szCs w:val="21"/>
                      <w:highlight w:val="none"/>
                      <w:vertAlign w:val="superscript"/>
                      <w:lang w:val="en-US" w:eastAsia="zh-CN"/>
                    </w:rPr>
                    <w:t>2</w:t>
                  </w:r>
                </w:p>
              </w:tc>
              <w:tc>
                <w:tcPr>
                  <w:tcW w:w="435"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5.67</w:t>
                  </w:r>
                </w:p>
              </w:tc>
              <w:tc>
                <w:tcPr>
                  <w:tcW w:w="492"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1700</w:t>
                  </w:r>
                </w:p>
              </w:tc>
              <w:tc>
                <w:tcPr>
                  <w:tcW w:w="386"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w:t>
                  </w:r>
                </w:p>
              </w:tc>
              <w:tc>
                <w:tcPr>
                  <w:tcW w:w="41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5.67</w:t>
                  </w:r>
                </w:p>
              </w:tc>
              <w:tc>
                <w:tcPr>
                  <w:tcW w:w="475"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1700</w:t>
                  </w:r>
                </w:p>
              </w:tc>
              <w:tc>
                <w:tcPr>
                  <w:tcW w:w="411"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0</w:t>
                  </w:r>
                </w:p>
              </w:tc>
              <w:tc>
                <w:tcPr>
                  <w:tcW w:w="464"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256"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4</w:t>
                  </w:r>
                </w:p>
              </w:tc>
              <w:tc>
                <w:tcPr>
                  <w:tcW w:w="521"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生活</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用水</w:t>
                  </w:r>
                </w:p>
              </w:tc>
              <w:tc>
                <w:tcPr>
                  <w:tcW w:w="604"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r>
                    <w:rPr>
                      <w:rFonts w:hint="default" w:ascii="Times New Roman" w:hAnsi="Times New Roman" w:eastAsia="宋体" w:cs="Times New Roman"/>
                      <w:bCs/>
                      <w:color w:val="FF0000"/>
                      <w:sz w:val="21"/>
                      <w:szCs w:val="21"/>
                      <w:lang w:val="en-US" w:eastAsia="zh-CN"/>
                    </w:rPr>
                    <w:t>45</w:t>
                  </w:r>
                  <w:r>
                    <w:rPr>
                      <w:rFonts w:hint="default" w:ascii="Times New Roman" w:hAnsi="Times New Roman" w:eastAsia="宋体" w:cs="Times New Roman"/>
                      <w:bCs/>
                      <w:color w:val="FF0000"/>
                      <w:sz w:val="21"/>
                      <w:szCs w:val="21"/>
                    </w:rPr>
                    <w:t>L/人•d</w:t>
                  </w:r>
                </w:p>
              </w:tc>
              <w:tc>
                <w:tcPr>
                  <w:tcW w:w="534"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85人</w:t>
                  </w:r>
                </w:p>
              </w:tc>
              <w:tc>
                <w:tcPr>
                  <w:tcW w:w="435"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highlight w:val="none"/>
                      <w:lang w:val="en-US" w:eastAsia="zh-CN"/>
                    </w:rPr>
                    <w:t>3.83</w:t>
                  </w:r>
                </w:p>
              </w:tc>
              <w:tc>
                <w:tcPr>
                  <w:tcW w:w="492"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lang w:val="en-US"/>
                    </w:rPr>
                  </w:pPr>
                  <w:r>
                    <w:rPr>
                      <w:rFonts w:hint="default" w:ascii="Times New Roman" w:hAnsi="Times New Roman" w:cs="Times New Roman"/>
                      <w:color w:val="FF0000"/>
                      <w:sz w:val="21"/>
                      <w:szCs w:val="21"/>
                      <w:highlight w:val="none"/>
                      <w:lang w:val="en-US" w:eastAsia="zh-CN"/>
                    </w:rPr>
                    <w:t>1149</w:t>
                  </w:r>
                </w:p>
              </w:tc>
              <w:tc>
                <w:tcPr>
                  <w:tcW w:w="386"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0.8</w:t>
                  </w:r>
                </w:p>
              </w:tc>
              <w:tc>
                <w:tcPr>
                  <w:tcW w:w="41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0.77</w:t>
                  </w:r>
                </w:p>
              </w:tc>
              <w:tc>
                <w:tcPr>
                  <w:tcW w:w="475"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231</w:t>
                  </w:r>
                </w:p>
              </w:tc>
              <w:tc>
                <w:tcPr>
                  <w:tcW w:w="411"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cs="Times New Roman"/>
                      <w:color w:val="FF0000"/>
                      <w:sz w:val="21"/>
                      <w:szCs w:val="21"/>
                      <w:lang w:val="en-US" w:eastAsia="zh-CN"/>
                    </w:rPr>
                    <w:t>3.06</w:t>
                  </w:r>
                </w:p>
              </w:tc>
              <w:tc>
                <w:tcPr>
                  <w:tcW w:w="464"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cs="Times New Roman"/>
                      <w:color w:val="FF0000"/>
                      <w:sz w:val="21"/>
                      <w:szCs w:val="21"/>
                      <w:lang w:val="en-US" w:eastAsia="zh-CN"/>
                    </w:rPr>
                    <w:t>918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1915" w:type="pct"/>
                  <w:gridSpan w:val="4"/>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合计</w:t>
                  </w:r>
                </w:p>
              </w:tc>
              <w:tc>
                <w:tcPr>
                  <w:tcW w:w="435"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9.7</w:t>
                  </w:r>
                </w:p>
              </w:tc>
              <w:tc>
                <w:tcPr>
                  <w:tcW w:w="492"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2907.5</w:t>
                  </w:r>
                </w:p>
              </w:tc>
              <w:tc>
                <w:tcPr>
                  <w:tcW w:w="386"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w:t>
                  </w:r>
                </w:p>
              </w:tc>
              <w:tc>
                <w:tcPr>
                  <w:tcW w:w="41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6.57</w:t>
                  </w:r>
                </w:p>
              </w:tc>
              <w:tc>
                <w:tcPr>
                  <w:tcW w:w="475"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1965.8</w:t>
                  </w:r>
                </w:p>
              </w:tc>
              <w:tc>
                <w:tcPr>
                  <w:tcW w:w="411"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3.06</w:t>
                  </w:r>
                </w:p>
              </w:tc>
              <w:tc>
                <w:tcPr>
                  <w:tcW w:w="464"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cs="Times New Roman"/>
                      <w:color w:val="FF0000"/>
                      <w:sz w:val="21"/>
                      <w:szCs w:val="21"/>
                      <w:lang w:val="en-US" w:eastAsia="zh-CN"/>
                    </w:rPr>
                    <w:t>918</w:t>
                  </w:r>
                </w:p>
              </w:tc>
            </w:tr>
          </w:tbl>
          <w:p>
            <w:pPr>
              <w:bidi w:val="0"/>
              <w:ind w:left="0" w:leftChars="0" w:firstLine="0" w:firstLineChars="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drawing>
                <wp:inline distT="0" distB="0" distL="114300" distR="114300">
                  <wp:extent cx="3990975" cy="2886075"/>
                  <wp:effectExtent l="0" t="0" r="9525" b="9525"/>
                  <wp:docPr id="16" name="图片 1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1"/>
                          <pic:cNvPicPr>
                            <a:picLocks noChangeAspect="1"/>
                          </pic:cNvPicPr>
                        </pic:nvPicPr>
                        <pic:blipFill>
                          <a:blip r:embed="rId13"/>
                          <a:stretch>
                            <a:fillRect/>
                          </a:stretch>
                        </pic:blipFill>
                        <pic:spPr>
                          <a:xfrm>
                            <a:off x="0" y="0"/>
                            <a:ext cx="3990975" cy="2886075"/>
                          </a:xfrm>
                          <a:prstGeom prst="rect">
                            <a:avLst/>
                          </a:prstGeom>
                        </pic:spPr>
                      </pic:pic>
                    </a:graphicData>
                  </a:graphic>
                </wp:inline>
              </w:drawing>
            </w:r>
          </w:p>
          <w:p>
            <w:pPr>
              <w:bidi w:val="0"/>
              <w:ind w:left="0" w:leftChars="0" w:firstLine="0" w:firstLineChars="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图2-1 水平衡图（单位：m</w:t>
            </w:r>
            <w:r>
              <w:rPr>
                <w:rFonts w:hint="default" w:ascii="Times New Roman" w:hAnsi="Times New Roman" w:cs="Times New Roman"/>
                <w:color w:val="FF0000"/>
                <w:vertAlign w:val="superscript"/>
                <w:lang w:val="en-US" w:eastAsia="zh-CN"/>
              </w:rPr>
              <w:t>3</w:t>
            </w:r>
            <w:r>
              <w:rPr>
                <w:rFonts w:hint="default" w:ascii="Times New Roman" w:hAnsi="Times New Roman" w:cs="Times New Roman"/>
                <w:color w:val="FF0000"/>
                <w:lang w:val="en-US" w:eastAsia="zh-CN"/>
              </w:rPr>
              <w:t>/d）</w:t>
            </w:r>
          </w:p>
          <w:p>
            <w:pPr>
              <w:numPr>
                <w:ilvl w:val="0"/>
                <w:numId w:val="3"/>
              </w:numPr>
              <w:bidi w:val="0"/>
              <w:rPr>
                <w:rFonts w:hint="default" w:ascii="Times New Roman" w:hAnsi="Times New Roman" w:cs="Times New Roman"/>
                <w:lang w:val="en-US" w:eastAsia="zh-CN"/>
              </w:rPr>
            </w:pPr>
            <w:r>
              <w:rPr>
                <w:rFonts w:hint="default" w:ascii="Times New Roman" w:hAnsi="Times New Roman" w:cs="Times New Roman"/>
                <w:lang w:val="en-US" w:eastAsia="zh-CN"/>
              </w:rPr>
              <w:t>供电</w:t>
            </w:r>
          </w:p>
          <w:p>
            <w:pPr>
              <w:numPr>
                <w:ilvl w:val="0"/>
                <w:numId w:val="0"/>
              </w:numPr>
              <w:bidi w:val="0"/>
              <w:ind w:firstLine="480" w:firstLineChars="200"/>
              <w:rPr>
                <w:rFonts w:hint="default" w:ascii="Times New Roman" w:hAnsi="Times New Roman" w:cs="Times New Roman"/>
                <w:color w:val="auto"/>
                <w:lang w:val="en-US" w:eastAsia="zh-CN"/>
              </w:rPr>
            </w:pPr>
            <w:r>
              <w:rPr>
                <w:rFonts w:hint="default" w:ascii="Times New Roman" w:hAnsi="Times New Roman" w:cs="Times New Roman"/>
                <w:lang w:val="en-US" w:eastAsia="zh-CN"/>
              </w:rPr>
              <w:t>由市政电网供给，供电电压10kV，在生产厂房北侧设置高压配电装置及计量装置，作为全厂的高压分配中心，采用1路10kV专线因子就近的市政接口，进线容量5250kVA。进线电缆采用YJV-8.7/10kV型高压电缆贯穿埋地引入高压配电装置。项目配备备用柴油发电机。设置常载90kW/备载100KW的柴油发电机房一座， 柴油最大储存量0.1t。</w:t>
            </w:r>
          </w:p>
          <w:p>
            <w:pPr>
              <w:numPr>
                <w:ilvl w:val="0"/>
                <w:numId w:val="0"/>
              </w:numPr>
              <w:bidi w:val="0"/>
              <w:ind w:left="240" w:leftChars="0" w:firstLine="240" w:firstLineChars="10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（5）供热 </w:t>
            </w:r>
          </w:p>
          <w:p>
            <w:pPr>
              <w:pStyle w:val="2"/>
              <w:numPr>
                <w:ilvl w:val="0"/>
                <w:numId w:val="0"/>
              </w:numPr>
              <w:ind w:firstLine="480" w:firstLineChars="200"/>
              <w:rPr>
                <w:rFonts w:hint="default" w:ascii="Times New Roman" w:hAnsi="Times New Roman" w:cs="Times New Roman"/>
                <w:color w:val="auto"/>
              </w:rPr>
            </w:pPr>
            <w:r>
              <w:rPr>
                <w:rFonts w:hint="default" w:ascii="Times New Roman" w:hAnsi="Times New Roman" w:cs="Times New Roman"/>
                <w:color w:val="auto"/>
                <w:lang w:val="en-US" w:eastAsia="zh-CN"/>
              </w:rPr>
              <w:t>本项目制砂车间烘干采用天然气，配备2台型号分别为</w:t>
            </w:r>
            <w:r>
              <w:rPr>
                <w:rFonts w:hint="default" w:ascii="Times New Roman" w:hAnsi="Times New Roman" w:eastAsia="宋体" w:cs="Times New Roman"/>
                <w:i w:val="0"/>
                <w:iCs w:val="0"/>
                <w:color w:val="auto"/>
                <w:kern w:val="0"/>
                <w:sz w:val="24"/>
                <w:szCs w:val="24"/>
                <w:u w:val="none"/>
                <w:lang w:val="en-US" w:eastAsia="zh-CN" w:bidi="ar"/>
              </w:rPr>
              <w:t>¢3.2X7m</w:t>
            </w:r>
            <w:r>
              <w:rPr>
                <w:rFonts w:hint="default" w:ascii="Times New Roman" w:hAnsi="Times New Roman" w:cs="Times New Roman"/>
                <w:i w:val="0"/>
                <w:iCs w:val="0"/>
                <w:color w:val="auto"/>
                <w:kern w:val="0"/>
                <w:sz w:val="24"/>
                <w:szCs w:val="24"/>
                <w:u w:val="none"/>
                <w:lang w:val="en-US" w:eastAsia="zh-CN" w:bidi="ar"/>
              </w:rPr>
              <w:t>、</w:t>
            </w:r>
            <w:r>
              <w:rPr>
                <w:rFonts w:hint="default" w:ascii="Times New Roman" w:hAnsi="Times New Roman" w:eastAsia="宋体" w:cs="Times New Roman"/>
                <w:i w:val="0"/>
                <w:iCs w:val="0"/>
                <w:color w:val="auto"/>
                <w:kern w:val="0"/>
                <w:sz w:val="24"/>
                <w:szCs w:val="24"/>
                <w:u w:val="none"/>
                <w:lang w:val="en-US" w:eastAsia="zh-CN" w:bidi="ar"/>
              </w:rPr>
              <w:t>ZKZRSH3270</w:t>
            </w:r>
            <w:r>
              <w:rPr>
                <w:rFonts w:hint="default" w:ascii="Times New Roman" w:hAnsi="Times New Roman" w:cs="Times New Roman"/>
                <w:i w:val="0"/>
                <w:iCs w:val="0"/>
                <w:color w:val="auto"/>
                <w:kern w:val="0"/>
                <w:sz w:val="24"/>
                <w:szCs w:val="24"/>
                <w:u w:val="none"/>
                <w:lang w:val="en-US" w:eastAsia="zh-CN" w:bidi="ar"/>
              </w:rPr>
              <w:t>的</w:t>
            </w:r>
            <w:r>
              <w:rPr>
                <w:rFonts w:hint="default" w:ascii="Times New Roman" w:hAnsi="Times New Roman" w:cs="Times New Roman"/>
                <w:color w:val="auto"/>
                <w:lang w:val="en-US" w:eastAsia="zh-CN"/>
              </w:rPr>
              <w:t>烘干筒，采用直接加热的方式对河沙及鹅卵石进行烘干。天然气</w:t>
            </w:r>
            <w:r>
              <w:rPr>
                <w:rFonts w:hint="default" w:ascii="Times New Roman" w:hAnsi="Times New Roman" w:cs="Times New Roman"/>
                <w:color w:val="auto"/>
              </w:rPr>
              <w:t>由湘杨路市政中压干管供应，在厂区西北南侧设调压柜，供气压力为0.2~0.4MPa，热值为33.4MJ/Nm</w:t>
            </w:r>
            <w:r>
              <w:rPr>
                <w:rFonts w:hint="default" w:ascii="Times New Roman" w:hAnsi="Times New Roman" w:cs="Times New Roman"/>
                <w:color w:val="auto"/>
                <w:vertAlign w:val="superscript"/>
              </w:rPr>
              <w:t>3</w:t>
            </w:r>
            <w:r>
              <w:rPr>
                <w:rFonts w:hint="default" w:ascii="Times New Roman" w:hAnsi="Times New Roman" w:cs="Times New Roman"/>
                <w:color w:val="auto"/>
              </w:rPr>
              <w:t>（8000kcal/Nm</w:t>
            </w:r>
            <w:r>
              <w:rPr>
                <w:rFonts w:hint="default" w:ascii="Times New Roman" w:hAnsi="Times New Roman" w:cs="Times New Roman"/>
                <w:color w:val="auto"/>
                <w:vertAlign w:val="superscript"/>
              </w:rPr>
              <w:t>3</w:t>
            </w:r>
            <w:r>
              <w:rPr>
                <w:rFonts w:hint="default" w:ascii="Times New Roman" w:hAnsi="Times New Roman" w:cs="Times New Roman"/>
                <w:color w:val="auto"/>
              </w:rPr>
              <w:t>），经厂区管道送至制砂车间。</w:t>
            </w:r>
          </w:p>
          <w:p>
            <w:pPr>
              <w:pStyle w:val="2"/>
              <w:numPr>
                <w:ilvl w:val="0"/>
                <w:numId w:val="0"/>
              </w:numPr>
              <w:ind w:firstLine="480" w:firstLineChars="200"/>
              <w:rPr>
                <w:rFonts w:hint="default" w:ascii="Times New Roman" w:hAnsi="Times New Roman" w:eastAsia="宋体" w:cs="Times New Roman"/>
                <w:color w:val="FF0000"/>
                <w:lang w:val="en-US" w:eastAsia="zh-CN"/>
              </w:rPr>
            </w:pPr>
            <w:r>
              <w:rPr>
                <w:rFonts w:hint="default" w:ascii="Times New Roman" w:hAnsi="Times New Roman" w:cs="Times New Roman"/>
                <w:color w:val="FF0000"/>
                <w:lang w:val="en-US" w:eastAsia="zh-CN"/>
              </w:rPr>
              <w:t>根据与企业沟通得知，天然气公司目前已同意场地天燃气管道接入，能够保证本项目天燃气的供应。同时根据高新区规划，该区域规划接入天然气管道。因此本项目天然气能源供应能满足本项目需求。</w:t>
            </w:r>
          </w:p>
          <w:p>
            <w:pPr>
              <w:bidi w:val="0"/>
              <w:rPr>
                <w:rFonts w:hint="default" w:ascii="Times New Roman" w:hAnsi="Times New Roman" w:cs="Times New Roman"/>
                <w:color w:val="auto"/>
              </w:rPr>
            </w:pPr>
            <w:r>
              <w:rPr>
                <w:rFonts w:hint="default" w:ascii="Times New Roman" w:hAnsi="Times New Roman" w:cs="Times New Roman"/>
                <w:color w:val="auto"/>
                <w:lang w:val="en-US" w:eastAsia="zh-CN"/>
              </w:rPr>
              <w:t xml:space="preserve">（6）原料及产品储存及输送设计 </w:t>
            </w:r>
          </w:p>
          <w:p>
            <w:pPr>
              <w:bidi w:val="0"/>
              <w:rPr>
                <w:rFonts w:hint="default" w:ascii="Times New Roman" w:hAnsi="Times New Roman" w:cs="Times New Roman"/>
                <w:color w:val="auto"/>
                <w:vertAlign w:val="baseline"/>
                <w:lang w:val="en-US" w:eastAsia="zh-CN"/>
              </w:rPr>
            </w:pPr>
            <w:r>
              <w:rPr>
                <w:rFonts w:hint="default" w:ascii="Times New Roman" w:hAnsi="Times New Roman" w:cs="Times New Roman"/>
                <w:color w:val="auto"/>
                <w:vertAlign w:val="baseline"/>
                <w:lang w:val="en-US" w:eastAsia="zh-CN"/>
              </w:rPr>
              <w:t>本项目原料河沙、鹅卵石及石灰石来源于湘阴县湘江流域，依托湘江航运运输，经建华管桩码头上岸，自建华管桩码头采用封闭式皮带输送运输至本项目原料堆场，运输距离较短，运输路线无居民点，对周边环境影响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4" w:hRule="atLeast"/>
          <w:jc w:val="center"/>
        </w:trPr>
        <w:tc>
          <w:tcPr>
            <w:tcW w:w="763"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工艺流程和产排污环节</w:t>
            </w:r>
          </w:p>
        </w:tc>
        <w:tc>
          <w:tcPr>
            <w:tcW w:w="8504" w:type="dxa"/>
            <w:vAlign w:val="top"/>
          </w:tcPr>
          <w:p>
            <w:pPr>
              <w:bidi w:val="0"/>
              <w:ind w:left="0" w:leftChars="0" w:firstLine="0" w:firstLineChars="0"/>
              <w:rPr>
                <w:rFonts w:hint="default" w:ascii="Times New Roman" w:hAnsi="Times New Roman" w:cs="Times New Roman"/>
                <w:color w:val="auto"/>
                <w:lang w:val="en-US" w:eastAsia="zh-CN"/>
              </w:rPr>
            </w:pPr>
            <w:r>
              <w:rPr>
                <w:rFonts w:hint="default" w:ascii="Times New Roman" w:hAnsi="Times New Roman" w:eastAsia="黑体" w:cs="Times New Roman"/>
                <w:color w:val="auto"/>
                <w:lang w:val="en-US" w:eastAsia="zh-CN"/>
              </w:rPr>
              <w:t>2.3 施工期工艺流程及产排污环节</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本项目为新建项目，施工期工艺流程如图2-2所示。</w:t>
            </w:r>
          </w:p>
          <w:p>
            <w:pPr>
              <w:bidi w:val="0"/>
              <w:ind w:left="0" w:leftChars="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object>
                <v:shape id="_x0000_i1025" o:spt="75" type="#_x0000_t75" style="height:120.1pt;width:420.85pt;" o:ole="t" filled="f" o:preferrelative="t" stroked="f" coordsize="21600,21600">
                  <v:path/>
                  <v:fill on="f" focussize="0,0"/>
                  <v:stroke on="f"/>
                  <v:imagedata r:id="rId15" o:title=""/>
                  <o:lock v:ext="edit" aspectratio="t"/>
                  <w10:wrap type="none"/>
                  <w10:anchorlock/>
                </v:shape>
                <o:OLEObject Type="Embed" ProgID="Visio.Drawing.11" ShapeID="_x0000_i1025" DrawAspect="Content" ObjectID="_1468075725" r:id="rId14">
                  <o:LockedField>false</o:LockedField>
                </o:OLEObject>
              </w:object>
            </w:r>
            <w:r>
              <w:rPr>
                <w:rFonts w:hint="default" w:ascii="Times New Roman" w:hAnsi="Times New Roman" w:cs="Times New Roman"/>
                <w:color w:val="auto"/>
                <w:lang w:val="en-US" w:eastAsia="zh-CN"/>
              </w:rPr>
              <w:t>图2-2 施工期工艺流程及产污节点图</w:t>
            </w:r>
          </w:p>
          <w:p>
            <w:pPr>
              <w:bidi w:val="0"/>
              <w:ind w:left="0" w:leftChars="0" w:firstLine="0" w:firstLineChars="0"/>
              <w:rPr>
                <w:rFonts w:hint="default" w:ascii="Times New Roman" w:hAnsi="Times New Roman" w:eastAsia="黑体" w:cs="Times New Roman"/>
                <w:color w:val="auto"/>
                <w:lang w:val="en-US" w:eastAsia="zh-CN"/>
              </w:rPr>
            </w:pPr>
            <w:r>
              <w:rPr>
                <w:rFonts w:hint="default" w:ascii="Times New Roman" w:hAnsi="Times New Roman" w:cs="Times New Roman"/>
                <w:color w:val="auto"/>
                <w:lang w:val="en-US" w:eastAsia="zh-CN"/>
              </w:rPr>
              <w:t xml:space="preserve">2.4 </w:t>
            </w:r>
            <w:r>
              <w:rPr>
                <w:rFonts w:hint="default" w:ascii="Times New Roman" w:hAnsi="Times New Roman" w:eastAsia="黑体" w:cs="Times New Roman"/>
                <w:color w:val="auto"/>
                <w:lang w:val="en-US" w:eastAsia="zh-CN"/>
              </w:rPr>
              <w:t>营运期工艺流程及产排污环节</w:t>
            </w:r>
          </w:p>
          <w:p>
            <w:pPr>
              <w:pStyle w:val="2"/>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生产系统分为原料生产系统和干粉砂浆生产系统。原料生产系统包含鹅卵石/河沙制砂线和石灰石制砂线，主要产品为河砂、鹅卵石机制砂和石灰石机制砂。干粉砂浆系统包含普通干粉砂浆线和特种干粉砂浆线，主要产品为普通干粉砂浆、特种干粉砂浆和彩色干粉砂浆。以下按不同产品类别分别说明各类工艺流程及产排污环节内容如下：</w:t>
            </w:r>
          </w:p>
          <w:p>
            <w:pPr>
              <w:pStyle w:val="2"/>
              <w:numPr>
                <w:ilvl w:val="0"/>
                <w:numId w:val="4"/>
              </w:numPr>
              <w:bidi w:val="0"/>
              <w:ind w:left="-566" w:leftChars="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河砂烘干线</w:t>
            </w:r>
          </w:p>
          <w:p>
            <w:pPr>
              <w:pStyle w:val="2"/>
              <w:numPr>
                <w:ilvl w:val="0"/>
                <w:numId w:val="0"/>
              </w:numPr>
              <w:bidi w:val="0"/>
              <w:ind w:firstLine="480" w:firstLineChars="20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河砂烘干线原料为外购河砂，河砂烘干线生产工艺及产污节点见图2-2。</w:t>
            </w:r>
          </w:p>
          <w:p>
            <w:pPr>
              <w:pStyle w:val="2"/>
              <w:numPr>
                <w:ilvl w:val="0"/>
                <w:numId w:val="0"/>
              </w:numPr>
              <w:bidi w:val="0"/>
              <w:ind w:left="480" w:left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object>
                <v:shape id="_x0000_i1026" o:spt="75" type="#_x0000_t75" style="height:206.65pt;width:256.75pt;" o:ole="t" filled="f" o:preferrelative="t" stroked="f" coordsize="21600,21600">
                  <v:path/>
                  <v:fill on="f" focussize="0,0"/>
                  <v:stroke on="f"/>
                  <v:imagedata r:id="rId17" o:title=""/>
                  <o:lock v:ext="edit" aspectratio="f"/>
                  <w10:wrap type="none"/>
                  <w10:anchorlock/>
                </v:shape>
                <o:OLEObject Type="Embed" ProgID="Visio.Drawing.11" ShapeID="_x0000_i1026" DrawAspect="Content" ObjectID="_1468075726" r:id="rId16">
                  <o:LockedField>false</o:LockedField>
                </o:OLEObject>
              </w:object>
            </w:r>
          </w:p>
          <w:p>
            <w:pPr>
              <w:pStyle w:val="2"/>
              <w:numPr>
                <w:ilvl w:val="0"/>
                <w:numId w:val="0"/>
              </w:numPr>
              <w:bidi w:val="0"/>
              <w:ind w:left="480" w:left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图2-3 河砂烘干线工艺流程</w:t>
            </w:r>
          </w:p>
          <w:p>
            <w:pPr>
              <w:pStyle w:val="2"/>
              <w:numPr>
                <w:ilvl w:val="0"/>
                <w:numId w:val="0"/>
              </w:numPr>
              <w:bidi w:val="0"/>
              <w:ind w:firstLine="480" w:firstLineChars="20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来料进入堆场堆存，通过皮带输送机输送至烘干筒进行烘干，烘干采用天然气作为能源。天然气采用高效燃烧器，产生的热能进入烘干筒与河砂直接接触，烘干废气排入除尘器处理后排放。烘干后的河砂进入筛分机进行筛分，粒径小于2.36mm的进入河砂筒仓内储存作为干粉砂浆的原料，粒径大于2.36mm的进入鹅卵石制砂线进行破碎。</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河砂烘干线生产过程中产生的污染物主要为河砂提升输送过程产生的粉尘、烘干过程产生的天然气燃烧废气和粉尘、筛分粉尘以及筒仓呼吸口粉尘以及机械设备噪声。</w:t>
            </w:r>
          </w:p>
          <w:p>
            <w:pPr>
              <w:pStyle w:val="2"/>
              <w:numPr>
                <w:ilvl w:val="0"/>
                <w:numId w:val="4"/>
              </w:numPr>
              <w:bidi w:val="0"/>
              <w:ind w:left="-566" w:leftChars="0" w:firstLineChars="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鹅卵石制砂线</w:t>
            </w:r>
          </w:p>
          <w:p>
            <w:pPr>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原料为鹅卵石，采用干法制砂工艺，不进行洗沙。</w:t>
            </w:r>
          </w:p>
          <w:p>
            <w:pPr>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①来料储存：鹅卵石通过汽车运输至堆场，</w:t>
            </w:r>
            <w:r>
              <w:rPr>
                <w:rFonts w:hint="default" w:ascii="Times New Roman" w:hAnsi="Times New Roman" w:cs="Times New Roman"/>
                <w:color w:val="FF0000"/>
                <w:lang w:eastAsia="zh-CN"/>
              </w:rPr>
              <w:t>每种原料分开存放，中间加设</w:t>
            </w:r>
            <w:r>
              <w:rPr>
                <w:rFonts w:hint="default" w:ascii="Times New Roman" w:hAnsi="Times New Roman" w:cs="Times New Roman"/>
                <w:color w:val="FF0000"/>
                <w:lang w:val="en-US" w:eastAsia="zh-CN"/>
              </w:rPr>
              <w:t>4m高挡墙</w:t>
            </w:r>
            <w:r>
              <w:rPr>
                <w:rFonts w:hint="default" w:ascii="Times New Roman" w:hAnsi="Times New Roman" w:cs="Times New Roman"/>
                <w:color w:val="FF0000"/>
              </w:rPr>
              <w:t>。</w:t>
            </w:r>
            <w:r>
              <w:rPr>
                <w:rFonts w:hint="default" w:ascii="Times New Roman" w:hAnsi="Times New Roman" w:cs="Times New Roman"/>
                <w:color w:val="FF0000"/>
                <w:lang w:eastAsia="zh-CN"/>
              </w:rPr>
              <w:t>原料卸料</w:t>
            </w:r>
            <w:r>
              <w:rPr>
                <w:rFonts w:hint="default" w:ascii="Times New Roman" w:hAnsi="Times New Roman" w:cs="Times New Roman"/>
                <w:color w:val="FF0000"/>
                <w:lang w:val="en-US" w:eastAsia="zh-CN"/>
              </w:rPr>
              <w:t>和给料</w:t>
            </w:r>
            <w:r>
              <w:rPr>
                <w:rFonts w:hint="default" w:ascii="Times New Roman" w:hAnsi="Times New Roman" w:cs="Times New Roman"/>
                <w:color w:val="FF0000"/>
                <w:lang w:eastAsia="zh-CN"/>
              </w:rPr>
              <w:t>过程中会产生粉尘。</w:t>
            </w:r>
          </w:p>
          <w:p>
            <w:pPr>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②烘干：通过给料机输送至烘干筒进行烘干。烘干采用天然气作为能源。天然气采用高效燃烧器，产生的热能进入烘干筒与机制砂直接接触，烘干废气排入除尘器处理后排放。烘干过程产生天然气燃烧废气和粉尘。</w:t>
            </w:r>
          </w:p>
          <w:p>
            <w:pPr>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③破碎和磨粉：经过烘干的鹅卵石进行筛分，粒径较大的进入圆锥破进行破碎，破碎后的粒径小于100mm物料的进入球磨机进一步进行磨粉，粒径大于100mm的物料返回圆锥破进行二次破碎。经过球磨的物料进入风选箱进行筛分。此过程主要为破碎、筛分等过程产生的粉尘和机械设备噪声。</w:t>
            </w:r>
          </w:p>
          <w:p>
            <w:pPr>
              <w:bidi w:val="0"/>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④风选筛分：采用提升机将机制砂提升至风选系统进行筛分，粒径小于0.12mm的石粉在风里作用下进入沉降室，经过沉降得到石粉，粒径大于0.12mm的小粒径的砂子进入筛分机进一步筛分，粒径小于2.36mm的机制砂进入机制砂筒仓中储存，大粒径的鹅卵石进入破碎工序再次破碎。此过程污染物主要为筛分产生的粉尘和机械设备噪声。</w:t>
            </w:r>
          </w:p>
          <w:p>
            <w:pPr>
              <w:pStyle w:val="2"/>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⑤储存：机制砂和石粉分别进入不同的筒仓暂存用作干粉砂浆原料。</w:t>
            </w:r>
          </w:p>
          <w:p>
            <w:pPr>
              <w:pStyle w:val="2"/>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鹅卵石机制砂产品主要为粒径为0~0.6mm的石粉以及0.6~2.36mm的机制砂，石粉和机制砂均用于干粉砂浆的原料。</w:t>
            </w:r>
          </w:p>
          <w:p>
            <w:pPr>
              <w:pStyle w:val="32"/>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drawing>
                <wp:inline distT="0" distB="0" distL="114300" distR="114300">
                  <wp:extent cx="4391025" cy="5162550"/>
                  <wp:effectExtent l="0" t="0" r="9525" b="0"/>
                  <wp:docPr id="49" name="图片 49"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图片2"/>
                          <pic:cNvPicPr>
                            <a:picLocks noChangeAspect="1"/>
                          </pic:cNvPicPr>
                        </pic:nvPicPr>
                        <pic:blipFill>
                          <a:blip r:embed="rId18"/>
                          <a:stretch>
                            <a:fillRect/>
                          </a:stretch>
                        </pic:blipFill>
                        <pic:spPr>
                          <a:xfrm>
                            <a:off x="0" y="0"/>
                            <a:ext cx="4391025" cy="5162550"/>
                          </a:xfrm>
                          <a:prstGeom prst="rect">
                            <a:avLst/>
                          </a:prstGeom>
                        </pic:spPr>
                      </pic:pic>
                    </a:graphicData>
                  </a:graphic>
                </wp:inline>
              </w:drawing>
            </w:r>
          </w:p>
          <w:p>
            <w:pPr>
              <w:pStyle w:val="32"/>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图2-4 鹅卵石机制砂生产工艺流程及产排污节点图</w:t>
            </w:r>
          </w:p>
          <w:p>
            <w:pPr>
              <w:pStyle w:val="32"/>
              <w:keepNext w:val="0"/>
              <w:keepLines w:val="0"/>
              <w:pageBreakBefore w:val="0"/>
              <w:widowControl w:val="0"/>
              <w:numPr>
                <w:ilvl w:val="0"/>
                <w:numId w:val="4"/>
              </w:numPr>
              <w:kinsoku/>
              <w:wordWrap/>
              <w:overflowPunct/>
              <w:topLinePunct w:val="0"/>
              <w:autoSpaceDE/>
              <w:autoSpaceDN/>
              <w:bidi w:val="0"/>
              <w:adjustRightInd w:val="0"/>
              <w:snapToGrid w:val="0"/>
              <w:ind w:left="-566" w:leftChars="0" w:firstLine="1046" w:firstLineChars="0"/>
              <w:jc w:val="both"/>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石灰石制砂生产工艺</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外购石灰石入库，通过皮带输送机将石灰石送入制砂机，经过破碎的石灰石通过上料斗提升机提升至风选箱进行风选，粒径0~0.6mm的粉尘进入沉降室，粒径大于0.6mm的颗粒物进入筛分机进行筛选，大于2.36的颗粒物返回至制砂主机进行二次破碎，小于2.36mm的颗粒物通过干砂输送螺旋进入储罐待用。风选过程中，粒径大于0.12mm的粉尘进入沉降室，沉降下来的粉尘进入干砂输送机后进入储罐，粒径0~0.12mm的石粉进入粉仓待用。石灰石制砂生产工艺见图2-5。</w:t>
            </w:r>
          </w:p>
          <w:p>
            <w:pPr>
              <w:ind w:left="0" w:leftChars="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4695825" cy="5086350"/>
                  <wp:effectExtent l="0" t="0" r="9525" b="0"/>
                  <wp:docPr id="112" name="图片 112"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图片3"/>
                          <pic:cNvPicPr>
                            <a:picLocks noChangeAspect="1"/>
                          </pic:cNvPicPr>
                        </pic:nvPicPr>
                        <pic:blipFill>
                          <a:blip r:embed="rId19"/>
                          <a:stretch>
                            <a:fillRect/>
                          </a:stretch>
                        </pic:blipFill>
                        <pic:spPr>
                          <a:xfrm>
                            <a:off x="0" y="0"/>
                            <a:ext cx="4695825" cy="5086350"/>
                          </a:xfrm>
                          <a:prstGeom prst="rect">
                            <a:avLst/>
                          </a:prstGeom>
                        </pic:spPr>
                      </pic:pic>
                    </a:graphicData>
                  </a:graphic>
                </wp:inline>
              </w:drawing>
            </w:r>
          </w:p>
          <w:p>
            <w:pPr>
              <w:pStyle w:val="32"/>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图2-5 石灰石机制砂生产工艺流程及产排污节点图</w:t>
            </w:r>
          </w:p>
          <w:p>
            <w:pPr>
              <w:pStyle w:val="2"/>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（4）干粉砂浆生产工艺</w:t>
            </w:r>
          </w:p>
          <w:p>
            <w:pPr>
              <w:pStyle w:val="2"/>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本项目普通砂浆、彩色砂浆、特种砂浆生产工艺一致，仅原料配比和种类不同，特种砂浆还需加入石粉、胶粉、无机颜料等</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本报告以普通砂浆为例，对干粉砂浆生产工艺介绍如下：</w:t>
            </w:r>
          </w:p>
          <w:p>
            <w:pPr>
              <w:bidi w:val="0"/>
              <w:ind w:left="0" w:leftChars="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object>
                <v:shape id="_x0000_i1027" o:spt="75" type="#_x0000_t75" style="height:281.9pt;width:316.45pt;" o:ole="t" filled="f" o:preferrelative="t" stroked="f" coordsize="21600,21600">
                  <v:path/>
                  <v:fill on="f" focussize="0,0"/>
                  <v:stroke on="f"/>
                  <v:imagedata r:id="rId21" cropleft="-4479f" o:title=""/>
                  <o:lock v:ext="edit" aspectratio="f"/>
                  <w10:wrap type="none"/>
                  <w10:anchorlock/>
                </v:shape>
                <o:OLEObject Type="Embed" ProgID="Visio.Drawing.11" ShapeID="_x0000_i1027" DrawAspect="Content" ObjectID="_1468075727" r:id="rId20">
                  <o:LockedField>false</o:LockedField>
                </o:OLEObject>
              </w:object>
            </w:r>
          </w:p>
          <w:p>
            <w:pPr>
              <w:bidi w:val="0"/>
              <w:ind w:left="0" w:leftChars="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图2-6 普通干粉砂浆生产工艺流程及产污节点图</w:t>
            </w:r>
          </w:p>
          <w:p>
            <w:pPr>
              <w:pStyle w:val="2"/>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工艺流程简述：</w:t>
            </w:r>
          </w:p>
          <w:p>
            <w:pPr>
              <w:pStyle w:val="2"/>
              <w:bidi w:val="0"/>
              <w:rPr>
                <w:rFonts w:hint="default" w:ascii="Times New Roman" w:hAnsi="Times New Roman" w:eastAsia="宋体" w:cs="Times New Roman"/>
                <w:color w:val="auto"/>
                <w:lang w:eastAsia="zh-CN"/>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1</w:t>
            </w:r>
            <w:r>
              <w:rPr>
                <w:rFonts w:hint="default" w:ascii="Times New Roman" w:hAnsi="Times New Roman" w:cs="Times New Roman"/>
                <w:color w:val="auto"/>
                <w:lang w:eastAsia="zh-CN"/>
              </w:rPr>
              <w:t>）原料</w:t>
            </w:r>
            <w:r>
              <w:rPr>
                <w:rFonts w:hint="default" w:ascii="Times New Roman" w:hAnsi="Times New Roman" w:cs="Times New Roman"/>
                <w:color w:val="auto"/>
                <w:lang w:val="en-US" w:eastAsia="zh-CN"/>
              </w:rPr>
              <w:t>输送和计量配料</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筒仓内的原料通过传送带输送到混合主楼骨料计量系统暂存，生产过程由电脑控制，按照设计要求对原材料进行正确称量。其中，粉料等通过密闭式螺旋输送机输送到粉料计量系统；外加剂通过专用泵加入外加剂计量系统。然后将配比好的物料投加到混合机。</w:t>
            </w:r>
          </w:p>
          <w:p>
            <w:pPr>
              <w:pStyle w:val="2"/>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2</w:t>
            </w:r>
            <w:r>
              <w:rPr>
                <w:rFonts w:hint="default" w:ascii="Times New Roman" w:hAnsi="Times New Roman" w:cs="Times New Roman"/>
                <w:color w:val="auto"/>
                <w:lang w:eastAsia="zh-CN"/>
              </w:rPr>
              <w:t>）混合搅拌：当配比重量达到配料要求时，由自控系统关闭计量称进料阀，停止进料，管道中的配料回流至储罐。计量好的配料按自动控制指令放入混合机内，在各种物料计量后，即可进行料浆搅拌。</w:t>
            </w:r>
          </w:p>
          <w:p>
            <w:pPr>
              <w:pStyle w:val="2"/>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3</w:t>
            </w:r>
            <w:r>
              <w:rPr>
                <w:rFonts w:hint="default" w:ascii="Times New Roman" w:hAnsi="Times New Roman" w:cs="Times New Roman"/>
                <w:color w:val="auto"/>
                <w:lang w:eastAsia="zh-CN"/>
              </w:rPr>
              <w:t>）包装：需要包装的砂浆</w:t>
            </w:r>
            <w:r>
              <w:rPr>
                <w:rFonts w:hint="default" w:ascii="Times New Roman" w:hAnsi="Times New Roman" w:cs="Times New Roman"/>
                <w:color w:val="auto"/>
                <w:lang w:val="en-US" w:eastAsia="zh-CN"/>
              </w:rPr>
              <w:t>进入包装线，</w:t>
            </w:r>
            <w:r>
              <w:rPr>
                <w:rFonts w:hint="default" w:ascii="Times New Roman" w:hAnsi="Times New Roman" w:cs="Times New Roman"/>
                <w:color w:val="auto"/>
                <w:lang w:eastAsia="zh-CN"/>
              </w:rPr>
              <w:t>通过启动快开门，迅速放到成品料仓进行缓冲、储存，然后通过软连接进入包装机计量、打包。</w:t>
            </w:r>
          </w:p>
          <w:p>
            <w:pPr>
              <w:pStyle w:val="2"/>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4</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外包装袋喷码：产品采用外包装袋进行包装，采用喷码机进行喷码。喷码油墨采用水性油墨，此过程将产生少量有机废气</w:t>
            </w:r>
            <w:r>
              <w:rPr>
                <w:rFonts w:hint="default" w:ascii="Times New Roman" w:hAnsi="Times New Roman" w:cs="Times New Roman"/>
                <w:color w:val="auto"/>
                <w:lang w:eastAsia="zh-CN"/>
              </w:rPr>
              <w:t>。</w:t>
            </w:r>
          </w:p>
          <w:p>
            <w:pPr>
              <w:pStyle w:val="2"/>
              <w:bidi w:val="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干粉砂浆生产过程中污染物主要为输送、混合、包装等过程产生的粉尘、喷码产生的有机废气、机械设备噪声、检验产生的不合格产品以及原料废包装袋等</w:t>
            </w:r>
            <w:r>
              <w:rPr>
                <w:rFonts w:hint="default" w:ascii="Times New Roman" w:hAnsi="Times New Roman" w:cs="Times New Roman"/>
                <w:color w:val="auto"/>
                <w:lang w:eastAsia="zh-CN"/>
              </w:rPr>
              <w:t>。</w:t>
            </w:r>
          </w:p>
          <w:p>
            <w:pPr>
              <w:widowControl w:val="0"/>
              <w:bidi w:val="0"/>
              <w:snapToGrid/>
              <w:spacing w:after="0" w:afterAutospacing="0" w:line="360" w:lineRule="auto"/>
              <w:ind w:firstLine="0" w:firstLineChars="0"/>
              <w:jc w:val="center"/>
              <w:rPr>
                <w:rFonts w:hint="default" w:ascii="Times New Roman" w:hAnsi="Times New Roman" w:eastAsia="宋体" w:cs="Times New Roman"/>
                <w:bCs/>
                <w:color w:val="auto"/>
                <w:kern w:val="2"/>
                <w:sz w:val="24"/>
                <w:szCs w:val="24"/>
                <w:u w:val="none"/>
                <w:lang w:val="en-US" w:eastAsia="zh-CN" w:bidi="ar-SA"/>
              </w:rPr>
            </w:pPr>
          </w:p>
          <w:p>
            <w:pPr>
              <w:widowControl w:val="0"/>
              <w:bidi w:val="0"/>
              <w:snapToGrid/>
              <w:spacing w:after="0" w:afterAutospacing="0" w:line="360" w:lineRule="auto"/>
              <w:ind w:firstLine="0" w:firstLineChars="0"/>
              <w:jc w:val="center"/>
              <w:rPr>
                <w:rFonts w:hint="default" w:ascii="Times New Roman" w:hAnsi="Times New Roman" w:eastAsia="宋体" w:cs="Times New Roman"/>
                <w:bCs/>
                <w:color w:val="auto"/>
                <w:kern w:val="2"/>
                <w:sz w:val="24"/>
                <w:szCs w:val="24"/>
                <w:u w:val="none"/>
                <w:lang w:val="en-US" w:eastAsia="zh-CN" w:bidi="ar-SA"/>
              </w:rPr>
            </w:pPr>
          </w:p>
          <w:p>
            <w:pPr>
              <w:widowControl w:val="0"/>
              <w:bidi w:val="0"/>
              <w:snapToGrid/>
              <w:spacing w:after="0" w:afterAutospacing="0" w:line="360" w:lineRule="auto"/>
              <w:ind w:firstLine="0" w:firstLineChars="0"/>
              <w:jc w:val="center"/>
              <w:rPr>
                <w:rFonts w:hint="default" w:ascii="Times New Roman" w:hAnsi="Times New Roman" w:eastAsia="宋体" w:cs="Times New Roman"/>
                <w:bCs/>
                <w:color w:val="auto"/>
                <w:kern w:val="2"/>
                <w:sz w:val="24"/>
                <w:szCs w:val="24"/>
                <w:u w:val="none"/>
                <w:lang w:val="en-US" w:eastAsia="zh-CN" w:bidi="ar-SA"/>
              </w:rPr>
            </w:pPr>
            <w:r>
              <w:rPr>
                <w:rFonts w:hint="default" w:ascii="Times New Roman" w:hAnsi="Times New Roman" w:eastAsia="宋体" w:cs="Times New Roman"/>
                <w:bCs/>
                <w:color w:val="auto"/>
                <w:kern w:val="2"/>
                <w:sz w:val="24"/>
                <w:szCs w:val="24"/>
                <w:u w:val="none"/>
                <w:lang w:val="en-US" w:eastAsia="zh-CN" w:bidi="ar-SA"/>
              </w:rPr>
              <w:t>表2-</w:t>
            </w:r>
            <w:r>
              <w:rPr>
                <w:rFonts w:hint="default" w:ascii="Times New Roman" w:hAnsi="Times New Roman" w:cs="Times New Roman"/>
                <w:bCs/>
                <w:color w:val="auto"/>
                <w:kern w:val="2"/>
                <w:sz w:val="24"/>
                <w:szCs w:val="24"/>
                <w:u w:val="none"/>
                <w:lang w:val="en-US" w:eastAsia="zh-CN" w:bidi="ar-SA"/>
              </w:rPr>
              <w:t>6</w:t>
            </w:r>
            <w:r>
              <w:rPr>
                <w:rFonts w:hint="default" w:ascii="Times New Roman" w:hAnsi="Times New Roman" w:eastAsia="宋体" w:cs="Times New Roman"/>
                <w:bCs/>
                <w:color w:val="auto"/>
                <w:kern w:val="2"/>
                <w:sz w:val="24"/>
                <w:szCs w:val="24"/>
                <w:u w:val="none"/>
                <w:lang w:val="en-US" w:eastAsia="zh-CN" w:bidi="ar-SA"/>
              </w:rPr>
              <w:t xml:space="preserve"> 主要污染物产生情况</w:t>
            </w:r>
          </w:p>
          <w:tbl>
            <w:tblPr>
              <w:tblStyle w:val="2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723"/>
              <w:gridCol w:w="970"/>
              <w:gridCol w:w="1570"/>
              <w:gridCol w:w="1316"/>
              <w:gridCol w:w="1684"/>
              <w:gridCol w:w="11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571"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污染物</w:t>
                  </w:r>
                </w:p>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类别</w:t>
                  </w:r>
                </w:p>
              </w:tc>
              <w:tc>
                <w:tcPr>
                  <w:tcW w:w="1007" w:type="pct"/>
                  <w:gridSpan w:val="2"/>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污染源</w:t>
                  </w:r>
                </w:p>
              </w:tc>
              <w:tc>
                <w:tcPr>
                  <w:tcW w:w="934"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主要污染物</w:t>
                  </w:r>
                </w:p>
              </w:tc>
              <w:tc>
                <w:tcPr>
                  <w:tcW w:w="783"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产污节点</w:t>
                  </w:r>
                </w:p>
              </w:tc>
              <w:tc>
                <w:tcPr>
                  <w:tcW w:w="1002"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治理措施</w:t>
                  </w:r>
                </w:p>
              </w:tc>
              <w:tc>
                <w:tcPr>
                  <w:tcW w:w="701"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污染物</w:t>
                  </w:r>
                </w:p>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571"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废水</w:t>
                  </w:r>
                </w:p>
              </w:tc>
              <w:tc>
                <w:tcPr>
                  <w:tcW w:w="1007" w:type="pct"/>
                  <w:gridSpan w:val="2"/>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工作人员</w:t>
                  </w:r>
                </w:p>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生活污水</w:t>
                  </w:r>
                </w:p>
              </w:tc>
              <w:tc>
                <w:tcPr>
                  <w:tcW w:w="934"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pH、</w:t>
                  </w:r>
                  <w:r>
                    <w:rPr>
                      <w:rFonts w:hint="default" w:ascii="Times New Roman" w:hAnsi="Times New Roman" w:eastAsia="宋体" w:cs="Times New Roman"/>
                      <w:color w:val="auto"/>
                      <w:sz w:val="21"/>
                      <w:szCs w:val="21"/>
                    </w:rPr>
                    <w:t>COD、BOD、SS、NH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-N</w:t>
                  </w:r>
                </w:p>
              </w:tc>
              <w:tc>
                <w:tcPr>
                  <w:tcW w:w="783"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工作办公</w:t>
                  </w:r>
                </w:p>
              </w:tc>
              <w:tc>
                <w:tcPr>
                  <w:tcW w:w="1002"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化粪池</w:t>
                  </w:r>
                </w:p>
              </w:tc>
              <w:tc>
                <w:tcPr>
                  <w:tcW w:w="701"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湘阴县第一污水处理厂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571" w:type="pct"/>
                  <w:vMerge w:val="restar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废气</w:t>
                  </w:r>
                </w:p>
              </w:tc>
              <w:tc>
                <w:tcPr>
                  <w:tcW w:w="430" w:type="pct"/>
                  <w:vMerge w:val="restar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储运</w:t>
                  </w:r>
                </w:p>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工程</w:t>
                  </w:r>
                </w:p>
              </w:tc>
              <w:tc>
                <w:tcPr>
                  <w:tcW w:w="576"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原料</w:t>
                  </w:r>
                </w:p>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堆场</w:t>
                  </w:r>
                </w:p>
              </w:tc>
              <w:tc>
                <w:tcPr>
                  <w:tcW w:w="934"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颗粒物</w:t>
                  </w:r>
                </w:p>
              </w:tc>
              <w:tc>
                <w:tcPr>
                  <w:tcW w:w="783"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装卸、堆存</w:t>
                  </w:r>
                </w:p>
              </w:tc>
              <w:tc>
                <w:tcPr>
                  <w:tcW w:w="1002"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雾化喷淋</w:t>
                  </w:r>
                </w:p>
              </w:tc>
              <w:tc>
                <w:tcPr>
                  <w:tcW w:w="701"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环境空气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571" w:type="pct"/>
                  <w:vMerge w:val="continue"/>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430" w:type="pct"/>
                  <w:vMerge w:val="continue"/>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p>
              </w:tc>
              <w:tc>
                <w:tcPr>
                  <w:tcW w:w="576"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原料</w:t>
                  </w:r>
                </w:p>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筒仓</w:t>
                  </w:r>
                </w:p>
              </w:tc>
              <w:tc>
                <w:tcPr>
                  <w:tcW w:w="934"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颗粒物</w:t>
                  </w:r>
                </w:p>
              </w:tc>
              <w:tc>
                <w:tcPr>
                  <w:tcW w:w="783"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粉状原料</w:t>
                  </w:r>
                </w:p>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筒仓</w:t>
                  </w:r>
                </w:p>
              </w:tc>
              <w:tc>
                <w:tcPr>
                  <w:tcW w:w="1002"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密闭+呼吸口设置布袋除尘器处理后排放</w:t>
                  </w:r>
                </w:p>
              </w:tc>
              <w:tc>
                <w:tcPr>
                  <w:tcW w:w="701"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环境空气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571" w:type="pct"/>
                  <w:vMerge w:val="continue"/>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430" w:type="pct"/>
                  <w:vMerge w:val="restar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原料生产线</w:t>
                  </w:r>
                </w:p>
              </w:tc>
              <w:tc>
                <w:tcPr>
                  <w:tcW w:w="576" w:type="pct"/>
                  <w:vMerge w:val="restar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河砂/</w:t>
                  </w:r>
                </w:p>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鹅卵石机制砂生产线</w:t>
                  </w:r>
                </w:p>
              </w:tc>
              <w:tc>
                <w:tcPr>
                  <w:tcW w:w="934"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颗粒物、SO</w:t>
                  </w:r>
                  <w:r>
                    <w:rPr>
                      <w:rFonts w:hint="default" w:ascii="Times New Roman" w:hAnsi="Times New Roman" w:cs="Times New Roman"/>
                      <w:color w:val="auto"/>
                      <w:kern w:val="2"/>
                      <w:sz w:val="21"/>
                      <w:szCs w:val="21"/>
                      <w:vertAlign w:val="subscript"/>
                      <w:lang w:val="en-US" w:eastAsia="zh-CN" w:bidi="ar-SA"/>
                    </w:rPr>
                    <w:t>2</w:t>
                  </w:r>
                  <w:r>
                    <w:rPr>
                      <w:rFonts w:hint="default" w:ascii="Times New Roman" w:hAnsi="Times New Roman" w:cs="Times New Roman"/>
                      <w:color w:val="auto"/>
                      <w:kern w:val="2"/>
                      <w:sz w:val="21"/>
                      <w:szCs w:val="21"/>
                      <w:vertAlign w:val="baseline"/>
                      <w:lang w:val="en-US" w:eastAsia="zh-CN" w:bidi="ar-SA"/>
                    </w:rPr>
                    <w:t>、氮氧化物</w:t>
                  </w:r>
                </w:p>
              </w:tc>
              <w:tc>
                <w:tcPr>
                  <w:tcW w:w="783"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烘干筒</w:t>
                  </w:r>
                </w:p>
              </w:tc>
              <w:tc>
                <w:tcPr>
                  <w:tcW w:w="1002"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脉冲布袋除尘+DA001排气筒</w:t>
                  </w:r>
                </w:p>
              </w:tc>
              <w:tc>
                <w:tcPr>
                  <w:tcW w:w="701" w:type="pct"/>
                  <w:vMerge w:val="restar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环境空气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571" w:type="pct"/>
                  <w:vMerge w:val="continue"/>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430" w:type="pct"/>
                  <w:vMerge w:val="continue"/>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p>
              </w:tc>
              <w:tc>
                <w:tcPr>
                  <w:tcW w:w="576" w:type="pct"/>
                  <w:vMerge w:val="continue"/>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p>
              </w:tc>
              <w:tc>
                <w:tcPr>
                  <w:tcW w:w="934"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颗粒物</w:t>
                  </w:r>
                </w:p>
              </w:tc>
              <w:tc>
                <w:tcPr>
                  <w:tcW w:w="783"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给料、输送、破碎、筛分</w:t>
                  </w:r>
                </w:p>
              </w:tc>
              <w:tc>
                <w:tcPr>
                  <w:tcW w:w="1002"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集气罩+脉冲布袋除尘+DA002排气筒</w:t>
                  </w:r>
                </w:p>
              </w:tc>
              <w:tc>
                <w:tcPr>
                  <w:tcW w:w="701" w:type="pct"/>
                  <w:vMerge w:val="continue"/>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571" w:type="pct"/>
                  <w:vMerge w:val="continue"/>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430" w:type="pct"/>
                  <w:vMerge w:val="continue"/>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p>
              </w:tc>
              <w:tc>
                <w:tcPr>
                  <w:tcW w:w="576"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石灰石制砂生产线</w:t>
                  </w:r>
                </w:p>
              </w:tc>
              <w:tc>
                <w:tcPr>
                  <w:tcW w:w="934"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颗粒物</w:t>
                  </w:r>
                </w:p>
              </w:tc>
              <w:tc>
                <w:tcPr>
                  <w:tcW w:w="783"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给料、输送、制砂、筛分</w:t>
                  </w:r>
                </w:p>
              </w:tc>
              <w:tc>
                <w:tcPr>
                  <w:tcW w:w="1002"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集气罩+脉冲布袋除尘+DA003排气筒</w:t>
                  </w:r>
                </w:p>
              </w:tc>
              <w:tc>
                <w:tcPr>
                  <w:tcW w:w="701"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环境空气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571" w:type="pct"/>
                  <w:vMerge w:val="continue"/>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430" w:type="pct"/>
                  <w:vMerge w:val="restar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干粉砂浆生产线</w:t>
                  </w:r>
                </w:p>
              </w:tc>
              <w:tc>
                <w:tcPr>
                  <w:tcW w:w="576"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普通干粉砂浆</w:t>
                  </w:r>
                </w:p>
              </w:tc>
              <w:tc>
                <w:tcPr>
                  <w:tcW w:w="934"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颗粒物</w:t>
                  </w:r>
                </w:p>
              </w:tc>
              <w:tc>
                <w:tcPr>
                  <w:tcW w:w="783"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给料、混合、输送、包装</w:t>
                  </w:r>
                </w:p>
              </w:tc>
              <w:tc>
                <w:tcPr>
                  <w:tcW w:w="1002"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集气罩+脉冲布袋除尘+DA004排气筒</w:t>
                  </w:r>
                </w:p>
              </w:tc>
              <w:tc>
                <w:tcPr>
                  <w:tcW w:w="701"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环境空气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571" w:type="pct"/>
                  <w:vMerge w:val="continue"/>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430" w:type="pct"/>
                  <w:vMerge w:val="continue"/>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p>
              </w:tc>
              <w:tc>
                <w:tcPr>
                  <w:tcW w:w="576"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彩色干粉砂浆</w:t>
                  </w:r>
                </w:p>
              </w:tc>
              <w:tc>
                <w:tcPr>
                  <w:tcW w:w="934"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颗粒物</w:t>
                  </w:r>
                </w:p>
              </w:tc>
              <w:tc>
                <w:tcPr>
                  <w:tcW w:w="783"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给料、混合、输送、包装</w:t>
                  </w:r>
                </w:p>
              </w:tc>
              <w:tc>
                <w:tcPr>
                  <w:tcW w:w="1002"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集气罩+脉冲布袋除尘+DA005排气筒</w:t>
                  </w:r>
                </w:p>
              </w:tc>
              <w:tc>
                <w:tcPr>
                  <w:tcW w:w="701"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环境空气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571" w:type="pct"/>
                  <w:vMerge w:val="continue"/>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430" w:type="pct"/>
                  <w:vMerge w:val="continue"/>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576"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特种干粉砂浆</w:t>
                  </w:r>
                </w:p>
              </w:tc>
              <w:tc>
                <w:tcPr>
                  <w:tcW w:w="934"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颗粒物</w:t>
                  </w:r>
                </w:p>
              </w:tc>
              <w:tc>
                <w:tcPr>
                  <w:tcW w:w="783"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给料、混合、输送、包装</w:t>
                  </w:r>
                </w:p>
              </w:tc>
              <w:tc>
                <w:tcPr>
                  <w:tcW w:w="1002"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集气罩+脉冲布袋除尘+DA006排气筒</w:t>
                  </w:r>
                </w:p>
              </w:tc>
              <w:tc>
                <w:tcPr>
                  <w:tcW w:w="701"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环境空气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571" w:type="pct"/>
                  <w:vMerge w:val="continue"/>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430"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包装</w:t>
                  </w:r>
                </w:p>
              </w:tc>
              <w:tc>
                <w:tcPr>
                  <w:tcW w:w="576"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喷码机</w:t>
                  </w:r>
                </w:p>
              </w:tc>
              <w:tc>
                <w:tcPr>
                  <w:tcW w:w="934"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VOCs（以非甲烷总烃表征）</w:t>
                  </w:r>
                </w:p>
              </w:tc>
              <w:tc>
                <w:tcPr>
                  <w:tcW w:w="783"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喷码</w:t>
                  </w:r>
                </w:p>
              </w:tc>
              <w:tc>
                <w:tcPr>
                  <w:tcW w:w="1002"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无组织排放</w:t>
                  </w:r>
                </w:p>
              </w:tc>
              <w:tc>
                <w:tcPr>
                  <w:tcW w:w="701"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环境空气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571" w:type="pct"/>
                  <w:vMerge w:val="restar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固体废物</w:t>
                  </w:r>
                </w:p>
              </w:tc>
              <w:tc>
                <w:tcPr>
                  <w:tcW w:w="1007" w:type="pct"/>
                  <w:gridSpan w:val="2"/>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废包装袋</w:t>
                  </w:r>
                </w:p>
              </w:tc>
              <w:tc>
                <w:tcPr>
                  <w:tcW w:w="934"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颗粒物</w:t>
                  </w:r>
                </w:p>
              </w:tc>
              <w:tc>
                <w:tcPr>
                  <w:tcW w:w="783"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原料包装袋</w:t>
                  </w:r>
                </w:p>
              </w:tc>
              <w:tc>
                <w:tcPr>
                  <w:tcW w:w="1703" w:type="pct"/>
                  <w:gridSpan w:val="2"/>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回收综合利用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571" w:type="pct"/>
                  <w:vMerge w:val="continue"/>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1007" w:type="pct"/>
                  <w:gridSpan w:val="2"/>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沉淀池渣</w:t>
                  </w:r>
                </w:p>
              </w:tc>
              <w:tc>
                <w:tcPr>
                  <w:tcW w:w="934"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颗粒物</w:t>
                  </w:r>
                </w:p>
              </w:tc>
              <w:tc>
                <w:tcPr>
                  <w:tcW w:w="783"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车辆清洗</w:t>
                  </w:r>
                </w:p>
              </w:tc>
              <w:tc>
                <w:tcPr>
                  <w:tcW w:w="1703" w:type="pct"/>
                  <w:gridSpan w:val="2"/>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回生产线综合利用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571" w:type="pct"/>
                  <w:vMerge w:val="continue"/>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1007" w:type="pct"/>
                  <w:gridSpan w:val="2"/>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不合格产品</w:t>
                  </w:r>
                </w:p>
              </w:tc>
              <w:tc>
                <w:tcPr>
                  <w:tcW w:w="934"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颗粒物</w:t>
                  </w:r>
                </w:p>
              </w:tc>
              <w:tc>
                <w:tcPr>
                  <w:tcW w:w="783"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检验过程</w:t>
                  </w:r>
                </w:p>
              </w:tc>
              <w:tc>
                <w:tcPr>
                  <w:tcW w:w="1703" w:type="pct"/>
                  <w:gridSpan w:val="2"/>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回生产线综合利用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571" w:type="pct"/>
                  <w:vMerge w:val="continue"/>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1007" w:type="pct"/>
                  <w:gridSpan w:val="2"/>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除尘器粉尘</w:t>
                  </w:r>
                </w:p>
              </w:tc>
              <w:tc>
                <w:tcPr>
                  <w:tcW w:w="934"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颗粒物</w:t>
                  </w:r>
                </w:p>
              </w:tc>
              <w:tc>
                <w:tcPr>
                  <w:tcW w:w="783"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废气处理</w:t>
                  </w:r>
                </w:p>
              </w:tc>
              <w:tc>
                <w:tcPr>
                  <w:tcW w:w="1703" w:type="pct"/>
                  <w:gridSpan w:val="2"/>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回生产线综合利用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571" w:type="pct"/>
                  <w:vMerge w:val="continue"/>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1007" w:type="pct"/>
                  <w:gridSpan w:val="2"/>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废机油、废液压油及废桶、废含油抹布</w:t>
                  </w:r>
                </w:p>
              </w:tc>
              <w:tc>
                <w:tcPr>
                  <w:tcW w:w="934"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废矿物油</w:t>
                  </w:r>
                </w:p>
              </w:tc>
              <w:tc>
                <w:tcPr>
                  <w:tcW w:w="783"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机械维修</w:t>
                  </w:r>
                </w:p>
              </w:tc>
              <w:tc>
                <w:tcPr>
                  <w:tcW w:w="1703" w:type="pct"/>
                  <w:gridSpan w:val="2"/>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交由有资质单位处理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571" w:type="pct"/>
                  <w:vMerge w:val="continue"/>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1007" w:type="pct"/>
                  <w:gridSpan w:val="2"/>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废油墨包装桶</w:t>
                  </w:r>
                </w:p>
              </w:tc>
              <w:tc>
                <w:tcPr>
                  <w:tcW w:w="934"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有机溶剂</w:t>
                  </w:r>
                </w:p>
              </w:tc>
              <w:tc>
                <w:tcPr>
                  <w:tcW w:w="783" w:type="pct"/>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喷码</w:t>
                  </w:r>
                </w:p>
              </w:tc>
              <w:tc>
                <w:tcPr>
                  <w:tcW w:w="1703" w:type="pct"/>
                  <w:gridSpan w:val="2"/>
                  <w:vAlign w:val="center"/>
                </w:tcPr>
                <w:p>
                  <w:pPr>
                    <w:keepNext w:val="0"/>
                    <w:keepLines w:val="0"/>
                    <w:pageBreakBefore w:val="0"/>
                    <w:widowControl w:val="0"/>
                    <w:kinsoku/>
                    <w:wordWrap/>
                    <w:overflowPunct/>
                    <w:topLinePunct w:val="0"/>
                    <w:autoSpaceDE/>
                    <w:autoSpaceDN/>
                    <w:bidi w:val="0"/>
                    <w:adjustRightInd/>
                    <w:snapToGrid/>
                    <w:spacing w:after="0" w:afterAutospacing="0" w:line="300" w:lineRule="exact"/>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交由有资质单位处理</w:t>
                  </w:r>
                </w:p>
              </w:tc>
            </w:tr>
          </w:tbl>
          <w:p>
            <w:pPr>
              <w:bidi w:val="0"/>
              <w:ind w:left="0" w:leftChars="0" w:firstLine="0" w:firstLineChars="0"/>
              <w:rPr>
                <w:rFonts w:hint="default" w:ascii="Times New Roman" w:hAnsi="Times New Roman" w:cs="Times New Roman"/>
                <w:color w:val="auto"/>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3"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与项目有关的原有环境污染问题</w:t>
            </w:r>
          </w:p>
        </w:tc>
        <w:tc>
          <w:tcPr>
            <w:tcW w:w="8504" w:type="dxa"/>
            <w:vAlign w:val="center"/>
          </w:tcPr>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项目所在场地目前正在进行初步平整，场地内没有需要保留的原有建筑物，也没有需要保护的名木、古迹等，不存在与项目有关的原有环境污染问题。</w:t>
            </w:r>
          </w:p>
          <w:p>
            <w:pPr>
              <w:numPr>
                <w:ilvl w:val="0"/>
                <w:numId w:val="0"/>
              </w:numPr>
              <w:bidi w:val="0"/>
              <w:ind w:left="720" w:leftChars="0"/>
              <w:rPr>
                <w:rFonts w:hint="default" w:ascii="Times New Roman" w:hAnsi="Times New Roman" w:cs="Times New Roman"/>
                <w:color w:val="auto"/>
                <w:lang w:val="en-US" w:eastAsia="zh-CN"/>
              </w:rPr>
            </w:pPr>
          </w:p>
          <w:p>
            <w:pPr>
              <w:numPr>
                <w:ilvl w:val="0"/>
                <w:numId w:val="0"/>
              </w:numPr>
              <w:bidi w:val="0"/>
              <w:ind w:left="720" w:leftChars="0"/>
              <w:rPr>
                <w:rFonts w:hint="default" w:ascii="Times New Roman" w:hAnsi="Times New Roman" w:cs="Times New Roman"/>
                <w:color w:val="auto"/>
                <w:lang w:val="en-US" w:eastAsia="zh-CN"/>
              </w:rPr>
            </w:pPr>
          </w:p>
          <w:p>
            <w:pPr>
              <w:numPr>
                <w:ilvl w:val="0"/>
                <w:numId w:val="0"/>
              </w:numPr>
              <w:bidi w:val="0"/>
              <w:rPr>
                <w:rFonts w:hint="default" w:ascii="Times New Roman" w:hAnsi="Times New Roman" w:cs="Times New Roman"/>
                <w:color w:val="auto"/>
                <w:lang w:val="en-US" w:eastAsia="zh-CN"/>
              </w:rPr>
            </w:pPr>
          </w:p>
        </w:tc>
      </w:tr>
    </w:tbl>
    <w:p>
      <w:pPr>
        <w:numPr>
          <w:ilvl w:val="0"/>
          <w:numId w:val="0"/>
        </w:numPr>
        <w:rPr>
          <w:rFonts w:hint="default" w:ascii="Times New Roman" w:hAnsi="Times New Roman" w:cs="Times New Roman"/>
          <w:lang w:val="en-US" w:eastAsia="zh-CN"/>
        </w:rPr>
        <w:sectPr>
          <w:headerReference r:id="rId4" w:type="default"/>
          <w:footerReference r:id="rId5" w:type="default"/>
          <w:pgSz w:w="11906" w:h="16838"/>
          <w:pgMar w:top="1440" w:right="1417" w:bottom="1213" w:left="1361" w:header="851" w:footer="992" w:gutter="0"/>
          <w:pgBorders w:offsetFrom="page">
            <w:top w:val="none" w:sz="0" w:space="0"/>
            <w:left w:val="none" w:sz="0" w:space="0"/>
            <w:bottom w:val="none" w:sz="0" w:space="0"/>
            <w:right w:val="none" w:sz="0" w:space="0"/>
          </w:pgBorders>
          <w:pgNumType w:start="1"/>
          <w:cols w:space="0" w:num="1"/>
          <w:rtlGutter w:val="0"/>
          <w:docGrid w:type="lines" w:linePitch="312" w:charSpace="0"/>
        </w:sectPr>
      </w:pPr>
    </w:p>
    <w:p>
      <w:pPr>
        <w:pStyle w:val="4"/>
        <w:keepNext/>
        <w:keepLines/>
        <w:pageBreakBefore/>
        <w:widowControl/>
        <w:numPr>
          <w:ilvl w:val="0"/>
          <w:numId w:val="0"/>
        </w:numPr>
        <w:kinsoku/>
        <w:wordWrap/>
        <w:overflowPunct/>
        <w:topLinePunct w:val="0"/>
        <w:autoSpaceDE/>
        <w:autoSpaceDN/>
        <w:bidi w:val="0"/>
        <w:adjustRightInd/>
        <w:snapToGrid/>
        <w:ind w:left="-86" w:leftChars="0"/>
        <w:jc w:val="both"/>
        <w:textAlignment w:val="auto"/>
        <w:rPr>
          <w:rFonts w:hint="default" w:ascii="Times New Roman" w:hAnsi="Times New Roman" w:cs="Times New Roman"/>
          <w:lang w:val="en-US" w:eastAsia="zh-CN"/>
        </w:rPr>
      </w:pPr>
      <w:bookmarkStart w:id="13" w:name="_Toc2652"/>
      <w:r>
        <w:rPr>
          <w:rFonts w:hint="default" w:ascii="Times New Roman" w:hAnsi="Times New Roman" w:cs="Times New Roman"/>
          <w:lang w:val="en-US" w:eastAsia="zh-CN"/>
        </w:rPr>
        <w:t>三、区域环境质量现状、环境保护目标及评价标准</w:t>
      </w:r>
      <w:bookmarkEnd w:id="13"/>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4"/>
        <w:gridCol w:w="88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8" w:hRule="atLeast"/>
        </w:trPr>
        <w:tc>
          <w:tcPr>
            <w:tcW w:w="394" w:type="dxa"/>
            <w:vAlign w:val="center"/>
          </w:tcPr>
          <w:p>
            <w:pPr>
              <w:numPr>
                <w:ilvl w:val="0"/>
                <w:numId w:val="0"/>
              </w:numPr>
              <w:jc w:val="center"/>
              <w:rPr>
                <w:rFonts w:hint="default" w:ascii="Times New Roman" w:hAnsi="Times New Roman" w:cs="Times New Roman"/>
                <w:color w:val="auto"/>
                <w:vertAlign w:val="baseline"/>
                <w:lang w:val="en-US" w:eastAsia="zh-CN"/>
              </w:rPr>
            </w:pPr>
            <w:r>
              <w:rPr>
                <w:rFonts w:hint="default" w:ascii="Times New Roman" w:hAnsi="Times New Roman" w:cs="Times New Roman"/>
                <w:color w:val="auto"/>
                <w:vertAlign w:val="baseline"/>
                <w:lang w:val="en-US" w:eastAsia="zh-CN"/>
              </w:rPr>
              <w:t>区域环境质量现状</w:t>
            </w:r>
          </w:p>
        </w:tc>
        <w:tc>
          <w:tcPr>
            <w:tcW w:w="8894" w:type="dxa"/>
            <w:vAlign w:val="center"/>
          </w:tcPr>
          <w:p>
            <w:pPr>
              <w:numPr>
                <w:ilvl w:val="0"/>
                <w:numId w:val="0"/>
              </w:numPr>
              <w:bidi w:val="0"/>
              <w:rPr>
                <w:rFonts w:hint="default" w:ascii="Times New Roman" w:hAnsi="Times New Roman" w:eastAsia="黑体" w:cs="Times New Roman"/>
                <w:color w:val="auto"/>
                <w:lang w:val="en-US" w:eastAsia="zh-CN"/>
              </w:rPr>
            </w:pPr>
            <w:r>
              <w:rPr>
                <w:rFonts w:hint="default" w:ascii="Times New Roman" w:hAnsi="Times New Roman" w:eastAsia="黑体" w:cs="Times New Roman"/>
                <w:color w:val="auto"/>
                <w:lang w:val="en-US" w:eastAsia="zh-CN"/>
              </w:rPr>
              <w:t>3.1 环境空气质量现状</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（1）常规因子</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为了解本项目所在区域环境质量现状，本环评引用岳阳市生态环境局湘阴分局发布的2021年1-12月常规监测数据，区域内空气质量监测因子为SO</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、NO</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、O</w:t>
            </w:r>
            <w:r>
              <w:rPr>
                <w:rFonts w:hint="default" w:ascii="Times New Roman" w:hAnsi="Times New Roman" w:cs="Times New Roman"/>
                <w:color w:val="auto"/>
                <w:vertAlign w:val="subscript"/>
                <w:lang w:val="en-US" w:eastAsia="zh-CN"/>
              </w:rPr>
              <w:t>3</w:t>
            </w:r>
            <w:r>
              <w:rPr>
                <w:rFonts w:hint="default" w:ascii="Times New Roman" w:hAnsi="Times New Roman" w:cs="Times New Roman"/>
                <w:color w:val="auto"/>
                <w:lang w:val="en-US" w:eastAsia="zh-CN"/>
              </w:rPr>
              <w:t>、CO、PM</w:t>
            </w:r>
            <w:r>
              <w:rPr>
                <w:rFonts w:hint="default" w:ascii="Times New Roman" w:hAnsi="Times New Roman" w:cs="Times New Roman"/>
                <w:color w:val="auto"/>
                <w:vertAlign w:val="subscript"/>
                <w:lang w:val="en-US" w:eastAsia="zh-CN"/>
              </w:rPr>
              <w:t>10</w:t>
            </w:r>
            <w:r>
              <w:rPr>
                <w:rFonts w:hint="default" w:ascii="Times New Roman" w:hAnsi="Times New Roman" w:cs="Times New Roman"/>
                <w:color w:val="auto"/>
                <w:lang w:val="en-US" w:eastAsia="zh-CN"/>
              </w:rPr>
              <w:t>、PM</w:t>
            </w:r>
            <w:r>
              <w:rPr>
                <w:rFonts w:hint="default" w:ascii="Times New Roman" w:hAnsi="Times New Roman" w:cs="Times New Roman"/>
                <w:color w:val="auto"/>
                <w:vertAlign w:val="subscript"/>
                <w:lang w:val="en-US" w:eastAsia="zh-CN"/>
              </w:rPr>
              <w:t>2.5</w:t>
            </w:r>
            <w:r>
              <w:rPr>
                <w:rFonts w:hint="default" w:ascii="Times New Roman" w:hAnsi="Times New Roman" w:cs="Times New Roman"/>
                <w:color w:val="auto"/>
                <w:lang w:val="en-US" w:eastAsia="zh-CN"/>
              </w:rPr>
              <w:t>，具体数据详见下表。</w:t>
            </w:r>
          </w:p>
          <w:p>
            <w:pPr>
              <w:bidi w:val="0"/>
              <w:ind w:left="0" w:leftChars="0" w:firstLine="0" w:firstLineChars="0"/>
              <w:jc w:val="center"/>
              <w:rPr>
                <w:rFonts w:hint="default" w:ascii="Times New Roman" w:hAnsi="Times New Roman" w:cs="Times New Roman"/>
                <w:color w:val="auto"/>
                <w:vertAlign w:val="baseline"/>
                <w:lang w:val="en-US" w:eastAsia="zh-CN"/>
              </w:rPr>
            </w:pPr>
            <w:r>
              <w:rPr>
                <w:rFonts w:hint="default" w:ascii="Times New Roman" w:hAnsi="Times New Roman" w:cs="Times New Roman"/>
                <w:color w:val="auto"/>
                <w:lang w:val="en-US" w:eastAsia="zh-CN"/>
              </w:rPr>
              <w:t>表3-1 2021年区域空气质量现状评价表</w:t>
            </w:r>
          </w:p>
          <w:tbl>
            <w:tblPr>
              <w:tblStyle w:val="22"/>
              <w:tblW w:w="8692"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6"/>
              <w:gridCol w:w="1185"/>
              <w:gridCol w:w="2685"/>
              <w:gridCol w:w="1125"/>
              <w:gridCol w:w="1095"/>
              <w:gridCol w:w="885"/>
              <w:gridCol w:w="8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所在</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区域</w:t>
                  </w:r>
                </w:p>
              </w:tc>
              <w:tc>
                <w:tcPr>
                  <w:tcW w:w="118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监测项目</w:t>
                  </w:r>
                </w:p>
              </w:tc>
              <w:tc>
                <w:tcPr>
                  <w:tcW w:w="268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年评价指标</w:t>
                  </w:r>
                </w:p>
              </w:tc>
              <w:tc>
                <w:tcPr>
                  <w:tcW w:w="112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现状浓度</w:t>
                  </w:r>
                </w:p>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r>
                    <w:rPr>
                      <w:rFonts w:hint="default" w:ascii="Times New Roman" w:hAnsi="Times New Roman" w:eastAsia="宋体" w:cs="Times New Roman"/>
                      <w:color w:val="auto"/>
                      <w:kern w:val="0"/>
                      <w:sz w:val="21"/>
                      <w:szCs w:val="21"/>
                      <w:lang w:val="en-US" w:eastAsia="zh-CN" w:bidi="ar"/>
                    </w:rPr>
                    <w:t>μg/m</w:t>
                  </w:r>
                  <w:r>
                    <w:rPr>
                      <w:rFonts w:hint="default" w:ascii="Times New Roman" w:hAnsi="Times New Roman" w:eastAsia="宋体" w:cs="Times New Roman"/>
                      <w:color w:val="auto"/>
                      <w:kern w:val="0"/>
                      <w:sz w:val="21"/>
                      <w:szCs w:val="21"/>
                      <w:vertAlign w:val="superscript"/>
                      <w:lang w:val="en-US" w:eastAsia="zh-CN" w:bidi="ar"/>
                    </w:rPr>
                    <w:t>3</w:t>
                  </w:r>
                  <w:r>
                    <w:rPr>
                      <w:rFonts w:hint="default" w:ascii="Times New Roman" w:hAnsi="Times New Roman" w:eastAsia="宋体" w:cs="Times New Roman"/>
                      <w:color w:val="auto"/>
                      <w:kern w:val="0"/>
                      <w:sz w:val="21"/>
                      <w:szCs w:val="21"/>
                      <w:lang w:val="en-US" w:eastAsia="zh-CN" w:bidi="ar"/>
                    </w:rPr>
                    <w:t>）</w:t>
                  </w:r>
                </w:p>
              </w:tc>
              <w:tc>
                <w:tcPr>
                  <w:tcW w:w="109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标准值</w:t>
                  </w:r>
                </w:p>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r>
                    <w:rPr>
                      <w:rFonts w:hint="default" w:ascii="Times New Roman" w:hAnsi="Times New Roman" w:eastAsia="宋体" w:cs="Times New Roman"/>
                      <w:color w:val="auto"/>
                      <w:kern w:val="0"/>
                      <w:sz w:val="21"/>
                      <w:szCs w:val="21"/>
                      <w:lang w:val="en-US" w:eastAsia="zh-CN" w:bidi="ar"/>
                    </w:rPr>
                    <w:t>μg/m</w:t>
                  </w:r>
                  <w:r>
                    <w:rPr>
                      <w:rFonts w:hint="default" w:ascii="Times New Roman" w:hAnsi="Times New Roman" w:eastAsia="宋体" w:cs="Times New Roman"/>
                      <w:color w:val="auto"/>
                      <w:kern w:val="0"/>
                      <w:sz w:val="21"/>
                      <w:szCs w:val="21"/>
                      <w:vertAlign w:val="superscript"/>
                      <w:lang w:val="en-US" w:eastAsia="zh-CN" w:bidi="ar"/>
                    </w:rPr>
                    <w:t>3</w:t>
                  </w:r>
                  <w:r>
                    <w:rPr>
                      <w:rFonts w:hint="default" w:ascii="Times New Roman" w:hAnsi="Times New Roman" w:eastAsia="宋体" w:cs="Times New Roman"/>
                      <w:color w:val="auto"/>
                      <w:kern w:val="0"/>
                      <w:sz w:val="21"/>
                      <w:szCs w:val="21"/>
                      <w:lang w:val="en-US" w:eastAsia="zh-CN" w:bidi="ar"/>
                    </w:rPr>
                    <w:t>）</w:t>
                  </w:r>
                </w:p>
              </w:tc>
              <w:tc>
                <w:tcPr>
                  <w:tcW w:w="88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占标率（%）</w:t>
                  </w:r>
                </w:p>
              </w:tc>
              <w:tc>
                <w:tcPr>
                  <w:tcW w:w="80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湘阴县</w:t>
                  </w:r>
                </w:p>
              </w:tc>
              <w:tc>
                <w:tcPr>
                  <w:tcW w:w="118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lang w:val="en-US" w:eastAsia="zh-CN"/>
                    </w:rPr>
                    <w:t>SO</w:t>
                  </w:r>
                  <w:r>
                    <w:rPr>
                      <w:rFonts w:hint="default" w:ascii="Times New Roman" w:hAnsi="Times New Roman" w:cs="Times New Roman"/>
                      <w:color w:val="auto"/>
                      <w:sz w:val="21"/>
                      <w:szCs w:val="21"/>
                      <w:vertAlign w:val="subscript"/>
                      <w:lang w:val="en-US" w:eastAsia="zh-CN"/>
                    </w:rPr>
                    <w:t>2</w:t>
                  </w:r>
                </w:p>
              </w:tc>
              <w:tc>
                <w:tcPr>
                  <w:tcW w:w="268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lang w:val="en-US" w:eastAsia="zh-CN"/>
                    </w:rPr>
                    <w:t>年平均质量浓度</w:t>
                  </w:r>
                </w:p>
              </w:tc>
              <w:tc>
                <w:tcPr>
                  <w:tcW w:w="112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5.8</w:t>
                  </w:r>
                </w:p>
              </w:tc>
              <w:tc>
                <w:tcPr>
                  <w:tcW w:w="109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60</w:t>
                  </w:r>
                </w:p>
              </w:tc>
              <w:tc>
                <w:tcPr>
                  <w:tcW w:w="885"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kern w:val="0"/>
                      <w:sz w:val="21"/>
                      <w:szCs w:val="21"/>
                      <w:lang w:val="en-US" w:eastAsia="zh-CN"/>
                    </w:rPr>
                    <w:t>9.7</w:t>
                  </w:r>
                </w:p>
              </w:tc>
              <w:tc>
                <w:tcPr>
                  <w:tcW w:w="80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8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lang w:val="en-US" w:eastAsia="zh-CN"/>
                    </w:rPr>
                    <w:t>NO</w:t>
                  </w:r>
                  <w:r>
                    <w:rPr>
                      <w:rFonts w:hint="default" w:ascii="Times New Roman" w:hAnsi="Times New Roman" w:cs="Times New Roman"/>
                      <w:color w:val="auto"/>
                      <w:sz w:val="21"/>
                      <w:szCs w:val="21"/>
                      <w:vertAlign w:val="subscript"/>
                      <w:lang w:val="en-US" w:eastAsia="zh-CN"/>
                    </w:rPr>
                    <w:t>2</w:t>
                  </w:r>
                </w:p>
              </w:tc>
              <w:tc>
                <w:tcPr>
                  <w:tcW w:w="268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lang w:val="en-US" w:eastAsia="zh-CN"/>
                    </w:rPr>
                    <w:t>年平均质量浓度</w:t>
                  </w:r>
                </w:p>
              </w:tc>
              <w:tc>
                <w:tcPr>
                  <w:tcW w:w="112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19.8</w:t>
                  </w:r>
                </w:p>
              </w:tc>
              <w:tc>
                <w:tcPr>
                  <w:tcW w:w="109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40</w:t>
                  </w:r>
                </w:p>
              </w:tc>
              <w:tc>
                <w:tcPr>
                  <w:tcW w:w="885"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kern w:val="0"/>
                      <w:sz w:val="21"/>
                      <w:szCs w:val="21"/>
                      <w:lang w:val="en-US" w:eastAsia="zh-CN"/>
                    </w:rPr>
                    <w:t>50</w:t>
                  </w:r>
                </w:p>
              </w:tc>
              <w:tc>
                <w:tcPr>
                  <w:tcW w:w="80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8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lang w:val="en-US" w:eastAsia="zh-CN"/>
                    </w:rPr>
                    <w:t>PM</w:t>
                  </w:r>
                  <w:r>
                    <w:rPr>
                      <w:rFonts w:hint="default" w:ascii="Times New Roman" w:hAnsi="Times New Roman" w:cs="Times New Roman"/>
                      <w:color w:val="auto"/>
                      <w:sz w:val="21"/>
                      <w:szCs w:val="21"/>
                      <w:vertAlign w:val="subscript"/>
                      <w:lang w:val="en-US" w:eastAsia="zh-CN"/>
                    </w:rPr>
                    <w:t>10</w:t>
                  </w:r>
                </w:p>
              </w:tc>
              <w:tc>
                <w:tcPr>
                  <w:tcW w:w="268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lang w:val="en-US" w:eastAsia="zh-CN"/>
                    </w:rPr>
                    <w:t>年平均质量浓度</w:t>
                  </w:r>
                </w:p>
              </w:tc>
              <w:tc>
                <w:tcPr>
                  <w:tcW w:w="112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51.1</w:t>
                  </w:r>
                </w:p>
              </w:tc>
              <w:tc>
                <w:tcPr>
                  <w:tcW w:w="109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70</w:t>
                  </w:r>
                </w:p>
              </w:tc>
              <w:tc>
                <w:tcPr>
                  <w:tcW w:w="885"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73</w:t>
                  </w:r>
                </w:p>
              </w:tc>
              <w:tc>
                <w:tcPr>
                  <w:tcW w:w="80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8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PM</w:t>
                  </w:r>
                  <w:r>
                    <w:rPr>
                      <w:rFonts w:hint="default" w:ascii="Times New Roman" w:hAnsi="Times New Roman" w:cs="Times New Roman"/>
                      <w:color w:val="auto"/>
                      <w:sz w:val="21"/>
                      <w:szCs w:val="21"/>
                      <w:vertAlign w:val="subscript"/>
                      <w:lang w:val="en-US" w:eastAsia="zh-CN"/>
                    </w:rPr>
                    <w:t>2.5</w:t>
                  </w:r>
                </w:p>
              </w:tc>
              <w:tc>
                <w:tcPr>
                  <w:tcW w:w="268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lang w:val="en-US" w:eastAsia="zh-CN"/>
                    </w:rPr>
                    <w:t>年平均质量浓度</w:t>
                  </w:r>
                </w:p>
              </w:tc>
              <w:tc>
                <w:tcPr>
                  <w:tcW w:w="112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34.3</w:t>
                  </w:r>
                </w:p>
              </w:tc>
              <w:tc>
                <w:tcPr>
                  <w:tcW w:w="109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35</w:t>
                  </w:r>
                </w:p>
              </w:tc>
              <w:tc>
                <w:tcPr>
                  <w:tcW w:w="885"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98</w:t>
                  </w:r>
                </w:p>
              </w:tc>
              <w:tc>
                <w:tcPr>
                  <w:tcW w:w="80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8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lang w:val="en-US" w:eastAsia="zh-CN"/>
                    </w:rPr>
                    <w:t>CO</w:t>
                  </w:r>
                </w:p>
              </w:tc>
              <w:tc>
                <w:tcPr>
                  <w:tcW w:w="268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日均值第95百分位数浓度</w:t>
                  </w:r>
                </w:p>
              </w:tc>
              <w:tc>
                <w:tcPr>
                  <w:tcW w:w="112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930</w:t>
                  </w:r>
                </w:p>
              </w:tc>
              <w:tc>
                <w:tcPr>
                  <w:tcW w:w="109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4000</w:t>
                  </w:r>
                </w:p>
              </w:tc>
              <w:tc>
                <w:tcPr>
                  <w:tcW w:w="885"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23</w:t>
                  </w:r>
                </w:p>
              </w:tc>
              <w:tc>
                <w:tcPr>
                  <w:tcW w:w="80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118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lang w:val="en-US" w:eastAsia="zh-CN"/>
                    </w:rPr>
                    <w:t>O</w:t>
                  </w:r>
                  <w:r>
                    <w:rPr>
                      <w:rFonts w:hint="default" w:ascii="Times New Roman" w:hAnsi="Times New Roman" w:cs="Times New Roman"/>
                      <w:color w:val="auto"/>
                      <w:sz w:val="21"/>
                      <w:szCs w:val="21"/>
                      <w:vertAlign w:val="subscript"/>
                      <w:lang w:val="en-US" w:eastAsia="zh-CN"/>
                    </w:rPr>
                    <w:t>3</w:t>
                  </w:r>
                </w:p>
              </w:tc>
              <w:tc>
                <w:tcPr>
                  <w:tcW w:w="268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lang w:val="en-US" w:eastAsia="zh-CN"/>
                    </w:rPr>
                    <w:t>日最大8小时滑动平均值第90百分位数浓度</w:t>
                  </w:r>
                </w:p>
              </w:tc>
              <w:tc>
                <w:tcPr>
                  <w:tcW w:w="112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120</w:t>
                  </w:r>
                </w:p>
              </w:tc>
              <w:tc>
                <w:tcPr>
                  <w:tcW w:w="109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160</w:t>
                  </w:r>
                </w:p>
              </w:tc>
              <w:tc>
                <w:tcPr>
                  <w:tcW w:w="885" w:type="dxa"/>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kern w:val="0"/>
                      <w:sz w:val="21"/>
                      <w:szCs w:val="21"/>
                      <w:lang w:val="en-US" w:eastAsia="zh-CN"/>
                    </w:rPr>
                    <w:t>75</w:t>
                  </w:r>
                </w:p>
              </w:tc>
              <w:tc>
                <w:tcPr>
                  <w:tcW w:w="80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达标</w:t>
                  </w:r>
                </w:p>
              </w:tc>
            </w:tr>
          </w:tbl>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由上表可知，区域内空气质量监测因子中的SO</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、NO</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、PM</w:t>
            </w:r>
            <w:r>
              <w:rPr>
                <w:rFonts w:hint="default" w:ascii="Times New Roman" w:hAnsi="Times New Roman" w:cs="Times New Roman"/>
                <w:color w:val="auto"/>
                <w:vertAlign w:val="subscript"/>
                <w:lang w:val="en-US" w:eastAsia="zh-CN"/>
              </w:rPr>
              <w:t>10</w:t>
            </w:r>
            <w:r>
              <w:rPr>
                <w:rFonts w:hint="default" w:ascii="Times New Roman" w:hAnsi="Times New Roman" w:cs="Times New Roman"/>
                <w:color w:val="auto"/>
                <w:lang w:val="en-US" w:eastAsia="zh-CN"/>
              </w:rPr>
              <w:t>、PM</w:t>
            </w:r>
            <w:r>
              <w:rPr>
                <w:rFonts w:hint="default" w:ascii="Times New Roman" w:hAnsi="Times New Roman" w:cs="Times New Roman"/>
                <w:color w:val="auto"/>
                <w:vertAlign w:val="subscript"/>
                <w:lang w:val="en-US" w:eastAsia="zh-CN"/>
              </w:rPr>
              <w:t>2.5</w:t>
            </w:r>
            <w:r>
              <w:rPr>
                <w:rFonts w:hint="default" w:ascii="Times New Roman" w:hAnsi="Times New Roman" w:cs="Times New Roman"/>
                <w:color w:val="auto"/>
                <w:lang w:val="en-US" w:eastAsia="zh-CN"/>
              </w:rPr>
              <w:t>年平均质量浓度、O</w:t>
            </w:r>
            <w:r>
              <w:rPr>
                <w:rFonts w:hint="default" w:ascii="Times New Roman" w:hAnsi="Times New Roman" w:cs="Times New Roman"/>
                <w:color w:val="auto"/>
                <w:vertAlign w:val="subscript"/>
                <w:lang w:val="en-US" w:eastAsia="zh-CN"/>
              </w:rPr>
              <w:t>3</w:t>
            </w:r>
            <w:r>
              <w:rPr>
                <w:rFonts w:hint="default" w:ascii="Times New Roman" w:hAnsi="Times New Roman" w:cs="Times New Roman"/>
                <w:color w:val="auto"/>
                <w:vertAlign w:val="baseline"/>
                <w:lang w:val="en-US" w:eastAsia="zh-CN"/>
              </w:rPr>
              <w:t>日最大8小时滑动平均值第90百分位数浓度</w:t>
            </w:r>
            <w:r>
              <w:rPr>
                <w:rFonts w:hint="default" w:ascii="Times New Roman" w:hAnsi="Times New Roman" w:cs="Times New Roman"/>
                <w:color w:val="auto"/>
                <w:lang w:val="en-US" w:eastAsia="zh-CN"/>
              </w:rPr>
              <w:t>、CO日均值第95百分位数浓度均符合《环境空气质量标准》（GB3095-2012）中的二级标准要求，因此，判断湘阴县属于环境空气质量达标区。</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（2）特征因子</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建设项目环境影响报告表编制技术指南（污染影响类（试行）》，排放国家、地方环境空气质量标准中有标准限值要求的特征污染物时，引用建设项目周边5千米范围内近3年的现有监测数据，无相关数据的选择当季主导风向下风向1个点位补充不少于3天的监测数据。</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①特征因子TSP</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特征因子为“颗粒物和TVOC”，本环评TSP引用《建华建材（湖南）有限公司2000t级砂石码头项目》，该项目位于本项目南面约100m，于2020年12月17日-12月23日对项目地及南侧居民点进行了监测，监测时间在三年有效期内，距离满足5km范围要求，引用监测数据可行。</w:t>
            </w:r>
          </w:p>
          <w:p>
            <w:pPr>
              <w:bidi w:val="0"/>
              <w:jc w:val="left"/>
              <w:rPr>
                <w:rFonts w:hint="default" w:ascii="Times New Roman" w:hAnsi="Times New Roman" w:eastAsia="宋体" w:cs="Times New Roman"/>
                <w:sz w:val="24"/>
                <w:lang w:eastAsia="zh-CN"/>
              </w:rPr>
            </w:pPr>
            <w:r>
              <w:rPr>
                <w:rFonts w:hint="default" w:ascii="Times New Roman" w:hAnsi="Times New Roman" w:cs="Times New Roman"/>
                <w:color w:val="auto"/>
                <w:lang w:val="en-US" w:eastAsia="zh-CN"/>
              </w:rPr>
              <w:t>检测点位：</w:t>
            </w:r>
            <w:r>
              <w:rPr>
                <w:rFonts w:hint="default" w:ascii="Times New Roman" w:hAnsi="Times New Roman" w:cs="Times New Roman"/>
                <w:sz w:val="24"/>
              </w:rPr>
              <w:t>G1：</w:t>
            </w:r>
            <w:r>
              <w:rPr>
                <w:rFonts w:hint="default" w:ascii="Times New Roman" w:hAnsi="Times New Roman" w:cs="Times New Roman"/>
                <w:sz w:val="24"/>
                <w:lang w:val="en-US" w:eastAsia="zh-CN"/>
              </w:rPr>
              <w:t>码头</w:t>
            </w:r>
            <w:r>
              <w:rPr>
                <w:rFonts w:hint="default" w:ascii="Times New Roman" w:hAnsi="Times New Roman" w:cs="Times New Roman"/>
                <w:sz w:val="24"/>
              </w:rPr>
              <w:t>所在地</w:t>
            </w:r>
            <w:r>
              <w:rPr>
                <w:rFonts w:hint="default" w:ascii="Times New Roman" w:hAnsi="Times New Roman" w:cs="Times New Roman"/>
                <w:sz w:val="24"/>
                <w:lang w:eastAsia="zh-CN"/>
              </w:rPr>
              <w:t>（</w:t>
            </w:r>
            <w:r>
              <w:rPr>
                <w:rFonts w:hint="default" w:ascii="Times New Roman" w:hAnsi="Times New Roman" w:cs="Times New Roman"/>
                <w:color w:val="auto"/>
                <w:lang w:val="en-US" w:eastAsia="zh-CN"/>
              </w:rPr>
              <w:t>位于本项目东南侧100m</w:t>
            </w:r>
            <w:r>
              <w:rPr>
                <w:rFonts w:hint="default" w:ascii="Times New Roman" w:hAnsi="Times New Roman" w:cs="Times New Roman"/>
                <w:sz w:val="24"/>
                <w:lang w:eastAsia="zh-CN"/>
              </w:rPr>
              <w:t>）</w:t>
            </w:r>
            <w:r>
              <w:rPr>
                <w:rFonts w:hint="default" w:ascii="Times New Roman" w:hAnsi="Times New Roman" w:cs="Times New Roman"/>
                <w:sz w:val="24"/>
              </w:rPr>
              <w:t>、G2：项目南侧居民</w:t>
            </w:r>
            <w:r>
              <w:rPr>
                <w:rFonts w:hint="default" w:ascii="Times New Roman" w:hAnsi="Times New Roman" w:cs="Times New Roman"/>
                <w:sz w:val="24"/>
                <w:lang w:eastAsia="zh-CN"/>
              </w:rPr>
              <w:t>（</w:t>
            </w:r>
            <w:r>
              <w:rPr>
                <w:rFonts w:hint="default" w:ascii="Times New Roman" w:hAnsi="Times New Roman" w:cs="Times New Roman"/>
                <w:sz w:val="24"/>
                <w:lang w:val="en-US" w:eastAsia="zh-CN"/>
              </w:rPr>
              <w:t>位于本项目南侧300m</w:t>
            </w:r>
            <w:r>
              <w:rPr>
                <w:rFonts w:hint="default" w:ascii="Times New Roman" w:hAnsi="Times New Roman" w:cs="Times New Roman"/>
                <w:sz w:val="24"/>
                <w:lang w:eastAsia="zh-CN"/>
              </w:rPr>
              <w:t>）</w:t>
            </w:r>
          </w:p>
          <w:p>
            <w:pPr>
              <w:bidi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检测因子：G1：TSP；</w:t>
            </w:r>
          </w:p>
          <w:p>
            <w:pPr>
              <w:bidi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检测时间及频次：TSP为24h平均值，每天1次，连续监测7天。</w:t>
            </w:r>
          </w:p>
          <w:p>
            <w:pPr>
              <w:bidi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采样和分析方法：采样按《环境监测技术规范》大气部分执行，分析方法按《环境空气质量标准》（GB3095-2012）表2中的规定执行。</w:t>
            </w:r>
          </w:p>
          <w:p>
            <w:pPr>
              <w:ind w:left="0" w:leftChars="0" w:firstLine="0" w:firstLineChars="0"/>
              <w:jc w:val="center"/>
              <w:rPr>
                <w:rFonts w:hint="default" w:ascii="Times New Roman" w:hAnsi="Times New Roman" w:cs="Times New Roman"/>
                <w:color w:val="auto"/>
                <w:vertAlign w:val="baseline"/>
                <w:lang w:val="en-US" w:eastAsia="zh-CN"/>
              </w:rPr>
            </w:pPr>
            <w:r>
              <w:rPr>
                <w:rFonts w:hint="default" w:ascii="Times New Roman" w:hAnsi="Times New Roman" w:cs="Times New Roman"/>
                <w:color w:val="auto"/>
                <w:lang w:val="en-US" w:eastAsia="zh-CN"/>
              </w:rPr>
              <w:t>表3-2 区域空气TSP质量现状评价表</w:t>
            </w:r>
          </w:p>
          <w:tbl>
            <w:tblPr>
              <w:tblStyle w:val="2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9"/>
              <w:gridCol w:w="1278"/>
              <w:gridCol w:w="2238"/>
              <w:gridCol w:w="1668"/>
              <w:gridCol w:w="955"/>
              <w:gridCol w:w="12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trPr>
              <w:tc>
                <w:tcPr>
                  <w:tcW w:w="715"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采样点位</w:t>
                  </w:r>
                </w:p>
              </w:tc>
              <w:tc>
                <w:tcPr>
                  <w:tcW w:w="737"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检测项目</w:t>
                  </w:r>
                </w:p>
              </w:tc>
              <w:tc>
                <w:tcPr>
                  <w:tcW w:w="1291"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24h平均浓度范围</w:t>
                  </w:r>
                  <w:r>
                    <w:rPr>
                      <w:rFonts w:hint="default" w:ascii="Times New Roman" w:hAnsi="Times New Roman" w:eastAsia="宋体" w:cs="Times New Roman"/>
                      <w:color w:val="auto"/>
                      <w:sz w:val="21"/>
                      <w:szCs w:val="21"/>
                      <w:vertAlign w:val="baseline"/>
                      <w:lang w:val="en-US" w:eastAsia="zh-CN"/>
                    </w:rPr>
                    <w:t>（</w:t>
                  </w:r>
                  <w:r>
                    <w:rPr>
                      <w:rFonts w:hint="default" w:ascii="Times New Roman" w:hAnsi="Times New Roman" w:cs="Times New Roman"/>
                      <w:color w:val="auto"/>
                      <w:sz w:val="21"/>
                      <w:szCs w:val="21"/>
                      <w:lang w:val="en-US" w:eastAsia="zh-CN"/>
                    </w:rPr>
                    <w:t>m</w:t>
                  </w:r>
                  <w:r>
                    <w:rPr>
                      <w:rFonts w:hint="default" w:ascii="Times New Roman" w:hAnsi="Times New Roman" w:eastAsia="宋体" w:cs="Times New Roman"/>
                      <w:color w:val="auto"/>
                      <w:sz w:val="21"/>
                      <w:szCs w:val="21"/>
                      <w:lang w:val="en-US" w:eastAsia="zh-CN"/>
                    </w:rPr>
                    <w:t>g/m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lang w:val="en-US" w:eastAsia="zh-CN"/>
                    </w:rPr>
                    <w:t>）</w:t>
                  </w:r>
                </w:p>
              </w:tc>
              <w:tc>
                <w:tcPr>
                  <w:tcW w:w="962"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评价标准</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r>
                    <w:rPr>
                      <w:rFonts w:hint="default" w:ascii="Times New Roman" w:hAnsi="Times New Roman" w:cs="Times New Roman"/>
                      <w:color w:val="auto"/>
                      <w:sz w:val="21"/>
                      <w:szCs w:val="21"/>
                      <w:vertAlign w:val="baseline"/>
                      <w:lang w:val="en-US" w:eastAsia="zh-CN"/>
                    </w:rPr>
                    <w:t>m</w:t>
                  </w:r>
                  <w:r>
                    <w:rPr>
                      <w:rFonts w:hint="default" w:ascii="Times New Roman" w:hAnsi="Times New Roman" w:eastAsia="宋体" w:cs="Times New Roman"/>
                      <w:color w:val="auto"/>
                      <w:sz w:val="21"/>
                      <w:szCs w:val="21"/>
                      <w:lang w:val="en-US" w:eastAsia="zh-CN"/>
                    </w:rPr>
                    <w:t>g/m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lang w:val="en-US" w:eastAsia="zh-CN"/>
                    </w:rPr>
                    <w:t>）</w:t>
                  </w:r>
                </w:p>
              </w:tc>
              <w:tc>
                <w:tcPr>
                  <w:tcW w:w="551"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超标率（%）</w:t>
                  </w:r>
                </w:p>
              </w:tc>
              <w:tc>
                <w:tcPr>
                  <w:tcW w:w="741"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715"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G</w:t>
                  </w:r>
                  <w:r>
                    <w:rPr>
                      <w:rFonts w:hint="default" w:ascii="Times New Roman" w:hAnsi="Times New Roman" w:cs="Times New Roman"/>
                      <w:color w:val="auto"/>
                      <w:sz w:val="21"/>
                      <w:szCs w:val="21"/>
                      <w:vertAlign w:val="baseline"/>
                      <w:lang w:val="en-US" w:eastAsia="zh-CN"/>
                    </w:rPr>
                    <w:t>1</w:t>
                  </w:r>
                </w:p>
              </w:tc>
              <w:tc>
                <w:tcPr>
                  <w:tcW w:w="737"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TSP</w:t>
                  </w:r>
                </w:p>
              </w:tc>
              <w:tc>
                <w:tcPr>
                  <w:tcW w:w="1291"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0.101-0.121</w:t>
                  </w:r>
                </w:p>
              </w:tc>
              <w:tc>
                <w:tcPr>
                  <w:tcW w:w="962"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0.3</w:t>
                  </w:r>
                </w:p>
              </w:tc>
              <w:tc>
                <w:tcPr>
                  <w:tcW w:w="551"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p>
              </w:tc>
              <w:tc>
                <w:tcPr>
                  <w:tcW w:w="741"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715"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G2</w:t>
                  </w:r>
                </w:p>
              </w:tc>
              <w:tc>
                <w:tcPr>
                  <w:tcW w:w="737"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TSP</w:t>
                  </w:r>
                </w:p>
              </w:tc>
              <w:tc>
                <w:tcPr>
                  <w:tcW w:w="1291"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kern w:val="2"/>
                      <w:sz w:val="21"/>
                      <w:szCs w:val="24"/>
                      <w:lang w:eastAsia="zh-CN"/>
                    </w:rPr>
                    <w:t>0.098-0.118</w:t>
                  </w:r>
                </w:p>
              </w:tc>
              <w:tc>
                <w:tcPr>
                  <w:tcW w:w="962"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0.3</w:t>
                  </w:r>
                </w:p>
              </w:tc>
              <w:tc>
                <w:tcPr>
                  <w:tcW w:w="551"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w:t>
                  </w:r>
                </w:p>
              </w:tc>
              <w:tc>
                <w:tcPr>
                  <w:tcW w:w="741"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达标</w:t>
                  </w:r>
                </w:p>
              </w:tc>
            </w:tr>
          </w:tbl>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根据上表监测结果可知，项目所在地环境空气监测点的TSP日均浓度均满足《环境空气质量标准》（GB3095-2012）及其修改单二级标准要求。</w:t>
            </w:r>
          </w:p>
          <w:p>
            <w:pPr>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②特征因子TVOC</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TVOC（以非甲烷总烃表征）引用《</w:t>
            </w:r>
            <w:r>
              <w:rPr>
                <w:rFonts w:hint="default" w:ascii="Times New Roman" w:hAnsi="Times New Roman" w:eastAsia="宋体" w:cs="Times New Roman"/>
                <w:color w:val="auto"/>
                <w:sz w:val="24"/>
                <w:szCs w:val="24"/>
                <w:lang w:val="en-US" w:eastAsia="zh-CN"/>
              </w:rPr>
              <w:t>湘阴县西湖加油站建设项目</w:t>
            </w:r>
            <w:r>
              <w:rPr>
                <w:rFonts w:hint="default" w:ascii="Times New Roman" w:hAnsi="Times New Roman" w:cs="Times New Roman"/>
                <w:color w:val="auto"/>
                <w:lang w:val="en-US" w:eastAsia="zh-CN"/>
              </w:rPr>
              <w:t>》，该项目于2019年12月04日～12月10日，监测点位于本项目南侧3.5km，监测时间在三年有效期内，距离满足5km范围要求，引用监测数据可行。</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监测点位：G3（位于本项目南面3.5km）</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监测因子：非甲烷总烃</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监测时间及频次：2019年12月04日~12月10日。</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监测周期和频率：连续监测7天</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采样和分析方法；采样方法按《环境空气质量监测（试行）规范》（国家环保总局公告2007年第四号）执行。非甲烷总烃分析方法按《室内空气质量标准》（GB18883-2002）规定执行。</w:t>
            </w:r>
          </w:p>
          <w:p>
            <w:pPr>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表3-3 区域空气非甲烷总烃质量现状评价表</w:t>
            </w:r>
          </w:p>
          <w:tbl>
            <w:tblPr>
              <w:tblStyle w:val="22"/>
              <w:tblW w:w="8678"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8"/>
              <w:gridCol w:w="933"/>
              <w:gridCol w:w="848"/>
              <w:gridCol w:w="817"/>
              <w:gridCol w:w="780"/>
              <w:gridCol w:w="675"/>
              <w:gridCol w:w="780"/>
              <w:gridCol w:w="690"/>
              <w:gridCol w:w="789"/>
              <w:gridCol w:w="789"/>
              <w:gridCol w:w="7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788" w:type="dxa"/>
                  <w:vMerge w:val="restar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采样</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位置</w:t>
                  </w:r>
                </w:p>
              </w:tc>
              <w:tc>
                <w:tcPr>
                  <w:tcW w:w="933" w:type="dxa"/>
                  <w:vMerge w:val="restar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检测</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因子</w:t>
                  </w:r>
                </w:p>
              </w:tc>
              <w:tc>
                <w:tcPr>
                  <w:tcW w:w="848" w:type="dxa"/>
                  <w:vMerge w:val="restar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单位</w:t>
                  </w:r>
                </w:p>
              </w:tc>
              <w:tc>
                <w:tcPr>
                  <w:tcW w:w="817" w:type="dxa"/>
                  <w:vMerge w:val="restar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采样</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频次</w:t>
                  </w:r>
                </w:p>
              </w:tc>
              <w:tc>
                <w:tcPr>
                  <w:tcW w:w="5292" w:type="dxa"/>
                  <w:gridSpan w:val="7"/>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检测结果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788" w:type="dxa"/>
                  <w:vMerge w:val="continue"/>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933" w:type="dxa"/>
                  <w:vMerge w:val="continue"/>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848" w:type="dxa"/>
                  <w:vMerge w:val="continue"/>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817" w:type="dxa"/>
                  <w:vMerge w:val="continue"/>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78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12月04日</w:t>
                  </w:r>
                </w:p>
              </w:tc>
              <w:tc>
                <w:tcPr>
                  <w:tcW w:w="675"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12月05日</w:t>
                  </w:r>
                </w:p>
              </w:tc>
              <w:tc>
                <w:tcPr>
                  <w:tcW w:w="78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12月06日</w:t>
                  </w:r>
                </w:p>
              </w:tc>
              <w:tc>
                <w:tcPr>
                  <w:tcW w:w="69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12月07日</w:t>
                  </w:r>
                </w:p>
              </w:tc>
              <w:tc>
                <w:tcPr>
                  <w:tcW w:w="789"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12月08日</w:t>
                  </w:r>
                </w:p>
              </w:tc>
              <w:tc>
                <w:tcPr>
                  <w:tcW w:w="789"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12月09日</w:t>
                  </w:r>
                </w:p>
              </w:tc>
              <w:tc>
                <w:tcPr>
                  <w:tcW w:w="789"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12月10日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Merge w:val="restar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G3</w:t>
                  </w:r>
                </w:p>
              </w:tc>
              <w:tc>
                <w:tcPr>
                  <w:tcW w:w="93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非甲烷总烃</w:t>
                  </w:r>
                </w:p>
              </w:tc>
              <w:tc>
                <w:tcPr>
                  <w:tcW w:w="848"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mg/m</w:t>
                  </w:r>
                  <w:r>
                    <w:rPr>
                      <w:rFonts w:hint="default" w:ascii="Times New Roman" w:hAnsi="Times New Roman" w:cs="Times New Roman"/>
                      <w:color w:val="auto"/>
                      <w:sz w:val="21"/>
                      <w:szCs w:val="21"/>
                      <w:vertAlign w:val="superscript"/>
                      <w:lang w:val="en-US" w:eastAsia="zh-CN"/>
                    </w:rPr>
                    <w:t>3</w:t>
                  </w:r>
                </w:p>
              </w:tc>
              <w:tc>
                <w:tcPr>
                  <w:tcW w:w="817"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第1次</w:t>
                  </w:r>
                </w:p>
              </w:tc>
              <w:tc>
                <w:tcPr>
                  <w:tcW w:w="78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1.31</w:t>
                  </w:r>
                </w:p>
              </w:tc>
              <w:tc>
                <w:tcPr>
                  <w:tcW w:w="675"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1.42</w:t>
                  </w:r>
                </w:p>
              </w:tc>
              <w:tc>
                <w:tcPr>
                  <w:tcW w:w="78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1.32</w:t>
                  </w:r>
                </w:p>
              </w:tc>
              <w:tc>
                <w:tcPr>
                  <w:tcW w:w="69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1.15</w:t>
                  </w:r>
                </w:p>
              </w:tc>
              <w:tc>
                <w:tcPr>
                  <w:tcW w:w="789"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1.05</w:t>
                  </w:r>
                </w:p>
              </w:tc>
              <w:tc>
                <w:tcPr>
                  <w:tcW w:w="789"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1.10</w:t>
                  </w:r>
                </w:p>
              </w:tc>
              <w:tc>
                <w:tcPr>
                  <w:tcW w:w="789"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Merge w:val="continue"/>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93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非甲烷总烃</w:t>
                  </w:r>
                </w:p>
              </w:tc>
              <w:tc>
                <w:tcPr>
                  <w:tcW w:w="848"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mg/m</w:t>
                  </w:r>
                  <w:r>
                    <w:rPr>
                      <w:rFonts w:hint="default" w:ascii="Times New Roman" w:hAnsi="Times New Roman" w:cs="Times New Roman"/>
                      <w:color w:val="auto"/>
                      <w:sz w:val="21"/>
                      <w:szCs w:val="21"/>
                      <w:vertAlign w:val="superscript"/>
                      <w:lang w:val="en-US" w:eastAsia="zh-CN"/>
                    </w:rPr>
                    <w:t>3</w:t>
                  </w:r>
                </w:p>
              </w:tc>
              <w:tc>
                <w:tcPr>
                  <w:tcW w:w="817"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第2次</w:t>
                  </w:r>
                </w:p>
              </w:tc>
              <w:tc>
                <w:tcPr>
                  <w:tcW w:w="78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1.34</w:t>
                  </w:r>
                </w:p>
              </w:tc>
              <w:tc>
                <w:tcPr>
                  <w:tcW w:w="675"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1.44</w:t>
                  </w:r>
                </w:p>
              </w:tc>
              <w:tc>
                <w:tcPr>
                  <w:tcW w:w="78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1.34</w:t>
                  </w:r>
                </w:p>
              </w:tc>
              <w:tc>
                <w:tcPr>
                  <w:tcW w:w="69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1.18</w:t>
                  </w:r>
                </w:p>
              </w:tc>
              <w:tc>
                <w:tcPr>
                  <w:tcW w:w="789"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1.07</w:t>
                  </w:r>
                </w:p>
              </w:tc>
              <w:tc>
                <w:tcPr>
                  <w:tcW w:w="789"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1.11</w:t>
                  </w:r>
                </w:p>
              </w:tc>
              <w:tc>
                <w:tcPr>
                  <w:tcW w:w="789"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Merge w:val="continue"/>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93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非甲烷总烃</w:t>
                  </w:r>
                </w:p>
              </w:tc>
              <w:tc>
                <w:tcPr>
                  <w:tcW w:w="848"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mg/m</w:t>
                  </w:r>
                  <w:r>
                    <w:rPr>
                      <w:rFonts w:hint="default" w:ascii="Times New Roman" w:hAnsi="Times New Roman" w:cs="Times New Roman"/>
                      <w:color w:val="auto"/>
                      <w:sz w:val="21"/>
                      <w:szCs w:val="21"/>
                      <w:vertAlign w:val="superscript"/>
                      <w:lang w:val="en-US" w:eastAsia="zh-CN"/>
                    </w:rPr>
                    <w:t>3</w:t>
                  </w:r>
                </w:p>
              </w:tc>
              <w:tc>
                <w:tcPr>
                  <w:tcW w:w="817"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第3次</w:t>
                  </w:r>
                </w:p>
              </w:tc>
              <w:tc>
                <w:tcPr>
                  <w:tcW w:w="78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1.38</w:t>
                  </w:r>
                </w:p>
              </w:tc>
              <w:tc>
                <w:tcPr>
                  <w:tcW w:w="675"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1.46</w:t>
                  </w:r>
                </w:p>
              </w:tc>
              <w:tc>
                <w:tcPr>
                  <w:tcW w:w="78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1.35</w:t>
                  </w:r>
                </w:p>
              </w:tc>
              <w:tc>
                <w:tcPr>
                  <w:tcW w:w="69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1.20</w:t>
                  </w:r>
                </w:p>
              </w:tc>
              <w:tc>
                <w:tcPr>
                  <w:tcW w:w="789"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1.08</w:t>
                  </w:r>
                </w:p>
              </w:tc>
              <w:tc>
                <w:tcPr>
                  <w:tcW w:w="789"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1.15</w:t>
                  </w:r>
                </w:p>
              </w:tc>
              <w:tc>
                <w:tcPr>
                  <w:tcW w:w="789"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69" w:type="dxa"/>
                  <w:gridSpan w:val="3"/>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eastAsia="宋体" w:cs="Times New Roman"/>
                      <w:color w:val="auto"/>
                      <w:kern w:val="2"/>
                      <w:sz w:val="21"/>
                      <w:szCs w:val="21"/>
                      <w:lang w:val="en-US" w:eastAsia="zh-CN" w:bidi="ar-SA"/>
                    </w:rPr>
                    <w:t>标准限值</w:t>
                  </w:r>
                </w:p>
              </w:tc>
              <w:tc>
                <w:tcPr>
                  <w:tcW w:w="6109" w:type="dxa"/>
                  <w:gridSpan w:val="8"/>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2.0</w:t>
                  </w:r>
                </w:p>
              </w:tc>
            </w:tr>
          </w:tbl>
          <w:p>
            <w:pPr>
              <w:ind w:left="0" w:leftChars="0" w:firstLine="480" w:firstLineChars="20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由上表监测结果可知，非甲烷总烃参照执行《大气污染物综合排放标准详解》中推荐标准2.0mg/m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，满足要求。</w:t>
            </w:r>
          </w:p>
          <w:p>
            <w:pPr>
              <w:bidi w:val="0"/>
              <w:ind w:left="0" w:leftChars="0"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3.2 </w:t>
            </w:r>
            <w:r>
              <w:rPr>
                <w:rFonts w:hint="default" w:ascii="Times New Roman" w:hAnsi="Times New Roman" w:eastAsia="黑体" w:cs="Times New Roman"/>
                <w:color w:val="auto"/>
                <w:lang w:val="en-US" w:eastAsia="zh-CN"/>
              </w:rPr>
              <w:t>地表水环境质量现状</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区域排水经市政污水管网进入湘阴县第一污水处理厂处理，处理达标后排入白沙河最后进入湘江，为了了解项目纳污水体水质现状，本评价收集了湘阴县环境监测站2020年度乌龙嘴断面常规监测数据，以此说明项目纳污水体地表水环境质量状况。</w:t>
            </w:r>
          </w:p>
          <w:p>
            <w:pPr>
              <w:numPr>
                <w:ilvl w:val="0"/>
                <w:numId w:val="5"/>
              </w:numPr>
              <w:bidi w:val="0"/>
              <w:ind w:left="-566" w:leftChars="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评价标准：乌龙嘴断面均执行《地表水环境质量标准》（GB3838-2002）Ⅲ类标准。</w:t>
            </w:r>
          </w:p>
          <w:p>
            <w:pPr>
              <w:numPr>
                <w:ilvl w:val="0"/>
                <w:numId w:val="5"/>
              </w:numPr>
              <w:bidi w:val="0"/>
              <w:ind w:left="-566" w:leftChars="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监测及评价结果如下表所示。</w:t>
            </w:r>
          </w:p>
          <w:p>
            <w:pPr>
              <w:numPr>
                <w:ilvl w:val="0"/>
                <w:numId w:val="0"/>
              </w:numPr>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表3-4 2020年湘江乌龙嘴断面监测结果统计表</w:t>
            </w:r>
          </w:p>
          <w:tbl>
            <w:tblPr>
              <w:tblStyle w:val="22"/>
              <w:tblW w:w="8707"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1"/>
              <w:gridCol w:w="1930"/>
              <w:gridCol w:w="1155"/>
              <w:gridCol w:w="1245"/>
              <w:gridCol w:w="915"/>
              <w:gridCol w:w="905"/>
              <w:gridCol w:w="1185"/>
              <w:gridCol w:w="9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1"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监测因子</w:t>
                  </w:r>
                </w:p>
              </w:tc>
              <w:tc>
                <w:tcPr>
                  <w:tcW w:w="11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年平均值</w:t>
                  </w:r>
                </w:p>
              </w:tc>
              <w:tc>
                <w:tcPr>
                  <w:tcW w:w="124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单位</w:t>
                  </w:r>
                </w:p>
              </w:tc>
              <w:tc>
                <w:tcPr>
                  <w:tcW w:w="91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超标率</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9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最大超标倍数</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标准限值</w:t>
                  </w:r>
                </w:p>
              </w:tc>
              <w:tc>
                <w:tcPr>
                  <w:tcW w:w="93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湘江乌龙嘴断面</w:t>
                  </w:r>
                </w:p>
              </w:tc>
              <w:tc>
                <w:tcPr>
                  <w:tcW w:w="19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水温</w:t>
                  </w:r>
                </w:p>
              </w:tc>
              <w:tc>
                <w:tcPr>
                  <w:tcW w:w="11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20.3</w:t>
                  </w:r>
                </w:p>
              </w:tc>
              <w:tc>
                <w:tcPr>
                  <w:tcW w:w="124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91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w:t>
                  </w:r>
                </w:p>
              </w:tc>
              <w:tc>
                <w:tcPr>
                  <w:tcW w:w="9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93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p>
              </w:tc>
              <w:tc>
                <w:tcPr>
                  <w:tcW w:w="19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pH值</w:t>
                  </w:r>
                </w:p>
              </w:tc>
              <w:tc>
                <w:tcPr>
                  <w:tcW w:w="11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7.32~7.98</w:t>
                  </w:r>
                </w:p>
              </w:tc>
              <w:tc>
                <w:tcPr>
                  <w:tcW w:w="124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无量纲</w:t>
                  </w:r>
                </w:p>
              </w:tc>
              <w:tc>
                <w:tcPr>
                  <w:tcW w:w="91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w:t>
                  </w:r>
                </w:p>
              </w:tc>
              <w:tc>
                <w:tcPr>
                  <w:tcW w:w="9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6~9</w:t>
                  </w:r>
                </w:p>
              </w:tc>
              <w:tc>
                <w:tcPr>
                  <w:tcW w:w="93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p>
              </w:tc>
              <w:tc>
                <w:tcPr>
                  <w:tcW w:w="19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溶解氧</w:t>
                  </w:r>
                </w:p>
              </w:tc>
              <w:tc>
                <w:tcPr>
                  <w:tcW w:w="11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6.5</w:t>
                  </w:r>
                </w:p>
              </w:tc>
              <w:tc>
                <w:tcPr>
                  <w:tcW w:w="124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mg/L</w:t>
                  </w:r>
                </w:p>
              </w:tc>
              <w:tc>
                <w:tcPr>
                  <w:tcW w:w="91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w:t>
                  </w:r>
                </w:p>
              </w:tc>
              <w:tc>
                <w:tcPr>
                  <w:tcW w:w="9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w:t>
                  </w:r>
                </w:p>
              </w:tc>
              <w:tc>
                <w:tcPr>
                  <w:tcW w:w="93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p>
              </w:tc>
              <w:tc>
                <w:tcPr>
                  <w:tcW w:w="19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高锰酸钾指数</w:t>
                  </w:r>
                </w:p>
              </w:tc>
              <w:tc>
                <w:tcPr>
                  <w:tcW w:w="11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2.1</w:t>
                  </w:r>
                </w:p>
              </w:tc>
              <w:tc>
                <w:tcPr>
                  <w:tcW w:w="124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mg/L</w:t>
                  </w:r>
                </w:p>
              </w:tc>
              <w:tc>
                <w:tcPr>
                  <w:tcW w:w="91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0</w:t>
                  </w:r>
                </w:p>
              </w:tc>
              <w:tc>
                <w:tcPr>
                  <w:tcW w:w="9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6</w:t>
                  </w:r>
                </w:p>
              </w:tc>
              <w:tc>
                <w:tcPr>
                  <w:tcW w:w="93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p>
              </w:tc>
              <w:tc>
                <w:tcPr>
                  <w:tcW w:w="19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化学需氧量</w:t>
                  </w:r>
                </w:p>
              </w:tc>
              <w:tc>
                <w:tcPr>
                  <w:tcW w:w="11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11</w:t>
                  </w:r>
                </w:p>
              </w:tc>
              <w:tc>
                <w:tcPr>
                  <w:tcW w:w="124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mg/L</w:t>
                  </w:r>
                </w:p>
              </w:tc>
              <w:tc>
                <w:tcPr>
                  <w:tcW w:w="91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0</w:t>
                  </w:r>
                </w:p>
              </w:tc>
              <w:tc>
                <w:tcPr>
                  <w:tcW w:w="9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20</w:t>
                  </w:r>
                </w:p>
              </w:tc>
              <w:tc>
                <w:tcPr>
                  <w:tcW w:w="93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p>
              </w:tc>
              <w:tc>
                <w:tcPr>
                  <w:tcW w:w="19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生化需氧量</w:t>
                  </w:r>
                </w:p>
              </w:tc>
              <w:tc>
                <w:tcPr>
                  <w:tcW w:w="11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1.5</w:t>
                  </w:r>
                </w:p>
              </w:tc>
              <w:tc>
                <w:tcPr>
                  <w:tcW w:w="124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mg/L</w:t>
                  </w:r>
                </w:p>
              </w:tc>
              <w:tc>
                <w:tcPr>
                  <w:tcW w:w="91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0</w:t>
                  </w:r>
                </w:p>
              </w:tc>
              <w:tc>
                <w:tcPr>
                  <w:tcW w:w="9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4</w:t>
                  </w:r>
                </w:p>
              </w:tc>
              <w:tc>
                <w:tcPr>
                  <w:tcW w:w="93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p>
              </w:tc>
              <w:tc>
                <w:tcPr>
                  <w:tcW w:w="19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氨氮</w:t>
                  </w:r>
                </w:p>
              </w:tc>
              <w:tc>
                <w:tcPr>
                  <w:tcW w:w="11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0.15</w:t>
                  </w:r>
                </w:p>
              </w:tc>
              <w:tc>
                <w:tcPr>
                  <w:tcW w:w="124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mg/L</w:t>
                  </w:r>
                </w:p>
              </w:tc>
              <w:tc>
                <w:tcPr>
                  <w:tcW w:w="91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0</w:t>
                  </w:r>
                </w:p>
              </w:tc>
              <w:tc>
                <w:tcPr>
                  <w:tcW w:w="9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1.0</w:t>
                  </w:r>
                </w:p>
              </w:tc>
              <w:tc>
                <w:tcPr>
                  <w:tcW w:w="93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p>
              </w:tc>
              <w:tc>
                <w:tcPr>
                  <w:tcW w:w="19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总磷</w:t>
                  </w:r>
                </w:p>
              </w:tc>
              <w:tc>
                <w:tcPr>
                  <w:tcW w:w="11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0.02</w:t>
                  </w:r>
                </w:p>
              </w:tc>
              <w:tc>
                <w:tcPr>
                  <w:tcW w:w="124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mg/L</w:t>
                  </w:r>
                </w:p>
              </w:tc>
              <w:tc>
                <w:tcPr>
                  <w:tcW w:w="91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0</w:t>
                  </w:r>
                </w:p>
              </w:tc>
              <w:tc>
                <w:tcPr>
                  <w:tcW w:w="9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0.2</w:t>
                  </w:r>
                </w:p>
              </w:tc>
              <w:tc>
                <w:tcPr>
                  <w:tcW w:w="93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p>
              </w:tc>
              <w:tc>
                <w:tcPr>
                  <w:tcW w:w="19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挥发酚</w:t>
                  </w:r>
                </w:p>
              </w:tc>
              <w:tc>
                <w:tcPr>
                  <w:tcW w:w="11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0.0003</w:t>
                  </w:r>
                </w:p>
              </w:tc>
              <w:tc>
                <w:tcPr>
                  <w:tcW w:w="124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mg/L</w:t>
                  </w:r>
                </w:p>
              </w:tc>
              <w:tc>
                <w:tcPr>
                  <w:tcW w:w="91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0</w:t>
                  </w:r>
                </w:p>
              </w:tc>
              <w:tc>
                <w:tcPr>
                  <w:tcW w:w="9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0.005</w:t>
                  </w:r>
                </w:p>
              </w:tc>
              <w:tc>
                <w:tcPr>
                  <w:tcW w:w="93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p>
              </w:tc>
              <w:tc>
                <w:tcPr>
                  <w:tcW w:w="19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石油类</w:t>
                  </w:r>
                </w:p>
              </w:tc>
              <w:tc>
                <w:tcPr>
                  <w:tcW w:w="11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0.02</w:t>
                  </w:r>
                </w:p>
              </w:tc>
              <w:tc>
                <w:tcPr>
                  <w:tcW w:w="124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mg/L</w:t>
                  </w:r>
                </w:p>
              </w:tc>
              <w:tc>
                <w:tcPr>
                  <w:tcW w:w="91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0</w:t>
                  </w:r>
                </w:p>
              </w:tc>
              <w:tc>
                <w:tcPr>
                  <w:tcW w:w="9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0.05</w:t>
                  </w:r>
                </w:p>
              </w:tc>
              <w:tc>
                <w:tcPr>
                  <w:tcW w:w="93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p>
              </w:tc>
              <w:tc>
                <w:tcPr>
                  <w:tcW w:w="19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阴离子表面活性剂</w:t>
                  </w:r>
                </w:p>
              </w:tc>
              <w:tc>
                <w:tcPr>
                  <w:tcW w:w="11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0.05</w:t>
                  </w:r>
                </w:p>
              </w:tc>
              <w:tc>
                <w:tcPr>
                  <w:tcW w:w="124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mg/L</w:t>
                  </w:r>
                </w:p>
              </w:tc>
              <w:tc>
                <w:tcPr>
                  <w:tcW w:w="91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0</w:t>
                  </w:r>
                </w:p>
              </w:tc>
              <w:tc>
                <w:tcPr>
                  <w:tcW w:w="9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0.2</w:t>
                  </w:r>
                </w:p>
              </w:tc>
              <w:tc>
                <w:tcPr>
                  <w:tcW w:w="93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p>
              </w:tc>
              <w:tc>
                <w:tcPr>
                  <w:tcW w:w="19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粪大肠菌群</w:t>
                  </w:r>
                </w:p>
              </w:tc>
              <w:tc>
                <w:tcPr>
                  <w:tcW w:w="11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6644</w:t>
                  </w:r>
                </w:p>
              </w:tc>
              <w:tc>
                <w:tcPr>
                  <w:tcW w:w="124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个/L</w:t>
                  </w:r>
                </w:p>
              </w:tc>
              <w:tc>
                <w:tcPr>
                  <w:tcW w:w="91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0</w:t>
                  </w:r>
                </w:p>
              </w:tc>
              <w:tc>
                <w:tcPr>
                  <w:tcW w:w="90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w:t>
                  </w:r>
                </w:p>
              </w:tc>
              <w:tc>
                <w:tcPr>
                  <w:tcW w:w="11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10000</w:t>
                  </w:r>
                </w:p>
              </w:tc>
              <w:tc>
                <w:tcPr>
                  <w:tcW w:w="93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达标</w:t>
                  </w:r>
                </w:p>
              </w:tc>
            </w:tr>
          </w:tbl>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由上表监测数据表明：2020年度，乌龙嘴断面各项监测指标均能达到《地表水环境质量标准》（GB3838-2002）Ⅲ类水质标准。</w:t>
            </w:r>
          </w:p>
          <w:p>
            <w:pPr>
              <w:bidi w:val="0"/>
              <w:ind w:left="0" w:leftChars="0"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3.3 </w:t>
            </w:r>
            <w:r>
              <w:rPr>
                <w:rFonts w:hint="default" w:ascii="Times New Roman" w:hAnsi="Times New Roman" w:eastAsia="黑体" w:cs="Times New Roman"/>
                <w:color w:val="auto"/>
                <w:lang w:val="en-US" w:eastAsia="zh-CN"/>
              </w:rPr>
              <w:t>声环境质量现状</w:t>
            </w:r>
          </w:p>
          <w:p>
            <w:pPr>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根据《建设项目环境影响报告表编制技术指南（污染影响类）（试行）》，厂界外周边50米范围内存在声环境保护目标的建设项目，应监测保护目标声环境质量现状并评价达标情况。</w:t>
            </w:r>
          </w:p>
          <w:p>
            <w:pPr>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根据现场调查，本项目评价范围50m范围内北侧、东南侧以及东侧均分布有居民点。本项目分别对北侧、东南侧以及东侧三个方向的居民点进行了现状监测，委托湖南谱实检测技术有限公司于2022年7月</w:t>
            </w:r>
            <w:r>
              <w:rPr>
                <w:rFonts w:hint="default" w:ascii="Times New Roman" w:hAnsi="Times New Roman" w:cs="Times New Roman"/>
                <w:color w:val="FF0000"/>
                <w:highlight w:val="none"/>
                <w:lang w:val="en-US" w:eastAsia="zh-CN"/>
              </w:rPr>
              <w:t>9</w:t>
            </w:r>
            <w:r>
              <w:rPr>
                <w:rFonts w:hint="default" w:ascii="Times New Roman" w:hAnsi="Times New Roman" w:cs="Times New Roman"/>
                <w:color w:val="FF0000"/>
                <w:lang w:val="en-US" w:eastAsia="zh-CN"/>
              </w:rPr>
              <w:t>日~10日对环境保护目标进行监测，结果如下。</w:t>
            </w:r>
          </w:p>
          <w:p>
            <w:pPr>
              <w:bidi w:val="0"/>
              <w:ind w:left="0" w:leftChars="0" w:firstLine="0" w:firstLineChars="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表3-5 敏感点声环境监测结果</w:t>
            </w:r>
          </w:p>
          <w:tbl>
            <w:tblPr>
              <w:tblStyle w:val="22"/>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76"/>
              <w:gridCol w:w="1198"/>
              <w:gridCol w:w="1678"/>
              <w:gridCol w:w="1794"/>
              <w:gridCol w:w="1124"/>
              <w:gridCol w:w="11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967"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检测点位</w:t>
                  </w:r>
                </w:p>
              </w:tc>
              <w:tc>
                <w:tcPr>
                  <w:tcW w:w="691"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监测因子</w:t>
                  </w:r>
                </w:p>
              </w:tc>
              <w:tc>
                <w:tcPr>
                  <w:tcW w:w="2003"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检测结果（单位：dB（A））</w:t>
                  </w:r>
                </w:p>
              </w:tc>
              <w:tc>
                <w:tcPr>
                  <w:tcW w:w="648"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标准限值</w:t>
                  </w:r>
                </w:p>
              </w:tc>
              <w:tc>
                <w:tcPr>
                  <w:tcW w:w="689"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96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rPr>
                  </w:pPr>
                </w:p>
              </w:tc>
              <w:tc>
                <w:tcPr>
                  <w:tcW w:w="691"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rPr>
                  </w:pPr>
                </w:p>
              </w:tc>
              <w:tc>
                <w:tcPr>
                  <w:tcW w:w="96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7月9日</w:t>
                  </w:r>
                </w:p>
              </w:tc>
              <w:tc>
                <w:tcPr>
                  <w:tcW w:w="1035"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7月10日</w:t>
                  </w:r>
                </w:p>
              </w:tc>
              <w:tc>
                <w:tcPr>
                  <w:tcW w:w="648"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p>
              </w:tc>
              <w:tc>
                <w:tcPr>
                  <w:tcW w:w="68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967"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N1项目北侧27m处居民点</w:t>
                  </w:r>
                </w:p>
              </w:tc>
              <w:tc>
                <w:tcPr>
                  <w:tcW w:w="691"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昼间</w:t>
                  </w:r>
                </w:p>
              </w:tc>
              <w:tc>
                <w:tcPr>
                  <w:tcW w:w="96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53</w:t>
                  </w:r>
                </w:p>
              </w:tc>
              <w:tc>
                <w:tcPr>
                  <w:tcW w:w="1035"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54</w:t>
                  </w:r>
                </w:p>
              </w:tc>
              <w:tc>
                <w:tcPr>
                  <w:tcW w:w="64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60</w:t>
                  </w:r>
                </w:p>
              </w:tc>
              <w:tc>
                <w:tcPr>
                  <w:tcW w:w="68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96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p>
              </w:tc>
              <w:tc>
                <w:tcPr>
                  <w:tcW w:w="691"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夜间</w:t>
                  </w:r>
                </w:p>
              </w:tc>
              <w:tc>
                <w:tcPr>
                  <w:tcW w:w="96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40</w:t>
                  </w:r>
                </w:p>
              </w:tc>
              <w:tc>
                <w:tcPr>
                  <w:tcW w:w="1035"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41</w:t>
                  </w:r>
                </w:p>
              </w:tc>
              <w:tc>
                <w:tcPr>
                  <w:tcW w:w="64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50</w:t>
                  </w:r>
                </w:p>
              </w:tc>
              <w:tc>
                <w:tcPr>
                  <w:tcW w:w="68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cs="Times New Roman"/>
                      <w:color w:val="FF0000"/>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967"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N2项目东侧22m处居民点</w:t>
                  </w:r>
                </w:p>
              </w:tc>
              <w:tc>
                <w:tcPr>
                  <w:tcW w:w="691"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cs="Times New Roman"/>
                      <w:color w:val="FF0000"/>
                      <w:sz w:val="21"/>
                      <w:szCs w:val="21"/>
                      <w:vertAlign w:val="baseline"/>
                      <w:lang w:val="en-US" w:eastAsia="zh-CN"/>
                    </w:rPr>
                    <w:t>昼间</w:t>
                  </w:r>
                </w:p>
              </w:tc>
              <w:tc>
                <w:tcPr>
                  <w:tcW w:w="96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54</w:t>
                  </w:r>
                </w:p>
              </w:tc>
              <w:tc>
                <w:tcPr>
                  <w:tcW w:w="1035"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56</w:t>
                  </w:r>
                </w:p>
              </w:tc>
              <w:tc>
                <w:tcPr>
                  <w:tcW w:w="64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cs="Times New Roman"/>
                      <w:color w:val="FF0000"/>
                      <w:sz w:val="21"/>
                      <w:szCs w:val="21"/>
                      <w:vertAlign w:val="baseline"/>
                      <w:lang w:val="en-US" w:eastAsia="zh-CN"/>
                    </w:rPr>
                    <w:t>60</w:t>
                  </w:r>
                </w:p>
              </w:tc>
              <w:tc>
                <w:tcPr>
                  <w:tcW w:w="68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cs="Times New Roman"/>
                      <w:color w:val="FF0000"/>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96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p>
              </w:tc>
              <w:tc>
                <w:tcPr>
                  <w:tcW w:w="691"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cs="Times New Roman"/>
                      <w:color w:val="FF0000"/>
                      <w:sz w:val="21"/>
                      <w:szCs w:val="21"/>
                      <w:vertAlign w:val="baseline"/>
                      <w:lang w:val="en-US" w:eastAsia="zh-CN"/>
                    </w:rPr>
                    <w:t>夜间</w:t>
                  </w:r>
                </w:p>
              </w:tc>
              <w:tc>
                <w:tcPr>
                  <w:tcW w:w="96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41</w:t>
                  </w:r>
                </w:p>
              </w:tc>
              <w:tc>
                <w:tcPr>
                  <w:tcW w:w="1035"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41</w:t>
                  </w:r>
                </w:p>
              </w:tc>
              <w:tc>
                <w:tcPr>
                  <w:tcW w:w="64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cs="Times New Roman"/>
                      <w:color w:val="FF0000"/>
                      <w:sz w:val="21"/>
                      <w:szCs w:val="21"/>
                      <w:vertAlign w:val="baseline"/>
                      <w:lang w:val="en-US" w:eastAsia="zh-CN"/>
                    </w:rPr>
                    <w:t>50</w:t>
                  </w:r>
                </w:p>
              </w:tc>
              <w:tc>
                <w:tcPr>
                  <w:tcW w:w="68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cs="Times New Roman"/>
                      <w:color w:val="FF0000"/>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967"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N3东南侧30m处居民点</w:t>
                  </w:r>
                </w:p>
              </w:tc>
              <w:tc>
                <w:tcPr>
                  <w:tcW w:w="691"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cs="Times New Roman"/>
                      <w:color w:val="FF0000"/>
                      <w:sz w:val="21"/>
                      <w:szCs w:val="21"/>
                      <w:vertAlign w:val="baseline"/>
                      <w:lang w:val="en-US" w:eastAsia="zh-CN"/>
                    </w:rPr>
                    <w:t>昼间</w:t>
                  </w:r>
                </w:p>
              </w:tc>
              <w:tc>
                <w:tcPr>
                  <w:tcW w:w="96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53</w:t>
                  </w:r>
                </w:p>
              </w:tc>
              <w:tc>
                <w:tcPr>
                  <w:tcW w:w="1035"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55</w:t>
                  </w:r>
                </w:p>
              </w:tc>
              <w:tc>
                <w:tcPr>
                  <w:tcW w:w="64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cs="Times New Roman"/>
                      <w:color w:val="FF0000"/>
                      <w:sz w:val="21"/>
                      <w:szCs w:val="21"/>
                      <w:vertAlign w:val="baseline"/>
                      <w:lang w:val="en-US" w:eastAsia="zh-CN"/>
                    </w:rPr>
                    <w:t>60</w:t>
                  </w:r>
                </w:p>
              </w:tc>
              <w:tc>
                <w:tcPr>
                  <w:tcW w:w="68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cs="Times New Roman"/>
                      <w:color w:val="FF0000"/>
                      <w:sz w:val="21"/>
                      <w:szCs w:val="21"/>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96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p>
              </w:tc>
              <w:tc>
                <w:tcPr>
                  <w:tcW w:w="691"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cs="Times New Roman"/>
                      <w:color w:val="FF0000"/>
                      <w:sz w:val="21"/>
                      <w:szCs w:val="21"/>
                      <w:vertAlign w:val="baseline"/>
                      <w:lang w:val="en-US" w:eastAsia="zh-CN"/>
                    </w:rPr>
                    <w:t>夜间</w:t>
                  </w:r>
                </w:p>
              </w:tc>
              <w:tc>
                <w:tcPr>
                  <w:tcW w:w="96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40</w:t>
                  </w:r>
                </w:p>
              </w:tc>
              <w:tc>
                <w:tcPr>
                  <w:tcW w:w="1035"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40</w:t>
                  </w:r>
                </w:p>
              </w:tc>
              <w:tc>
                <w:tcPr>
                  <w:tcW w:w="64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cs="Times New Roman"/>
                      <w:color w:val="FF0000"/>
                      <w:sz w:val="21"/>
                      <w:szCs w:val="21"/>
                      <w:vertAlign w:val="baseline"/>
                      <w:lang w:val="en-US" w:eastAsia="zh-CN"/>
                    </w:rPr>
                    <w:t>50</w:t>
                  </w:r>
                </w:p>
              </w:tc>
              <w:tc>
                <w:tcPr>
                  <w:tcW w:w="68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cs="Times New Roman"/>
                      <w:color w:val="FF0000"/>
                      <w:sz w:val="21"/>
                      <w:szCs w:val="21"/>
                      <w:vertAlign w:val="baseline"/>
                      <w:lang w:val="en-US" w:eastAsia="zh-CN"/>
                    </w:rPr>
                    <w:t>达标</w:t>
                  </w:r>
                </w:p>
              </w:tc>
            </w:tr>
          </w:tbl>
          <w:p>
            <w:pPr>
              <w:bidi w:val="0"/>
              <w:rPr>
                <w:rFonts w:hint="default" w:ascii="Times New Roman" w:hAnsi="Times New Roman" w:cs="Times New Roman"/>
                <w:color w:val="FF0000"/>
              </w:rPr>
            </w:pPr>
            <w:r>
              <w:rPr>
                <w:rFonts w:hint="default" w:ascii="Times New Roman" w:hAnsi="Times New Roman" w:cs="Times New Roman"/>
                <w:color w:val="FF0000"/>
                <w:lang w:val="en-US" w:eastAsia="zh-CN"/>
              </w:rPr>
              <w:t>根据监测结果可知，项目正常运营时周边声环境敏感点的声环境质量现状可以达到《声环境质量标准》（GB3096-2008）中的2类标准限值。</w:t>
            </w:r>
          </w:p>
          <w:p>
            <w:pPr>
              <w:bidi w:val="0"/>
              <w:ind w:left="0" w:leftChars="0"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3.4 </w:t>
            </w:r>
            <w:r>
              <w:rPr>
                <w:rFonts w:hint="default" w:ascii="Times New Roman" w:hAnsi="Times New Roman" w:eastAsia="黑体" w:cs="Times New Roman"/>
                <w:color w:val="auto"/>
                <w:lang w:val="en-US" w:eastAsia="zh-CN"/>
              </w:rPr>
              <w:t>地下水、土壤环境质量现状</w:t>
            </w:r>
          </w:p>
          <w:p>
            <w:pPr>
              <w:bidi w:val="0"/>
              <w:rPr>
                <w:rFonts w:hint="default" w:ascii="Times New Roman" w:hAnsi="Times New Roman" w:cs="Times New Roman"/>
                <w:color w:val="auto"/>
                <w:kern w:val="0"/>
                <w:szCs w:val="21"/>
                <w:lang w:val="en-US" w:eastAsia="zh-CN"/>
              </w:rPr>
            </w:pPr>
            <w:r>
              <w:rPr>
                <w:rFonts w:hint="default" w:ascii="Times New Roman" w:hAnsi="Times New Roman" w:cs="Times New Roman"/>
                <w:color w:val="auto"/>
                <w:kern w:val="0"/>
                <w:lang w:val="en-US" w:eastAsia="zh-CN"/>
              </w:rPr>
              <w:t>根据</w:t>
            </w:r>
            <w:r>
              <w:rPr>
                <w:rFonts w:hint="default" w:ascii="Times New Roman" w:hAnsi="Times New Roman" w:cs="Times New Roman"/>
                <w:color w:val="auto"/>
                <w:kern w:val="0"/>
                <w:szCs w:val="21"/>
              </w:rPr>
              <w:t>《建设项目环境影响报告表编制技术指南（污染影响类）》</w:t>
            </w:r>
            <w:r>
              <w:rPr>
                <w:rFonts w:hint="default" w:ascii="Times New Roman" w:hAnsi="Times New Roman" w:cs="Times New Roman"/>
                <w:color w:val="auto"/>
                <w:kern w:val="0"/>
                <w:szCs w:val="21"/>
                <w:lang w:eastAsia="zh-CN"/>
              </w:rPr>
              <w:t>：</w:t>
            </w:r>
            <w:r>
              <w:rPr>
                <w:rFonts w:hint="default" w:ascii="Times New Roman" w:hAnsi="Times New Roman" w:cs="Times New Roman"/>
                <w:color w:val="auto"/>
                <w:kern w:val="0"/>
                <w:szCs w:val="21"/>
                <w:lang w:val="en-US" w:eastAsia="zh-CN"/>
              </w:rPr>
              <w:t>原则上不开展环境质量现状调查。建设项目存在土壤、地势污染途径的，应结合污染源、保护目标分布情况开展现状调查以留作背景值。</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kern w:val="0"/>
                <w:szCs w:val="21"/>
                <w:lang w:val="en-US" w:eastAsia="zh-CN"/>
              </w:rPr>
              <w:t>本项目厂区进行硬化，所有原料均储存在车间内，大部分物料为固体，少量辅料如液压油、柴油、油墨为液体，项目液体物料采用密闭桶装，设置单独的仓库暂存，地面进行硬化，不会对地下水和土壤造成污染。项目废水主要为生活污水，采用化粪池进行处理后排入市政管网，危险废物主要为废矿物油、废油墨盒等，暂存在危废暂存间内，严格按要求建设和管理的情况下，不会对土壤和地下水造成影响。因此本项目不开展地下水和土壤现状调查。</w:t>
            </w:r>
          </w:p>
          <w:p>
            <w:pPr>
              <w:bidi w:val="0"/>
              <w:ind w:left="0" w:leftChars="0"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3.5 </w:t>
            </w:r>
            <w:r>
              <w:rPr>
                <w:rFonts w:hint="default" w:ascii="Times New Roman" w:hAnsi="Times New Roman" w:eastAsia="黑体" w:cs="Times New Roman"/>
                <w:color w:val="auto"/>
                <w:lang w:val="en-US" w:eastAsia="zh-CN"/>
              </w:rPr>
              <w:t>生态环境现状</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根据现场调查，项目目前正在进行场地平整，区域范围内未发现野生珍稀濒危动物种类，无珍稀濒危植物种类以及古树名木。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4" w:type="dxa"/>
            <w:vAlign w:val="center"/>
          </w:tcPr>
          <w:p>
            <w:pPr>
              <w:numPr>
                <w:ilvl w:val="0"/>
                <w:numId w:val="0"/>
              </w:numPr>
              <w:jc w:val="center"/>
              <w:rPr>
                <w:rFonts w:hint="default" w:ascii="Times New Roman" w:hAnsi="Times New Roman" w:cs="Times New Roman"/>
                <w:color w:val="auto"/>
                <w:vertAlign w:val="baseline"/>
                <w:lang w:val="en-US" w:eastAsia="zh-CN"/>
              </w:rPr>
            </w:pPr>
            <w:r>
              <w:rPr>
                <w:rFonts w:hint="default" w:ascii="Times New Roman" w:hAnsi="Times New Roman" w:cs="Times New Roman"/>
                <w:color w:val="auto"/>
                <w:vertAlign w:val="baseline"/>
                <w:lang w:val="en-US" w:eastAsia="zh-CN"/>
              </w:rPr>
              <w:t>环境保护目标</w:t>
            </w:r>
          </w:p>
        </w:tc>
        <w:tc>
          <w:tcPr>
            <w:tcW w:w="8894" w:type="dxa"/>
            <w:vAlign w:val="center"/>
          </w:tcPr>
          <w:p>
            <w:pPr>
              <w:bidi w:val="0"/>
              <w:ind w:left="0" w:leftChars="0"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3.6 </w:t>
            </w:r>
            <w:r>
              <w:rPr>
                <w:rFonts w:hint="default" w:ascii="Times New Roman" w:hAnsi="Times New Roman" w:eastAsia="黑体" w:cs="Times New Roman"/>
                <w:color w:val="auto"/>
                <w:lang w:val="en-US" w:eastAsia="zh-CN"/>
              </w:rPr>
              <w:t>环境保护目标</w:t>
            </w:r>
          </w:p>
          <w:p>
            <w:pPr>
              <w:bidi w:val="0"/>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lang w:val="en-US" w:eastAsia="zh-CN"/>
              </w:rPr>
              <w:t>项目位于</w:t>
            </w:r>
            <w:r>
              <w:rPr>
                <w:rFonts w:hint="default" w:ascii="Times New Roman" w:hAnsi="Times New Roman" w:eastAsia="宋体" w:cs="Times New Roman"/>
                <w:color w:val="auto"/>
                <w:sz w:val="24"/>
                <w:szCs w:val="24"/>
                <w:vertAlign w:val="baseline"/>
                <w:lang w:val="en-US" w:eastAsia="zh-CN"/>
              </w:rPr>
              <w:t>湘阴县湘杨路以西、远大路及湘杨路交汇处</w:t>
            </w:r>
            <w:r>
              <w:rPr>
                <w:rFonts w:hint="default" w:ascii="Times New Roman" w:hAnsi="Times New Roman" w:cs="Times New Roman"/>
                <w:color w:val="auto"/>
                <w:sz w:val="24"/>
                <w:szCs w:val="24"/>
                <w:vertAlign w:val="baseline"/>
                <w:lang w:val="en-US" w:eastAsia="zh-CN"/>
              </w:rPr>
              <w:t>。厂界外500米范围内无地下水集中式饮用水源和热水、矿泉水、温泉等特殊地下水资源，不涉及地下水环境保护目标、水生动物，不涉及生态环境保护目标。根据《</w:t>
            </w:r>
            <w:r>
              <w:rPr>
                <w:rFonts w:hint="default" w:ascii="Times New Roman" w:hAnsi="Times New Roman" w:cs="Times New Roman"/>
                <w:color w:val="auto"/>
                <w:sz w:val="24"/>
              </w:rPr>
              <w:t>建设项目环境影响报告表编制技术指南（污染影响类）（试行）</w:t>
            </w:r>
            <w:r>
              <w:rPr>
                <w:rFonts w:hint="default" w:ascii="Times New Roman" w:hAnsi="Times New Roman" w:cs="Times New Roman"/>
                <w:color w:val="auto"/>
                <w:sz w:val="24"/>
                <w:szCs w:val="24"/>
                <w:vertAlign w:val="baseline"/>
                <w:lang w:val="en-US" w:eastAsia="zh-CN"/>
              </w:rPr>
              <w:t>》，本次仅考虑500m范围内大气环境保护目标和50m范围内声环境保护目标。</w:t>
            </w:r>
          </w:p>
          <w:p>
            <w:pPr>
              <w:bidi w:val="0"/>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本项目主要环境保护目标详见下表。</w:t>
            </w:r>
          </w:p>
          <w:p>
            <w:pPr>
              <w:bidi w:val="0"/>
              <w:ind w:left="0" w:leftChars="0" w:firstLine="0" w:firstLineChars="0"/>
              <w:jc w:val="center"/>
              <w:rPr>
                <w:rFonts w:hint="default" w:ascii="Times New Roman" w:hAnsi="Times New Roman" w:cs="Times New Roman"/>
                <w:color w:val="auto"/>
                <w:sz w:val="24"/>
                <w:szCs w:val="24"/>
                <w:highlight w:val="none"/>
                <w:vertAlign w:val="baseline"/>
                <w:lang w:val="en-US" w:eastAsia="zh-CN"/>
              </w:rPr>
            </w:pPr>
            <w:r>
              <w:rPr>
                <w:rFonts w:hint="default" w:ascii="Times New Roman" w:hAnsi="Times New Roman" w:cs="Times New Roman"/>
                <w:color w:val="auto"/>
                <w:sz w:val="24"/>
                <w:szCs w:val="24"/>
                <w:highlight w:val="none"/>
                <w:vertAlign w:val="baseline"/>
                <w:lang w:val="en-US" w:eastAsia="zh-CN"/>
              </w:rPr>
              <w:t>表3-6 主要环境保护目标一览表</w:t>
            </w:r>
          </w:p>
          <w:tbl>
            <w:tblPr>
              <w:tblStyle w:val="22"/>
              <w:tblW w:w="4997"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8"/>
              <w:gridCol w:w="1106"/>
              <w:gridCol w:w="1654"/>
              <w:gridCol w:w="744"/>
              <w:gridCol w:w="1647"/>
              <w:gridCol w:w="1344"/>
              <w:gridCol w:w="773"/>
              <w:gridCol w:w="9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1" w:hRule="atLeast"/>
              </w:trPr>
              <w:tc>
                <w:tcPr>
                  <w:tcW w:w="247"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项目</w:t>
                  </w:r>
                </w:p>
              </w:tc>
              <w:tc>
                <w:tcPr>
                  <w:tcW w:w="63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名称</w:t>
                  </w:r>
                </w:p>
              </w:tc>
              <w:tc>
                <w:tcPr>
                  <w:tcW w:w="9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中心坐标</w:t>
                  </w:r>
                </w:p>
              </w:tc>
              <w:tc>
                <w:tcPr>
                  <w:tcW w:w="42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保护</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对象</w:t>
                  </w:r>
                </w:p>
              </w:tc>
              <w:tc>
                <w:tcPr>
                  <w:tcW w:w="94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保护内容</w:t>
                  </w:r>
                </w:p>
              </w:tc>
              <w:tc>
                <w:tcPr>
                  <w:tcW w:w="775"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环境功能区</w:t>
                  </w:r>
                </w:p>
              </w:tc>
              <w:tc>
                <w:tcPr>
                  <w:tcW w:w="446"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相对厂址方位</w:t>
                  </w:r>
                </w:p>
              </w:tc>
              <w:tc>
                <w:tcPr>
                  <w:tcW w:w="55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距厂界/m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247"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大气环境</w:t>
                  </w:r>
                </w:p>
              </w:tc>
              <w:tc>
                <w:tcPr>
                  <w:tcW w:w="63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乌龙社区委员会及居民点</w:t>
                  </w:r>
                </w:p>
              </w:tc>
              <w:tc>
                <w:tcPr>
                  <w:tcW w:w="9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E</w:t>
                  </w:r>
                  <w:r>
                    <w:rPr>
                      <w:rFonts w:hint="default" w:ascii="Times New Roman" w:hAnsi="Times New Roman" w:eastAsia="宋体" w:cs="Times New Roman"/>
                      <w:color w:val="auto"/>
                      <w:kern w:val="2"/>
                      <w:sz w:val="21"/>
                      <w:szCs w:val="21"/>
                      <w:vertAlign w:val="baseline"/>
                      <w:lang w:val="en-US" w:eastAsia="zh-CN" w:bidi="ar-SA"/>
                    </w:rPr>
                    <w:t>112.872694946</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N</w:t>
                  </w:r>
                  <w:r>
                    <w:rPr>
                      <w:rFonts w:hint="default" w:ascii="Times New Roman" w:hAnsi="Times New Roman" w:eastAsia="宋体" w:cs="Times New Roman"/>
                      <w:color w:val="auto"/>
                      <w:kern w:val="2"/>
                      <w:sz w:val="21"/>
                      <w:szCs w:val="21"/>
                      <w:vertAlign w:val="baseline"/>
                      <w:lang w:val="en-US" w:eastAsia="zh-CN" w:bidi="ar-SA"/>
                    </w:rPr>
                    <w:t>28.696607591</w:t>
                  </w:r>
                </w:p>
              </w:tc>
              <w:tc>
                <w:tcPr>
                  <w:tcW w:w="42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居民点</w:t>
                  </w:r>
                </w:p>
              </w:tc>
              <w:tc>
                <w:tcPr>
                  <w:tcW w:w="94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65户，300人</w:t>
                  </w:r>
                </w:p>
              </w:tc>
              <w:tc>
                <w:tcPr>
                  <w:tcW w:w="77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《环境空气质量标准》（GB3095-2012）二类区</w:t>
                  </w:r>
                </w:p>
              </w:tc>
              <w:tc>
                <w:tcPr>
                  <w:tcW w:w="446"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SE</w:t>
                  </w:r>
                </w:p>
              </w:tc>
              <w:tc>
                <w:tcPr>
                  <w:tcW w:w="55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30~270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24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63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湘阴县居民点</w:t>
                  </w:r>
                </w:p>
              </w:tc>
              <w:tc>
                <w:tcPr>
                  <w:tcW w:w="9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E</w:t>
                  </w:r>
                  <w:r>
                    <w:rPr>
                      <w:rFonts w:hint="default" w:ascii="Times New Roman" w:hAnsi="Times New Roman" w:eastAsia="宋体" w:cs="Times New Roman"/>
                      <w:color w:val="auto"/>
                      <w:kern w:val="2"/>
                      <w:sz w:val="21"/>
                      <w:szCs w:val="21"/>
                      <w:vertAlign w:val="baseline"/>
                      <w:lang w:val="en-US" w:eastAsia="zh-CN" w:bidi="ar-SA"/>
                    </w:rPr>
                    <w:t>112.873370862</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N</w:t>
                  </w:r>
                  <w:r>
                    <w:rPr>
                      <w:rFonts w:hint="default" w:ascii="Times New Roman" w:hAnsi="Times New Roman" w:eastAsia="宋体" w:cs="Times New Roman"/>
                      <w:color w:val="auto"/>
                      <w:kern w:val="2"/>
                      <w:sz w:val="21"/>
                      <w:szCs w:val="21"/>
                      <w:vertAlign w:val="baseline"/>
                      <w:lang w:val="en-US" w:eastAsia="zh-CN" w:bidi="ar-SA"/>
                    </w:rPr>
                    <w:t>28.694472552</w:t>
                  </w:r>
                </w:p>
              </w:tc>
              <w:tc>
                <w:tcPr>
                  <w:tcW w:w="42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居民点</w:t>
                  </w:r>
                </w:p>
              </w:tc>
              <w:tc>
                <w:tcPr>
                  <w:tcW w:w="94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50户，210人</w:t>
                  </w:r>
                </w:p>
              </w:tc>
              <w:tc>
                <w:tcPr>
                  <w:tcW w:w="77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446"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SE</w:t>
                  </w:r>
                </w:p>
              </w:tc>
              <w:tc>
                <w:tcPr>
                  <w:tcW w:w="55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300~500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24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63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湘阴县专职消防队</w:t>
                  </w:r>
                </w:p>
              </w:tc>
              <w:tc>
                <w:tcPr>
                  <w:tcW w:w="9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E112.872952438</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N28.695277215</w:t>
                  </w:r>
                </w:p>
              </w:tc>
              <w:tc>
                <w:tcPr>
                  <w:tcW w:w="42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事业单位</w:t>
                  </w:r>
                </w:p>
              </w:tc>
              <w:tc>
                <w:tcPr>
                  <w:tcW w:w="94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20人</w:t>
                  </w:r>
                </w:p>
              </w:tc>
              <w:tc>
                <w:tcPr>
                  <w:tcW w:w="77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446"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SE</w:t>
                  </w:r>
                </w:p>
              </w:tc>
              <w:tc>
                <w:tcPr>
                  <w:tcW w:w="55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340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24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63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湘阴县居民点</w:t>
                  </w:r>
                </w:p>
              </w:tc>
              <w:tc>
                <w:tcPr>
                  <w:tcW w:w="9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E112.875682926</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N28.697766305</w:t>
                  </w:r>
                </w:p>
              </w:tc>
              <w:tc>
                <w:tcPr>
                  <w:tcW w:w="42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居民点</w:t>
                  </w:r>
                </w:p>
              </w:tc>
              <w:tc>
                <w:tcPr>
                  <w:tcW w:w="94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60户，250人</w:t>
                  </w:r>
                </w:p>
              </w:tc>
              <w:tc>
                <w:tcPr>
                  <w:tcW w:w="77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446"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E</w:t>
                  </w:r>
                </w:p>
              </w:tc>
              <w:tc>
                <w:tcPr>
                  <w:tcW w:w="55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100~500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24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63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长岭学校</w:t>
                  </w:r>
                </w:p>
              </w:tc>
              <w:tc>
                <w:tcPr>
                  <w:tcW w:w="9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E112.876578784</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N28.698140473</w:t>
                  </w:r>
                </w:p>
              </w:tc>
              <w:tc>
                <w:tcPr>
                  <w:tcW w:w="42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学校</w:t>
                  </w:r>
                </w:p>
              </w:tc>
              <w:tc>
                <w:tcPr>
                  <w:tcW w:w="94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600人</w:t>
                  </w:r>
                </w:p>
              </w:tc>
              <w:tc>
                <w:tcPr>
                  <w:tcW w:w="77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446"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E</w:t>
                  </w:r>
                </w:p>
              </w:tc>
              <w:tc>
                <w:tcPr>
                  <w:tcW w:w="55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405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24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63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湘阴县长岭幼儿园</w:t>
                  </w:r>
                </w:p>
              </w:tc>
              <w:tc>
                <w:tcPr>
                  <w:tcW w:w="9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E112.875940419</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N28.698392601</w:t>
                  </w:r>
                </w:p>
              </w:tc>
              <w:tc>
                <w:tcPr>
                  <w:tcW w:w="42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学校</w:t>
                  </w:r>
                </w:p>
              </w:tc>
              <w:tc>
                <w:tcPr>
                  <w:tcW w:w="94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220人</w:t>
                  </w:r>
                </w:p>
              </w:tc>
              <w:tc>
                <w:tcPr>
                  <w:tcW w:w="77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446"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E</w:t>
                  </w:r>
                </w:p>
              </w:tc>
              <w:tc>
                <w:tcPr>
                  <w:tcW w:w="55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353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24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63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乌龙社区</w:t>
                  </w:r>
                </w:p>
              </w:tc>
              <w:tc>
                <w:tcPr>
                  <w:tcW w:w="9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E112.871595240</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N28.699406476</w:t>
                  </w:r>
                </w:p>
              </w:tc>
              <w:tc>
                <w:tcPr>
                  <w:tcW w:w="42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居民</w:t>
                  </w:r>
                </w:p>
              </w:tc>
              <w:tc>
                <w:tcPr>
                  <w:tcW w:w="94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30户，130人</w:t>
                  </w:r>
                </w:p>
              </w:tc>
              <w:tc>
                <w:tcPr>
                  <w:tcW w:w="77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446"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E</w:t>
                  </w:r>
                </w:p>
              </w:tc>
              <w:tc>
                <w:tcPr>
                  <w:tcW w:w="55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22~150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6" w:hRule="atLeast"/>
              </w:trPr>
              <w:tc>
                <w:tcPr>
                  <w:tcW w:w="24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63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三峰社区</w:t>
                  </w:r>
                </w:p>
              </w:tc>
              <w:tc>
                <w:tcPr>
                  <w:tcW w:w="9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E112.869025684</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N28.701225014</w:t>
                  </w:r>
                </w:p>
              </w:tc>
              <w:tc>
                <w:tcPr>
                  <w:tcW w:w="42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居民</w:t>
                  </w:r>
                </w:p>
              </w:tc>
              <w:tc>
                <w:tcPr>
                  <w:tcW w:w="94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120户，480人</w:t>
                  </w:r>
                </w:p>
              </w:tc>
              <w:tc>
                <w:tcPr>
                  <w:tcW w:w="77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446"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N</w:t>
                  </w:r>
                </w:p>
              </w:tc>
              <w:tc>
                <w:tcPr>
                  <w:tcW w:w="55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27~500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24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63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21"/>
                      <w:szCs w:val="21"/>
                      <w:vertAlign w:val="baseline"/>
                      <w:lang w:val="en-US" w:eastAsia="zh-CN" w:bidi="ar-SA"/>
                    </w:rPr>
                  </w:pPr>
                  <w:r>
                    <w:rPr>
                      <w:rFonts w:hint="default" w:ascii="Times New Roman" w:hAnsi="Times New Roman" w:cs="Times New Roman"/>
                      <w:color w:val="auto"/>
                      <w:kern w:val="2"/>
                      <w:sz w:val="21"/>
                      <w:szCs w:val="21"/>
                      <w:vertAlign w:val="baseline"/>
                      <w:lang w:val="en-US" w:eastAsia="zh-CN" w:bidi="ar-SA"/>
                    </w:rPr>
                    <w:t>乌龙宝塔</w:t>
                  </w:r>
                </w:p>
              </w:tc>
              <w:tc>
                <w:tcPr>
                  <w:tcW w:w="9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N112.51522613</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E28.415717347</w:t>
                  </w:r>
                </w:p>
              </w:tc>
              <w:tc>
                <w:tcPr>
                  <w:tcW w:w="42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文物</w:t>
                  </w:r>
                </w:p>
              </w:tc>
              <w:tc>
                <w:tcPr>
                  <w:tcW w:w="94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77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p>
              </w:tc>
              <w:tc>
                <w:tcPr>
                  <w:tcW w:w="446"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NW</w:t>
                  </w:r>
                </w:p>
              </w:tc>
              <w:tc>
                <w:tcPr>
                  <w:tcW w:w="55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trPr>
              <w:tc>
                <w:tcPr>
                  <w:tcW w:w="247"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声环境</w:t>
                  </w:r>
                </w:p>
              </w:tc>
              <w:tc>
                <w:tcPr>
                  <w:tcW w:w="63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cs="Times New Roman"/>
                      <w:color w:val="FF0000"/>
                      <w:sz w:val="21"/>
                      <w:szCs w:val="21"/>
                      <w:vertAlign w:val="baseline"/>
                      <w:lang w:val="en-US" w:eastAsia="zh-CN"/>
                    </w:rPr>
                    <w:t>居民点1</w:t>
                  </w:r>
                </w:p>
              </w:tc>
              <w:tc>
                <w:tcPr>
                  <w:tcW w:w="9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E112.868682361</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N28.698977323</w:t>
                  </w:r>
                </w:p>
              </w:tc>
              <w:tc>
                <w:tcPr>
                  <w:tcW w:w="42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cs="Times New Roman"/>
                      <w:color w:val="FF0000"/>
                      <w:sz w:val="21"/>
                      <w:szCs w:val="21"/>
                      <w:vertAlign w:val="baseline"/>
                      <w:lang w:val="en-US" w:eastAsia="zh-CN"/>
                    </w:rPr>
                    <w:t>居民</w:t>
                  </w:r>
                </w:p>
              </w:tc>
              <w:tc>
                <w:tcPr>
                  <w:tcW w:w="94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1户，6人</w:t>
                  </w:r>
                </w:p>
              </w:tc>
              <w:tc>
                <w:tcPr>
                  <w:tcW w:w="775"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《声环境质量标准》（GB3096-2008）中的2类标准</w:t>
                  </w:r>
                </w:p>
              </w:tc>
              <w:tc>
                <w:tcPr>
                  <w:tcW w:w="446"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N</w:t>
                  </w:r>
                </w:p>
              </w:tc>
              <w:tc>
                <w:tcPr>
                  <w:tcW w:w="55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24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p>
              </w:tc>
              <w:tc>
                <w:tcPr>
                  <w:tcW w:w="63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居民点2</w:t>
                  </w:r>
                </w:p>
              </w:tc>
              <w:tc>
                <w:tcPr>
                  <w:tcW w:w="9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E112.871595240</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N28.699406476</w:t>
                  </w:r>
                </w:p>
              </w:tc>
              <w:tc>
                <w:tcPr>
                  <w:tcW w:w="42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cs="Times New Roman"/>
                      <w:color w:val="FF0000"/>
                      <w:sz w:val="21"/>
                      <w:szCs w:val="21"/>
                      <w:vertAlign w:val="baseline"/>
                      <w:lang w:val="en-US" w:eastAsia="zh-CN"/>
                    </w:rPr>
                    <w:t>居民</w:t>
                  </w:r>
                </w:p>
              </w:tc>
              <w:tc>
                <w:tcPr>
                  <w:tcW w:w="94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8户，40人</w:t>
                  </w:r>
                </w:p>
              </w:tc>
              <w:tc>
                <w:tcPr>
                  <w:tcW w:w="77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p>
              </w:tc>
              <w:tc>
                <w:tcPr>
                  <w:tcW w:w="446"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E</w:t>
                  </w:r>
                </w:p>
              </w:tc>
              <w:tc>
                <w:tcPr>
                  <w:tcW w:w="55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24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rPr>
                  </w:pPr>
                </w:p>
              </w:tc>
              <w:tc>
                <w:tcPr>
                  <w:tcW w:w="63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cs="Times New Roman"/>
                      <w:color w:val="FF0000"/>
                      <w:sz w:val="21"/>
                      <w:szCs w:val="21"/>
                      <w:vertAlign w:val="baseline"/>
                      <w:lang w:val="en-US" w:eastAsia="zh-CN"/>
                    </w:rPr>
                    <w:t>居民点3</w:t>
                  </w:r>
                </w:p>
              </w:tc>
              <w:tc>
                <w:tcPr>
                  <w:tcW w:w="95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E112.872367716</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N28.697984905</w:t>
                  </w:r>
                </w:p>
              </w:tc>
              <w:tc>
                <w:tcPr>
                  <w:tcW w:w="42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居民</w:t>
                  </w:r>
                </w:p>
              </w:tc>
              <w:tc>
                <w:tcPr>
                  <w:tcW w:w="94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1户，4人</w:t>
                  </w:r>
                </w:p>
              </w:tc>
              <w:tc>
                <w:tcPr>
                  <w:tcW w:w="775"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p>
              </w:tc>
              <w:tc>
                <w:tcPr>
                  <w:tcW w:w="446"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SE</w:t>
                  </w:r>
                </w:p>
              </w:tc>
              <w:tc>
                <w:tcPr>
                  <w:tcW w:w="55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247"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地表水</w:t>
                  </w:r>
                </w:p>
              </w:tc>
              <w:tc>
                <w:tcPr>
                  <w:tcW w:w="638"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湘江</w:t>
                  </w:r>
                </w:p>
              </w:tc>
              <w:tc>
                <w:tcPr>
                  <w:tcW w:w="2333"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大河</w:t>
                  </w:r>
                  <w:r>
                    <w:rPr>
                      <w:rFonts w:hint="default" w:ascii="Times New Roman" w:hAnsi="Times New Roman" w:cs="Times New Roman"/>
                      <w:color w:val="FF0000"/>
                      <w:sz w:val="21"/>
                      <w:szCs w:val="21"/>
                      <w:highlight w:val="none"/>
                      <w:vertAlign w:val="baseline"/>
                      <w:lang w:val="en-US" w:eastAsia="zh-CN"/>
                    </w:rPr>
                    <w:t>，所在区域河段为洋沙湖下游200米至磊石（东支)，功能为渔业用水</w:t>
                  </w:r>
                </w:p>
              </w:tc>
              <w:tc>
                <w:tcPr>
                  <w:tcW w:w="775"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GB 3838-2002中Ⅲ类标准</w:t>
                  </w:r>
                </w:p>
              </w:tc>
              <w:tc>
                <w:tcPr>
                  <w:tcW w:w="446"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W</w:t>
                  </w:r>
                </w:p>
              </w:tc>
              <w:tc>
                <w:tcPr>
                  <w:tcW w:w="55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247"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lang w:val="en-US" w:eastAsia="zh-CN"/>
                    </w:rPr>
                  </w:pPr>
                </w:p>
              </w:tc>
              <w:tc>
                <w:tcPr>
                  <w:tcW w:w="638"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p>
              </w:tc>
              <w:tc>
                <w:tcPr>
                  <w:tcW w:w="2333" w:type="pct"/>
                  <w:gridSpan w:val="3"/>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下游，屈原管理区饮用水源保护区</w:t>
                  </w:r>
                </w:p>
              </w:tc>
              <w:tc>
                <w:tcPr>
                  <w:tcW w:w="775"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GB 3838-2002中Ⅱ类标准</w:t>
                  </w:r>
                </w:p>
              </w:tc>
              <w:tc>
                <w:tcPr>
                  <w:tcW w:w="446"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N</w:t>
                  </w:r>
                </w:p>
              </w:tc>
              <w:tc>
                <w:tcPr>
                  <w:tcW w:w="55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3800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247"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生态环境</w:t>
                  </w:r>
                </w:p>
              </w:tc>
              <w:tc>
                <w:tcPr>
                  <w:tcW w:w="2971" w:type="pct"/>
                  <w:gridSpan w:val="4"/>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湖南湘阴洋沙湖-东湖国家湿地公园，主要包括洋沙湖、东湖、湘江干流湘阴县城段及其周边部分区域，总面积1525.9公顷。</w:t>
                  </w:r>
                </w:p>
              </w:tc>
              <w:tc>
                <w:tcPr>
                  <w:tcW w:w="775"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w:t>
                  </w:r>
                </w:p>
              </w:tc>
              <w:tc>
                <w:tcPr>
                  <w:tcW w:w="446"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N</w:t>
                  </w:r>
                </w:p>
              </w:tc>
              <w:tc>
                <w:tcPr>
                  <w:tcW w:w="55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2730</w:t>
                  </w:r>
                </w:p>
              </w:tc>
            </w:tr>
          </w:tbl>
          <w:p>
            <w:pPr>
              <w:bidi w:val="0"/>
              <w:ind w:left="0" w:leftChars="0" w:firstLine="0" w:firstLineChars="0"/>
              <w:jc w:val="both"/>
              <w:rPr>
                <w:rFonts w:hint="default" w:ascii="Times New Roman" w:hAnsi="Times New Roman" w:cs="Times New Roman"/>
                <w:color w:val="auto"/>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4" w:type="dxa"/>
            <w:vAlign w:val="center"/>
          </w:tcPr>
          <w:p>
            <w:pPr>
              <w:numPr>
                <w:ilvl w:val="0"/>
                <w:numId w:val="0"/>
              </w:numPr>
              <w:jc w:val="center"/>
              <w:rPr>
                <w:rFonts w:hint="default" w:ascii="Times New Roman" w:hAnsi="Times New Roman" w:cs="Times New Roman"/>
                <w:color w:val="auto"/>
                <w:vertAlign w:val="baseline"/>
                <w:lang w:val="en-US" w:eastAsia="zh-CN"/>
              </w:rPr>
            </w:pPr>
            <w:r>
              <w:rPr>
                <w:rFonts w:hint="default" w:ascii="Times New Roman" w:hAnsi="Times New Roman" w:cs="Times New Roman"/>
                <w:color w:val="auto"/>
                <w:vertAlign w:val="baseline"/>
                <w:lang w:val="en-US" w:eastAsia="zh-CN"/>
              </w:rPr>
              <w:t>污染物排放控制标准</w:t>
            </w:r>
          </w:p>
        </w:tc>
        <w:tc>
          <w:tcPr>
            <w:tcW w:w="8894" w:type="dxa"/>
            <w:vAlign w:val="center"/>
          </w:tcPr>
          <w:p>
            <w:pPr>
              <w:numPr>
                <w:ilvl w:val="0"/>
                <w:numId w:val="0"/>
              </w:num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3.7 </w:t>
            </w:r>
            <w:r>
              <w:rPr>
                <w:rFonts w:hint="default" w:ascii="Times New Roman" w:hAnsi="Times New Roman" w:eastAsia="黑体" w:cs="Times New Roman"/>
                <w:color w:val="auto"/>
                <w:lang w:val="en-US" w:eastAsia="zh-CN"/>
              </w:rPr>
              <w:t>废水</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项目不产生生产性废水，运营期生活污水经化粪池预处理后达到</w:t>
            </w:r>
            <w:r>
              <w:rPr>
                <w:rFonts w:hint="default" w:ascii="Times New Roman" w:hAnsi="Times New Roman" w:eastAsia="宋体" w:cs="Times New Roman"/>
                <w:color w:val="auto"/>
                <w:kern w:val="0"/>
                <w:sz w:val="24"/>
                <w:szCs w:val="24"/>
                <w:lang w:val="en-US" w:eastAsia="zh-CN" w:bidi="ar"/>
              </w:rPr>
              <w:t>《污水综合排放标准》（GB 8978-1996）</w:t>
            </w:r>
            <w:r>
              <w:rPr>
                <w:rFonts w:hint="default" w:ascii="Times New Roman" w:hAnsi="Times New Roman" w:cs="Times New Roman"/>
                <w:color w:val="auto"/>
                <w:lang w:val="en-US" w:eastAsia="zh-CN"/>
              </w:rPr>
              <w:t>三级标准以及湘阴县第一污水处理厂纳管标准的较严值后排入市政污水管网，进入湘阴县第一污水处理厂进一步处理。</w:t>
            </w:r>
          </w:p>
          <w:p>
            <w:pPr>
              <w:bidi w:val="0"/>
              <w:ind w:left="0" w:leftChars="0" w:firstLine="0" w:firstLineChars="0"/>
              <w:jc w:val="center"/>
              <w:rPr>
                <w:rFonts w:hint="default" w:ascii="Times New Roman" w:hAnsi="Times New Roman" w:cs="Times New Roman"/>
                <w:color w:val="FF0000"/>
                <w:vertAlign w:val="baseline"/>
                <w:lang w:val="en-US" w:eastAsia="zh-CN"/>
              </w:rPr>
            </w:pPr>
            <w:r>
              <w:rPr>
                <w:rFonts w:hint="default" w:ascii="Times New Roman" w:hAnsi="Times New Roman" w:cs="Times New Roman"/>
                <w:color w:val="FF0000"/>
                <w:lang w:val="en-US" w:eastAsia="zh-CN"/>
              </w:rPr>
              <w:t>表3-7 本项目水污染物排放限值</w:t>
            </w:r>
          </w:p>
          <w:tbl>
            <w:tblPr>
              <w:tblStyle w:val="22"/>
              <w:tblW w:w="483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8"/>
              <w:gridCol w:w="2413"/>
              <w:gridCol w:w="2640"/>
              <w:gridCol w:w="21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8" w:hRule="atLeast"/>
                <w:jc w:val="center"/>
              </w:trPr>
              <w:tc>
                <w:tcPr>
                  <w:tcW w:w="685" w:type="pct"/>
                  <w:noWrap w:val="0"/>
                  <w:vAlign w:val="center"/>
                </w:tcPr>
                <w:p>
                  <w:pPr>
                    <w:pStyle w:val="28"/>
                    <w:keepNext w:val="0"/>
                    <w:keepLines w:val="0"/>
                    <w:pageBreakBefore w:val="0"/>
                    <w:widowControl w:val="0"/>
                    <w:kinsoku/>
                    <w:wordWrap/>
                    <w:overflowPunct/>
                    <w:topLinePunct w:val="0"/>
                    <w:autoSpaceDE/>
                    <w:autoSpaceDN/>
                    <w:bidi w:val="0"/>
                    <w:adjustRightInd/>
                    <w:snapToGrid/>
                    <w:spacing w:after="0" w:line="240" w:lineRule="auto"/>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污染物</w:t>
                  </w:r>
                </w:p>
              </w:tc>
              <w:tc>
                <w:tcPr>
                  <w:tcW w:w="1440" w:type="pct"/>
                  <w:noWrap w:val="0"/>
                  <w:vAlign w:val="center"/>
                </w:tcPr>
                <w:p>
                  <w:pPr>
                    <w:pStyle w:val="28"/>
                    <w:keepNext w:val="0"/>
                    <w:keepLines w:val="0"/>
                    <w:pageBreakBefore w:val="0"/>
                    <w:widowControl w:val="0"/>
                    <w:kinsoku/>
                    <w:wordWrap/>
                    <w:overflowPunct/>
                    <w:topLinePunct w:val="0"/>
                    <w:autoSpaceDE/>
                    <w:autoSpaceDN/>
                    <w:bidi w:val="0"/>
                    <w:adjustRightInd/>
                    <w:snapToGrid/>
                    <w:spacing w:after="0" w:line="240" w:lineRule="auto"/>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《污水综合排放标准》（GB 8978-1996）标准限值（</w:t>
                  </w:r>
                  <w:r>
                    <w:rPr>
                      <w:rFonts w:hint="default" w:ascii="Times New Roman" w:hAnsi="Times New Roman" w:eastAsia="宋体" w:cs="Times New Roman"/>
                      <w:b w:val="0"/>
                      <w:bCs w:val="0"/>
                      <w:color w:val="FF0000"/>
                      <w:kern w:val="2"/>
                      <w:sz w:val="21"/>
                      <w:szCs w:val="21"/>
                      <w:highlight w:val="none"/>
                      <w:u w:val="none"/>
                      <w:lang w:val="en-US" w:eastAsia="zh-CN" w:bidi="ar-SA"/>
                    </w:rPr>
                    <w:t>mg/L，pH无量纲</w:t>
                  </w:r>
                  <w:r>
                    <w:rPr>
                      <w:rFonts w:hint="default" w:ascii="Times New Roman" w:hAnsi="Times New Roman" w:eastAsia="宋体" w:cs="Times New Roman"/>
                      <w:color w:val="FF0000"/>
                      <w:sz w:val="21"/>
                      <w:szCs w:val="21"/>
                      <w:lang w:val="en-US" w:eastAsia="zh-CN"/>
                    </w:rPr>
                    <w:t>）</w:t>
                  </w:r>
                </w:p>
              </w:tc>
              <w:tc>
                <w:tcPr>
                  <w:tcW w:w="1575" w:type="pct"/>
                  <w:noWrap w:val="0"/>
                  <w:vAlign w:val="center"/>
                </w:tcPr>
                <w:p>
                  <w:pPr>
                    <w:pStyle w:val="28"/>
                    <w:keepNext w:val="0"/>
                    <w:keepLines w:val="0"/>
                    <w:pageBreakBefore w:val="0"/>
                    <w:widowControl w:val="0"/>
                    <w:kinsoku/>
                    <w:wordWrap/>
                    <w:overflowPunct/>
                    <w:topLinePunct w:val="0"/>
                    <w:autoSpaceDE/>
                    <w:autoSpaceDN/>
                    <w:bidi w:val="0"/>
                    <w:adjustRightInd/>
                    <w:snapToGrid/>
                    <w:spacing w:after="0" w:line="240" w:lineRule="auto"/>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湘阴县第一污水处理厂纳管标准</w:t>
                  </w:r>
                  <w:r>
                    <w:rPr>
                      <w:rFonts w:hint="default" w:ascii="Times New Roman" w:hAnsi="Times New Roman" w:eastAsia="宋体" w:cs="Times New Roman"/>
                      <w:color w:val="FF0000"/>
                      <w:sz w:val="21"/>
                      <w:szCs w:val="21"/>
                      <w:lang w:val="en-US" w:eastAsia="zh-CN"/>
                    </w:rPr>
                    <w:t>（</w:t>
                  </w:r>
                  <w:r>
                    <w:rPr>
                      <w:rFonts w:hint="default" w:ascii="Times New Roman" w:hAnsi="Times New Roman" w:eastAsia="宋体" w:cs="Times New Roman"/>
                      <w:b w:val="0"/>
                      <w:bCs w:val="0"/>
                      <w:color w:val="FF0000"/>
                      <w:kern w:val="2"/>
                      <w:sz w:val="21"/>
                      <w:szCs w:val="21"/>
                      <w:highlight w:val="none"/>
                      <w:u w:val="none"/>
                      <w:lang w:val="en-US" w:eastAsia="zh-CN" w:bidi="ar-SA"/>
                    </w:rPr>
                    <w:t>mg/L，pH无量纲</w:t>
                  </w:r>
                  <w:r>
                    <w:rPr>
                      <w:rFonts w:hint="default" w:ascii="Times New Roman" w:hAnsi="Times New Roman" w:eastAsia="宋体" w:cs="Times New Roman"/>
                      <w:color w:val="FF0000"/>
                      <w:sz w:val="21"/>
                      <w:szCs w:val="21"/>
                      <w:lang w:val="en-US" w:eastAsia="zh-CN"/>
                    </w:rPr>
                    <w:t>）</w:t>
                  </w:r>
                </w:p>
              </w:tc>
              <w:tc>
                <w:tcPr>
                  <w:tcW w:w="1299" w:type="pct"/>
                  <w:noWrap w:val="0"/>
                  <w:vAlign w:val="center"/>
                </w:tcPr>
                <w:p>
                  <w:pPr>
                    <w:pStyle w:val="28"/>
                    <w:keepNext w:val="0"/>
                    <w:keepLines w:val="0"/>
                    <w:pageBreakBefore w:val="0"/>
                    <w:widowControl w:val="0"/>
                    <w:kinsoku/>
                    <w:wordWrap/>
                    <w:overflowPunct/>
                    <w:topLinePunct w:val="0"/>
                    <w:autoSpaceDE/>
                    <w:autoSpaceDN/>
                    <w:bidi w:val="0"/>
                    <w:adjustRightInd/>
                    <w:snapToGrid/>
                    <w:spacing w:after="0" w:line="240" w:lineRule="auto"/>
                    <w:textAlignment w:val="auto"/>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本项目执行标准</w:t>
                  </w:r>
                  <w:r>
                    <w:rPr>
                      <w:rFonts w:hint="default" w:ascii="Times New Roman" w:hAnsi="Times New Roman" w:eastAsia="宋体" w:cs="Times New Roman"/>
                      <w:color w:val="FF0000"/>
                      <w:sz w:val="21"/>
                      <w:szCs w:val="21"/>
                      <w:lang w:val="en-US" w:eastAsia="zh-CN"/>
                    </w:rPr>
                    <w:t>（</w:t>
                  </w:r>
                  <w:r>
                    <w:rPr>
                      <w:rFonts w:hint="default" w:ascii="Times New Roman" w:hAnsi="Times New Roman" w:eastAsia="宋体" w:cs="Times New Roman"/>
                      <w:b w:val="0"/>
                      <w:bCs w:val="0"/>
                      <w:color w:val="FF0000"/>
                      <w:kern w:val="2"/>
                      <w:sz w:val="21"/>
                      <w:szCs w:val="21"/>
                      <w:highlight w:val="none"/>
                      <w:u w:val="none"/>
                      <w:lang w:val="en-US" w:eastAsia="zh-CN" w:bidi="ar-SA"/>
                    </w:rPr>
                    <w:t>mg/L，pH无量纲</w:t>
                  </w:r>
                  <w:r>
                    <w:rPr>
                      <w:rFonts w:hint="default" w:ascii="Times New Roman" w:hAnsi="Times New Roman" w:eastAsia="宋体" w:cs="Times New Roman"/>
                      <w:color w:val="FF000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685" w:type="pct"/>
                  <w:noWrap w:val="0"/>
                  <w:vAlign w:val="center"/>
                </w:tcPr>
                <w:p>
                  <w:pPr>
                    <w:pStyle w:val="28"/>
                    <w:keepNext w:val="0"/>
                    <w:keepLines w:val="0"/>
                    <w:pageBreakBefore w:val="0"/>
                    <w:widowControl w:val="0"/>
                    <w:kinsoku/>
                    <w:wordWrap/>
                    <w:overflowPunct/>
                    <w:topLinePunct w:val="0"/>
                    <w:autoSpaceDE/>
                    <w:autoSpaceDN/>
                    <w:bidi w:val="0"/>
                    <w:adjustRightInd/>
                    <w:snapToGrid/>
                    <w:spacing w:after="0" w:line="240" w:lineRule="auto"/>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pH</w:t>
                  </w:r>
                </w:p>
              </w:tc>
              <w:tc>
                <w:tcPr>
                  <w:tcW w:w="1440" w:type="pct"/>
                  <w:noWrap w:val="0"/>
                  <w:vAlign w:val="center"/>
                </w:tcPr>
                <w:p>
                  <w:pPr>
                    <w:pStyle w:val="28"/>
                    <w:keepNext w:val="0"/>
                    <w:keepLines w:val="0"/>
                    <w:pageBreakBefore w:val="0"/>
                    <w:widowControl w:val="0"/>
                    <w:kinsoku/>
                    <w:wordWrap/>
                    <w:overflowPunct/>
                    <w:topLinePunct w:val="0"/>
                    <w:autoSpaceDE/>
                    <w:autoSpaceDN/>
                    <w:bidi w:val="0"/>
                    <w:adjustRightInd/>
                    <w:snapToGrid/>
                    <w:spacing w:after="0" w:line="240" w:lineRule="auto"/>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6-9</w:t>
                  </w:r>
                </w:p>
              </w:tc>
              <w:tc>
                <w:tcPr>
                  <w:tcW w:w="1575" w:type="pct"/>
                  <w:noWrap w:val="0"/>
                  <w:vAlign w:val="center"/>
                </w:tcPr>
                <w:p>
                  <w:pPr>
                    <w:pStyle w:val="28"/>
                    <w:keepNext w:val="0"/>
                    <w:keepLines w:val="0"/>
                    <w:pageBreakBefore w:val="0"/>
                    <w:widowControl w:val="0"/>
                    <w:kinsoku/>
                    <w:wordWrap/>
                    <w:overflowPunct/>
                    <w:topLinePunct w:val="0"/>
                    <w:autoSpaceDE/>
                    <w:autoSpaceDN/>
                    <w:bidi w:val="0"/>
                    <w:adjustRightInd/>
                    <w:snapToGrid/>
                    <w:spacing w:after="0" w:line="240" w:lineRule="auto"/>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6~9</w:t>
                  </w:r>
                </w:p>
              </w:tc>
              <w:tc>
                <w:tcPr>
                  <w:tcW w:w="1299" w:type="pct"/>
                  <w:noWrap w:val="0"/>
                  <w:vAlign w:val="center"/>
                </w:tcPr>
                <w:p>
                  <w:pPr>
                    <w:pStyle w:val="28"/>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cs="Times New Roman"/>
                      <w:color w:val="FF0000"/>
                      <w:sz w:val="21"/>
                      <w:szCs w:val="21"/>
                      <w:lang w:val="en-US" w:eastAsia="zh-CN"/>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685" w:type="pct"/>
                  <w:noWrap w:val="0"/>
                  <w:vAlign w:val="center"/>
                </w:tcPr>
                <w:p>
                  <w:pPr>
                    <w:pStyle w:val="28"/>
                    <w:keepNext w:val="0"/>
                    <w:keepLines w:val="0"/>
                    <w:pageBreakBefore w:val="0"/>
                    <w:widowControl w:val="0"/>
                    <w:kinsoku/>
                    <w:wordWrap/>
                    <w:overflowPunct/>
                    <w:topLinePunct w:val="0"/>
                    <w:autoSpaceDE/>
                    <w:autoSpaceDN/>
                    <w:bidi w:val="0"/>
                    <w:adjustRightInd/>
                    <w:snapToGrid/>
                    <w:spacing w:after="0" w:line="240" w:lineRule="auto"/>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COD</w:t>
                  </w:r>
                </w:p>
              </w:tc>
              <w:tc>
                <w:tcPr>
                  <w:tcW w:w="1440" w:type="pct"/>
                  <w:noWrap w:val="0"/>
                  <w:vAlign w:val="center"/>
                </w:tcPr>
                <w:p>
                  <w:pPr>
                    <w:pStyle w:val="28"/>
                    <w:keepNext w:val="0"/>
                    <w:keepLines w:val="0"/>
                    <w:pageBreakBefore w:val="0"/>
                    <w:widowControl w:val="0"/>
                    <w:kinsoku/>
                    <w:wordWrap/>
                    <w:overflowPunct/>
                    <w:topLinePunct w:val="0"/>
                    <w:autoSpaceDE/>
                    <w:autoSpaceDN/>
                    <w:bidi w:val="0"/>
                    <w:adjustRightInd/>
                    <w:snapToGrid/>
                    <w:spacing w:after="0" w:line="240" w:lineRule="auto"/>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500</w:t>
                  </w:r>
                </w:p>
              </w:tc>
              <w:tc>
                <w:tcPr>
                  <w:tcW w:w="1575" w:type="pct"/>
                  <w:noWrap w:val="0"/>
                  <w:vAlign w:val="center"/>
                </w:tcPr>
                <w:p>
                  <w:pPr>
                    <w:pStyle w:val="28"/>
                    <w:keepNext w:val="0"/>
                    <w:keepLines w:val="0"/>
                    <w:pageBreakBefore w:val="0"/>
                    <w:widowControl w:val="0"/>
                    <w:kinsoku/>
                    <w:wordWrap/>
                    <w:overflowPunct/>
                    <w:topLinePunct w:val="0"/>
                    <w:autoSpaceDE/>
                    <w:autoSpaceDN/>
                    <w:bidi w:val="0"/>
                    <w:adjustRightInd/>
                    <w:snapToGrid/>
                    <w:spacing w:after="0" w:line="240" w:lineRule="auto"/>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300</w:t>
                  </w:r>
                </w:p>
              </w:tc>
              <w:tc>
                <w:tcPr>
                  <w:tcW w:w="1299" w:type="pct"/>
                  <w:noWrap w:val="0"/>
                  <w:vAlign w:val="center"/>
                </w:tcPr>
                <w:p>
                  <w:pPr>
                    <w:pStyle w:val="28"/>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cs="Times New Roman"/>
                      <w:color w:val="FF0000"/>
                      <w:sz w:val="21"/>
                      <w:szCs w:val="21"/>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685" w:type="pct"/>
                  <w:noWrap w:val="0"/>
                  <w:vAlign w:val="center"/>
                </w:tcPr>
                <w:p>
                  <w:pPr>
                    <w:pStyle w:val="28"/>
                    <w:keepNext w:val="0"/>
                    <w:keepLines w:val="0"/>
                    <w:pageBreakBefore w:val="0"/>
                    <w:widowControl w:val="0"/>
                    <w:kinsoku/>
                    <w:wordWrap/>
                    <w:overflowPunct/>
                    <w:topLinePunct w:val="0"/>
                    <w:autoSpaceDE/>
                    <w:autoSpaceDN/>
                    <w:bidi w:val="0"/>
                    <w:adjustRightInd/>
                    <w:snapToGrid/>
                    <w:spacing w:after="0" w:line="240" w:lineRule="auto"/>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BOD</w:t>
                  </w:r>
                  <w:r>
                    <w:rPr>
                      <w:rFonts w:hint="default" w:ascii="Times New Roman" w:hAnsi="Times New Roman" w:eastAsia="宋体" w:cs="Times New Roman"/>
                      <w:color w:val="FF0000"/>
                      <w:sz w:val="21"/>
                      <w:szCs w:val="21"/>
                      <w:vertAlign w:val="subscript"/>
                      <w:lang w:val="en-US" w:eastAsia="zh-CN"/>
                    </w:rPr>
                    <w:t>5</w:t>
                  </w:r>
                </w:p>
              </w:tc>
              <w:tc>
                <w:tcPr>
                  <w:tcW w:w="1440" w:type="pct"/>
                  <w:noWrap w:val="0"/>
                  <w:vAlign w:val="center"/>
                </w:tcPr>
                <w:p>
                  <w:pPr>
                    <w:pStyle w:val="28"/>
                    <w:keepNext w:val="0"/>
                    <w:keepLines w:val="0"/>
                    <w:pageBreakBefore w:val="0"/>
                    <w:widowControl w:val="0"/>
                    <w:kinsoku/>
                    <w:wordWrap/>
                    <w:overflowPunct/>
                    <w:topLinePunct w:val="0"/>
                    <w:autoSpaceDE/>
                    <w:autoSpaceDN/>
                    <w:bidi w:val="0"/>
                    <w:adjustRightInd/>
                    <w:snapToGrid/>
                    <w:spacing w:after="0" w:line="240" w:lineRule="auto"/>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300</w:t>
                  </w:r>
                </w:p>
              </w:tc>
              <w:tc>
                <w:tcPr>
                  <w:tcW w:w="1575" w:type="pct"/>
                  <w:noWrap w:val="0"/>
                  <w:vAlign w:val="center"/>
                </w:tcPr>
                <w:p>
                  <w:pPr>
                    <w:pStyle w:val="28"/>
                    <w:keepNext w:val="0"/>
                    <w:keepLines w:val="0"/>
                    <w:pageBreakBefore w:val="0"/>
                    <w:widowControl w:val="0"/>
                    <w:kinsoku/>
                    <w:wordWrap/>
                    <w:overflowPunct/>
                    <w:topLinePunct w:val="0"/>
                    <w:autoSpaceDE/>
                    <w:autoSpaceDN/>
                    <w:bidi w:val="0"/>
                    <w:adjustRightInd/>
                    <w:snapToGrid/>
                    <w:spacing w:after="0" w:line="240" w:lineRule="auto"/>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120</w:t>
                  </w:r>
                </w:p>
              </w:tc>
              <w:tc>
                <w:tcPr>
                  <w:tcW w:w="1299" w:type="pct"/>
                  <w:noWrap w:val="0"/>
                  <w:vAlign w:val="center"/>
                </w:tcPr>
                <w:p>
                  <w:pPr>
                    <w:pStyle w:val="28"/>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cs="Times New Roman"/>
                      <w:color w:val="FF0000"/>
                      <w:sz w:val="21"/>
                      <w:szCs w:val="21"/>
                      <w:lang w:val="en-US" w:eastAsia="zh-CN"/>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685" w:type="pct"/>
                  <w:noWrap w:val="0"/>
                  <w:vAlign w:val="center"/>
                </w:tcPr>
                <w:p>
                  <w:pPr>
                    <w:pStyle w:val="28"/>
                    <w:keepNext w:val="0"/>
                    <w:keepLines w:val="0"/>
                    <w:pageBreakBefore w:val="0"/>
                    <w:widowControl w:val="0"/>
                    <w:kinsoku/>
                    <w:wordWrap/>
                    <w:overflowPunct/>
                    <w:topLinePunct w:val="0"/>
                    <w:autoSpaceDE/>
                    <w:autoSpaceDN/>
                    <w:bidi w:val="0"/>
                    <w:adjustRightInd/>
                    <w:snapToGrid/>
                    <w:spacing w:after="0" w:line="240" w:lineRule="auto"/>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SS</w:t>
                  </w:r>
                </w:p>
              </w:tc>
              <w:tc>
                <w:tcPr>
                  <w:tcW w:w="1440" w:type="pct"/>
                  <w:noWrap w:val="0"/>
                  <w:vAlign w:val="center"/>
                </w:tcPr>
                <w:p>
                  <w:pPr>
                    <w:pStyle w:val="28"/>
                    <w:keepNext w:val="0"/>
                    <w:keepLines w:val="0"/>
                    <w:pageBreakBefore w:val="0"/>
                    <w:widowControl w:val="0"/>
                    <w:kinsoku/>
                    <w:wordWrap/>
                    <w:overflowPunct/>
                    <w:topLinePunct w:val="0"/>
                    <w:autoSpaceDE/>
                    <w:autoSpaceDN/>
                    <w:bidi w:val="0"/>
                    <w:adjustRightInd/>
                    <w:snapToGrid/>
                    <w:spacing w:after="0" w:line="240" w:lineRule="auto"/>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400</w:t>
                  </w:r>
                </w:p>
              </w:tc>
              <w:tc>
                <w:tcPr>
                  <w:tcW w:w="1575" w:type="pct"/>
                  <w:noWrap w:val="0"/>
                  <w:vAlign w:val="center"/>
                </w:tcPr>
                <w:p>
                  <w:pPr>
                    <w:pStyle w:val="28"/>
                    <w:keepNext w:val="0"/>
                    <w:keepLines w:val="0"/>
                    <w:pageBreakBefore w:val="0"/>
                    <w:widowControl w:val="0"/>
                    <w:kinsoku/>
                    <w:wordWrap/>
                    <w:overflowPunct/>
                    <w:topLinePunct w:val="0"/>
                    <w:autoSpaceDE/>
                    <w:autoSpaceDN/>
                    <w:bidi w:val="0"/>
                    <w:adjustRightInd/>
                    <w:snapToGrid/>
                    <w:spacing w:after="0" w:line="240" w:lineRule="auto"/>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200</w:t>
                  </w:r>
                </w:p>
              </w:tc>
              <w:tc>
                <w:tcPr>
                  <w:tcW w:w="1299" w:type="pct"/>
                  <w:noWrap w:val="0"/>
                  <w:vAlign w:val="center"/>
                </w:tcPr>
                <w:p>
                  <w:pPr>
                    <w:pStyle w:val="28"/>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cs="Times New Roman"/>
                      <w:color w:val="FF0000"/>
                      <w:sz w:val="21"/>
                      <w:szCs w:val="21"/>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685" w:type="pct"/>
                  <w:noWrap w:val="0"/>
                  <w:vAlign w:val="center"/>
                </w:tcPr>
                <w:p>
                  <w:pPr>
                    <w:pStyle w:val="28"/>
                    <w:keepNext w:val="0"/>
                    <w:keepLines w:val="0"/>
                    <w:pageBreakBefore w:val="0"/>
                    <w:widowControl w:val="0"/>
                    <w:kinsoku/>
                    <w:wordWrap/>
                    <w:overflowPunct/>
                    <w:topLinePunct w:val="0"/>
                    <w:autoSpaceDE/>
                    <w:autoSpaceDN/>
                    <w:bidi w:val="0"/>
                    <w:adjustRightInd/>
                    <w:snapToGrid/>
                    <w:spacing w:after="0" w:line="240" w:lineRule="auto"/>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氨氮</w:t>
                  </w:r>
                </w:p>
              </w:tc>
              <w:tc>
                <w:tcPr>
                  <w:tcW w:w="1440" w:type="pct"/>
                  <w:noWrap w:val="0"/>
                  <w:vAlign w:val="center"/>
                </w:tcPr>
                <w:p>
                  <w:pPr>
                    <w:pStyle w:val="28"/>
                    <w:keepNext w:val="0"/>
                    <w:keepLines w:val="0"/>
                    <w:pageBreakBefore w:val="0"/>
                    <w:widowControl w:val="0"/>
                    <w:kinsoku/>
                    <w:wordWrap/>
                    <w:overflowPunct/>
                    <w:topLinePunct w:val="0"/>
                    <w:autoSpaceDE/>
                    <w:autoSpaceDN/>
                    <w:bidi w:val="0"/>
                    <w:adjustRightInd/>
                    <w:snapToGrid/>
                    <w:spacing w:after="0" w:line="240" w:lineRule="auto"/>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45</w:t>
                  </w:r>
                </w:p>
              </w:tc>
              <w:tc>
                <w:tcPr>
                  <w:tcW w:w="1575" w:type="pct"/>
                  <w:noWrap w:val="0"/>
                  <w:vAlign w:val="center"/>
                </w:tcPr>
                <w:p>
                  <w:pPr>
                    <w:pStyle w:val="28"/>
                    <w:keepNext w:val="0"/>
                    <w:keepLines w:val="0"/>
                    <w:pageBreakBefore w:val="0"/>
                    <w:widowControl w:val="0"/>
                    <w:kinsoku/>
                    <w:wordWrap/>
                    <w:overflowPunct/>
                    <w:topLinePunct w:val="0"/>
                    <w:autoSpaceDE/>
                    <w:autoSpaceDN/>
                    <w:bidi w:val="0"/>
                    <w:adjustRightInd/>
                    <w:snapToGrid/>
                    <w:spacing w:after="0" w:line="240" w:lineRule="auto"/>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30</w:t>
                  </w:r>
                </w:p>
              </w:tc>
              <w:tc>
                <w:tcPr>
                  <w:tcW w:w="1299" w:type="pct"/>
                  <w:noWrap w:val="0"/>
                  <w:vAlign w:val="center"/>
                </w:tcPr>
                <w:p>
                  <w:pPr>
                    <w:pStyle w:val="28"/>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cs="Times New Roman"/>
                      <w:color w:val="FF0000"/>
                      <w:sz w:val="21"/>
                      <w:szCs w:val="21"/>
                      <w:lang w:val="en-US" w:eastAsia="zh-CN"/>
                    </w:rPr>
                    <w:t>30</w:t>
                  </w:r>
                </w:p>
              </w:tc>
            </w:tr>
          </w:tbl>
          <w:p>
            <w:pPr>
              <w:numPr>
                <w:ilvl w:val="0"/>
                <w:numId w:val="0"/>
              </w:numPr>
              <w:bidi w:val="0"/>
              <w:rPr>
                <w:rFonts w:hint="default" w:ascii="Times New Roman" w:hAnsi="Times New Roman" w:eastAsia="黑体" w:cs="Times New Roman"/>
                <w:color w:val="auto"/>
                <w:lang w:val="en-US" w:eastAsia="zh-CN"/>
              </w:rPr>
            </w:pPr>
            <w:r>
              <w:rPr>
                <w:rFonts w:hint="default" w:ascii="Times New Roman" w:hAnsi="Times New Roman" w:cs="Times New Roman"/>
                <w:color w:val="auto"/>
                <w:lang w:val="en-US" w:eastAsia="zh-CN"/>
              </w:rPr>
              <w:t xml:space="preserve">3.8 </w:t>
            </w:r>
            <w:r>
              <w:rPr>
                <w:rFonts w:hint="default" w:ascii="Times New Roman" w:hAnsi="Times New Roman" w:eastAsia="黑体" w:cs="Times New Roman"/>
                <w:color w:val="auto"/>
                <w:lang w:val="en-US" w:eastAsia="zh-CN"/>
              </w:rPr>
              <w:t>废气</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项目机制砂生产线和干粉砂浆生产线颗粒物有组织排放执行《大气污染物综合排放标准》（GB8978-1996）中的新污染源排放二级标准；机制砂线烘干废气执行《湖南省工业炉窑大气污染综合治理实施方案》湘环发〔2020〕6号规定的：“暂未执行行业标准的工业炉窑，现阶段长沙市、株洲市、湘潭市以及常德市、岳阳市、益阳市等传输通道城市按照颗粒物、二氧化硫、氮氧化物排放限值不高于30、200、300毫克/立方米实施改造”；喷码废气执行《印刷业挥发性有机物排放标准》（DB43/1357-2017）。</w:t>
            </w:r>
          </w:p>
          <w:p>
            <w:pPr>
              <w:pStyle w:val="2"/>
              <w:rPr>
                <w:rFonts w:hint="default" w:ascii="Times New Roman" w:hAnsi="Times New Roman" w:cs="Times New Roman"/>
                <w:color w:val="FF0000"/>
                <w:u w:val="single"/>
                <w:lang w:val="en-US" w:eastAsia="zh-CN"/>
              </w:rPr>
            </w:pPr>
            <w:r>
              <w:rPr>
                <w:rFonts w:hint="default" w:ascii="Times New Roman" w:hAnsi="Times New Roman" w:cs="Times New Roman"/>
                <w:color w:val="FF0000"/>
                <w:u w:val="single"/>
                <w:lang w:val="en-US" w:eastAsia="zh-CN"/>
              </w:rPr>
              <w:t>根据《大气污染物综合排放标准》（GB8978-1996）：排气筒高度应高于周围200m半径范围内的建筑物5m以上，不能达到该要求的排气筒，应按其高度对应的表列排放速率标准值严格50%执行。由于本项目机制砂车间高度21m，厂区最高建筑物干粉砂浆车间49m，排气筒DA001和DA002位于机制砂车间，DA003~DA004均位于干粉砂浆车间，考虑安全等因素，本项目各车间排气筒设置高度均高于各自屋顶排放，不能满足高于周围200m半径范围内的建筑物5m以上的要求，因此，各排气筒速率按其高度对应的表列排放速率标准值严格50%执行。具体指标见表3-8。</w:t>
            </w:r>
          </w:p>
          <w:p>
            <w:pPr>
              <w:bidi w:val="0"/>
              <w:ind w:left="0" w:leftChars="0" w:firstLine="0" w:firstLineChars="0"/>
              <w:jc w:val="center"/>
              <w:rPr>
                <w:rFonts w:hint="default" w:ascii="Times New Roman" w:hAnsi="Times New Roman" w:cs="Times New Roman"/>
                <w:color w:val="FF0000"/>
                <w:u w:val="single"/>
                <w:vertAlign w:val="baseline"/>
                <w:lang w:val="en-US" w:eastAsia="zh-CN"/>
              </w:rPr>
            </w:pPr>
            <w:r>
              <w:rPr>
                <w:rFonts w:hint="default" w:ascii="Times New Roman" w:hAnsi="Times New Roman" w:cs="Times New Roman"/>
                <w:color w:val="FF0000"/>
                <w:u w:val="single"/>
                <w:lang w:val="en-US" w:eastAsia="zh-CN"/>
              </w:rPr>
              <w:t>表3-8 废气污染物排放限值一览表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5"/>
              <w:gridCol w:w="920"/>
              <w:gridCol w:w="779"/>
              <w:gridCol w:w="1015"/>
              <w:gridCol w:w="754"/>
              <w:gridCol w:w="743"/>
              <w:gridCol w:w="1138"/>
              <w:gridCol w:w="1056"/>
              <w:gridCol w:w="14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785"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r>
                    <w:rPr>
                      <w:rFonts w:hint="default" w:ascii="Times New Roman" w:hAnsi="Times New Roman" w:cs="Times New Roman"/>
                      <w:color w:val="FF0000"/>
                      <w:sz w:val="18"/>
                      <w:szCs w:val="18"/>
                      <w:u w:val="single"/>
                      <w:vertAlign w:val="baseline"/>
                      <w:lang w:val="en-US" w:eastAsia="zh-CN"/>
                    </w:rPr>
                    <w:t>生产线</w:t>
                  </w:r>
                </w:p>
              </w:tc>
              <w:tc>
                <w:tcPr>
                  <w:tcW w:w="92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r>
                    <w:rPr>
                      <w:rFonts w:hint="default" w:ascii="Times New Roman" w:hAnsi="Times New Roman" w:cs="Times New Roman"/>
                      <w:color w:val="FF0000"/>
                      <w:sz w:val="18"/>
                      <w:szCs w:val="18"/>
                      <w:u w:val="single"/>
                      <w:vertAlign w:val="baseline"/>
                      <w:lang w:val="en-US" w:eastAsia="zh-CN"/>
                    </w:rPr>
                    <w:t>排气筒/污染源</w:t>
                  </w:r>
                </w:p>
              </w:tc>
              <w:tc>
                <w:tcPr>
                  <w:tcW w:w="779"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r>
                    <w:rPr>
                      <w:rFonts w:hint="default" w:ascii="Times New Roman" w:hAnsi="Times New Roman" w:cs="Times New Roman"/>
                      <w:color w:val="FF0000"/>
                      <w:sz w:val="18"/>
                      <w:szCs w:val="18"/>
                      <w:u w:val="single"/>
                      <w:vertAlign w:val="baseline"/>
                      <w:lang w:val="en-US" w:eastAsia="zh-CN"/>
                    </w:rPr>
                    <w:t>污染因子</w:t>
                  </w:r>
                </w:p>
              </w:tc>
              <w:tc>
                <w:tcPr>
                  <w:tcW w:w="1015"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r>
                    <w:rPr>
                      <w:rFonts w:hint="default" w:ascii="Times New Roman" w:hAnsi="Times New Roman" w:cs="Times New Roman"/>
                      <w:color w:val="FF0000"/>
                      <w:sz w:val="18"/>
                      <w:szCs w:val="18"/>
                      <w:u w:val="single"/>
                      <w:vertAlign w:val="baseline"/>
                      <w:lang w:val="en-US" w:eastAsia="zh-CN"/>
                    </w:rPr>
                    <w:t>最高允许排放浓度（mg/m</w:t>
                  </w:r>
                  <w:r>
                    <w:rPr>
                      <w:rFonts w:hint="default" w:ascii="Times New Roman" w:hAnsi="Times New Roman" w:cs="Times New Roman"/>
                      <w:color w:val="FF0000"/>
                      <w:sz w:val="18"/>
                      <w:szCs w:val="18"/>
                      <w:u w:val="single"/>
                      <w:vertAlign w:val="superscript"/>
                      <w:lang w:val="en-US" w:eastAsia="zh-CN"/>
                    </w:rPr>
                    <w:t>3</w:t>
                  </w:r>
                  <w:r>
                    <w:rPr>
                      <w:rFonts w:hint="default" w:ascii="Times New Roman" w:hAnsi="Times New Roman" w:cs="Times New Roman"/>
                      <w:color w:val="FF0000"/>
                      <w:sz w:val="18"/>
                      <w:szCs w:val="18"/>
                      <w:u w:val="single"/>
                      <w:vertAlign w:val="baseline"/>
                      <w:lang w:val="en-US" w:eastAsia="zh-CN"/>
                    </w:rPr>
                    <w:t>）</w:t>
                  </w:r>
                </w:p>
              </w:tc>
              <w:tc>
                <w:tcPr>
                  <w:tcW w:w="2635" w:type="dxa"/>
                  <w:gridSpan w:val="3"/>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r>
                    <w:rPr>
                      <w:rFonts w:hint="default" w:ascii="Times New Roman" w:hAnsi="Times New Roman" w:cs="Times New Roman"/>
                      <w:color w:val="FF0000"/>
                      <w:sz w:val="18"/>
                      <w:szCs w:val="18"/>
                      <w:u w:val="single"/>
                      <w:vertAlign w:val="baseline"/>
                      <w:lang w:val="en-US" w:eastAsia="zh-CN"/>
                    </w:rPr>
                    <w:t>最高允许排放速率（kg/h）</w:t>
                  </w:r>
                </w:p>
              </w:tc>
              <w:tc>
                <w:tcPr>
                  <w:tcW w:w="1056"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r>
                    <w:rPr>
                      <w:rFonts w:hint="default" w:ascii="Times New Roman" w:hAnsi="Times New Roman" w:cs="Times New Roman"/>
                      <w:color w:val="FF0000"/>
                      <w:sz w:val="18"/>
                      <w:szCs w:val="18"/>
                      <w:u w:val="single"/>
                      <w:vertAlign w:val="baseline"/>
                      <w:lang w:val="en-US" w:eastAsia="zh-CN"/>
                    </w:rPr>
                    <w:t>厂界监控点浓度限值（mg/m</w:t>
                  </w:r>
                  <w:r>
                    <w:rPr>
                      <w:rFonts w:hint="default" w:ascii="Times New Roman" w:hAnsi="Times New Roman" w:cs="Times New Roman"/>
                      <w:color w:val="FF0000"/>
                      <w:sz w:val="18"/>
                      <w:szCs w:val="18"/>
                      <w:u w:val="single"/>
                      <w:vertAlign w:val="superscript"/>
                      <w:lang w:val="en-US" w:eastAsia="zh-CN"/>
                    </w:rPr>
                    <w:t>3</w:t>
                  </w:r>
                  <w:r>
                    <w:rPr>
                      <w:rFonts w:hint="default" w:ascii="Times New Roman" w:hAnsi="Times New Roman" w:cs="Times New Roman"/>
                      <w:color w:val="FF0000"/>
                      <w:sz w:val="18"/>
                      <w:szCs w:val="18"/>
                      <w:u w:val="single"/>
                      <w:vertAlign w:val="baseline"/>
                      <w:lang w:val="en-US" w:eastAsia="zh-CN"/>
                    </w:rPr>
                    <w:t>）</w:t>
                  </w:r>
                </w:p>
              </w:tc>
              <w:tc>
                <w:tcPr>
                  <w:tcW w:w="1466"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r>
                    <w:rPr>
                      <w:rFonts w:hint="default" w:ascii="Times New Roman" w:hAnsi="Times New Roman" w:cs="Times New Roman"/>
                      <w:color w:val="FF0000"/>
                      <w:sz w:val="18"/>
                      <w:szCs w:val="18"/>
                      <w:u w:val="single"/>
                      <w:vertAlign w:val="baseline"/>
                      <w:lang w:val="en-US"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6" w:hRule="atLeast"/>
              </w:trPr>
              <w:tc>
                <w:tcPr>
                  <w:tcW w:w="785"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rPr>
                  </w:pPr>
                </w:p>
              </w:tc>
              <w:tc>
                <w:tcPr>
                  <w:tcW w:w="92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rPr>
                  </w:pPr>
                </w:p>
              </w:tc>
              <w:tc>
                <w:tcPr>
                  <w:tcW w:w="77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rPr>
                  </w:pPr>
                </w:p>
              </w:tc>
              <w:tc>
                <w:tcPr>
                  <w:tcW w:w="1015"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rPr>
                  </w:pPr>
                </w:p>
              </w:tc>
              <w:tc>
                <w:tcPr>
                  <w:tcW w:w="75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r>
                    <w:rPr>
                      <w:rFonts w:hint="default" w:ascii="Times New Roman" w:hAnsi="Times New Roman" w:cs="Times New Roman"/>
                      <w:color w:val="FF0000"/>
                      <w:sz w:val="18"/>
                      <w:szCs w:val="18"/>
                      <w:u w:val="single"/>
                      <w:vertAlign w:val="baseline"/>
                      <w:lang w:val="en-US" w:eastAsia="zh-CN"/>
                    </w:rPr>
                    <w:t>排气筒</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vertAlign w:val="baseline"/>
                      <w:lang w:val="en-US" w:eastAsia="zh-CN" w:bidi="ar-SA"/>
                    </w:rPr>
                  </w:pPr>
                  <w:r>
                    <w:rPr>
                      <w:rFonts w:hint="default" w:ascii="Times New Roman" w:hAnsi="Times New Roman" w:cs="Times New Roman"/>
                      <w:color w:val="FF0000"/>
                      <w:sz w:val="18"/>
                      <w:szCs w:val="18"/>
                      <w:u w:val="single"/>
                      <w:vertAlign w:val="baseline"/>
                      <w:lang w:val="en-US" w:eastAsia="zh-CN"/>
                    </w:rPr>
                    <w:t>高度</w:t>
                  </w:r>
                </w:p>
              </w:tc>
              <w:tc>
                <w:tcPr>
                  <w:tcW w:w="74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vertAlign w:val="baseline"/>
                      <w:lang w:val="en-US" w:eastAsia="zh-CN" w:bidi="ar-SA"/>
                    </w:rPr>
                  </w:pPr>
                  <w:r>
                    <w:rPr>
                      <w:rFonts w:hint="default" w:ascii="Times New Roman" w:hAnsi="Times New Roman" w:cs="Times New Roman"/>
                      <w:color w:val="FF0000"/>
                      <w:sz w:val="18"/>
                      <w:szCs w:val="18"/>
                      <w:u w:val="single"/>
                      <w:vertAlign w:val="baseline"/>
                      <w:lang w:val="en-US" w:eastAsia="zh-CN"/>
                    </w:rPr>
                    <w:t>二级</w:t>
                  </w:r>
                </w:p>
              </w:tc>
              <w:tc>
                <w:tcPr>
                  <w:tcW w:w="113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r>
                    <w:rPr>
                      <w:rFonts w:hint="default" w:ascii="Times New Roman" w:hAnsi="Times New Roman" w:cs="Times New Roman"/>
                      <w:color w:val="FF0000"/>
                      <w:sz w:val="18"/>
                      <w:szCs w:val="18"/>
                      <w:u w:val="single"/>
                      <w:vertAlign w:val="baseline"/>
                      <w:lang w:val="en-US" w:eastAsia="zh-CN"/>
                    </w:rPr>
                    <w:t>本项目执行标准</w:t>
                  </w:r>
                </w:p>
              </w:tc>
              <w:tc>
                <w:tcPr>
                  <w:tcW w:w="105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p>
              </w:tc>
              <w:tc>
                <w:tcPr>
                  <w:tcW w:w="146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785"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18"/>
                      <w:szCs w:val="18"/>
                      <w:u w:val="single"/>
                      <w:lang w:val="en-US" w:eastAsia="zh-CN"/>
                    </w:rPr>
                  </w:pPr>
                  <w:r>
                    <w:rPr>
                      <w:rFonts w:hint="default" w:ascii="Times New Roman" w:hAnsi="Times New Roman" w:cs="Times New Roman"/>
                      <w:color w:val="FF0000"/>
                      <w:sz w:val="18"/>
                      <w:szCs w:val="18"/>
                      <w:u w:val="single"/>
                      <w:lang w:val="en-US" w:eastAsia="zh-CN"/>
                    </w:rPr>
                    <w:t>烘干工序</w:t>
                  </w:r>
                </w:p>
              </w:tc>
              <w:tc>
                <w:tcPr>
                  <w:tcW w:w="92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rPr>
                  </w:pPr>
                  <w:r>
                    <w:rPr>
                      <w:rFonts w:hint="default" w:ascii="Times New Roman" w:hAnsi="Times New Roman" w:cs="Times New Roman"/>
                      <w:color w:val="FF0000"/>
                      <w:sz w:val="18"/>
                      <w:szCs w:val="18"/>
                      <w:u w:val="single"/>
                      <w:vertAlign w:val="baseline"/>
                      <w:lang w:val="en-US" w:eastAsia="zh-CN"/>
                    </w:rPr>
                    <w:t>烘干废气DA001</w:t>
                  </w:r>
                </w:p>
              </w:tc>
              <w:tc>
                <w:tcPr>
                  <w:tcW w:w="77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lang w:val="en-US" w:eastAsia="zh-CN" w:bidi="ar-SA"/>
                    </w:rPr>
                  </w:pPr>
                  <w:r>
                    <w:rPr>
                      <w:rFonts w:hint="default" w:ascii="Times New Roman" w:hAnsi="Times New Roman" w:cs="Times New Roman"/>
                      <w:color w:val="FF0000"/>
                      <w:sz w:val="18"/>
                      <w:szCs w:val="18"/>
                      <w:u w:val="single"/>
                      <w:lang w:val="en-US" w:eastAsia="zh-CN"/>
                    </w:rPr>
                    <w:t>颗粒物</w:t>
                  </w:r>
                </w:p>
              </w:tc>
              <w:tc>
                <w:tcPr>
                  <w:tcW w:w="101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lang w:val="en-US" w:eastAsia="zh-CN" w:bidi="ar-SA"/>
                    </w:rPr>
                  </w:pPr>
                  <w:r>
                    <w:rPr>
                      <w:rFonts w:hint="default" w:ascii="Times New Roman" w:hAnsi="Times New Roman" w:cs="Times New Roman"/>
                      <w:color w:val="FF0000"/>
                      <w:sz w:val="18"/>
                      <w:szCs w:val="18"/>
                      <w:u w:val="single"/>
                      <w:lang w:val="en-US" w:eastAsia="zh-CN"/>
                    </w:rPr>
                    <w:t>30</w:t>
                  </w:r>
                </w:p>
              </w:tc>
              <w:tc>
                <w:tcPr>
                  <w:tcW w:w="75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lang w:val="en-US" w:eastAsia="zh-CN" w:bidi="ar-SA"/>
                    </w:rPr>
                  </w:pPr>
                  <w:r>
                    <w:rPr>
                      <w:rFonts w:hint="default" w:ascii="Times New Roman" w:hAnsi="Times New Roman" w:cs="Times New Roman"/>
                      <w:color w:val="FF0000"/>
                      <w:sz w:val="18"/>
                      <w:szCs w:val="18"/>
                      <w:u w:val="single"/>
                      <w:lang w:val="en-US" w:eastAsia="zh-CN"/>
                    </w:rPr>
                    <w:t>/</w:t>
                  </w:r>
                </w:p>
              </w:tc>
              <w:tc>
                <w:tcPr>
                  <w:tcW w:w="74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lang w:val="en-US" w:eastAsia="zh-CN" w:bidi="ar-SA"/>
                    </w:rPr>
                  </w:pPr>
                  <w:r>
                    <w:rPr>
                      <w:rFonts w:hint="default" w:ascii="Times New Roman" w:hAnsi="Times New Roman" w:cs="Times New Roman"/>
                      <w:color w:val="FF0000"/>
                      <w:sz w:val="18"/>
                      <w:szCs w:val="18"/>
                      <w:u w:val="single"/>
                      <w:lang w:val="en-US" w:eastAsia="zh-CN"/>
                    </w:rPr>
                    <w:t>/</w:t>
                  </w:r>
                </w:p>
              </w:tc>
              <w:tc>
                <w:tcPr>
                  <w:tcW w:w="113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lang w:val="en-US" w:eastAsia="zh-CN"/>
                    </w:rPr>
                  </w:pPr>
                  <w:r>
                    <w:rPr>
                      <w:rFonts w:hint="default" w:ascii="Times New Roman" w:hAnsi="Times New Roman" w:cs="Times New Roman"/>
                      <w:color w:val="FF0000"/>
                      <w:sz w:val="18"/>
                      <w:szCs w:val="18"/>
                      <w:u w:val="single"/>
                      <w:lang w:val="en-US" w:eastAsia="zh-CN"/>
                    </w:rPr>
                    <w:t>/</w:t>
                  </w:r>
                </w:p>
              </w:tc>
              <w:tc>
                <w:tcPr>
                  <w:tcW w:w="105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vertAlign w:val="baseline"/>
                      <w:lang w:val="en-US" w:eastAsia="zh-CN" w:bidi="ar-SA"/>
                    </w:rPr>
                  </w:pPr>
                  <w:r>
                    <w:rPr>
                      <w:rFonts w:hint="default" w:ascii="Times New Roman" w:hAnsi="Times New Roman" w:cs="Times New Roman"/>
                      <w:color w:val="FF0000"/>
                      <w:sz w:val="18"/>
                      <w:szCs w:val="18"/>
                      <w:u w:val="single"/>
                      <w:vertAlign w:val="baseline"/>
                      <w:lang w:val="en-US" w:eastAsia="zh-CN"/>
                    </w:rPr>
                    <w:t>/</w:t>
                  </w:r>
                </w:p>
              </w:tc>
              <w:tc>
                <w:tcPr>
                  <w:tcW w:w="1466"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r>
                    <w:rPr>
                      <w:rFonts w:hint="default" w:ascii="Times New Roman" w:hAnsi="Times New Roman" w:cs="Times New Roman"/>
                      <w:color w:val="FF0000"/>
                      <w:sz w:val="18"/>
                      <w:szCs w:val="18"/>
                      <w:u w:val="single"/>
                      <w:vertAlign w:val="baseline"/>
                      <w:lang w:val="en-US" w:eastAsia="zh-CN"/>
                    </w:rPr>
                    <w:t>《湖南省工业炉窑大气污染综合治理实施方案》湘环发〔2020〕6号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atLeast"/>
              </w:trPr>
              <w:tc>
                <w:tcPr>
                  <w:tcW w:w="785"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rPr>
                  </w:pPr>
                </w:p>
              </w:tc>
              <w:tc>
                <w:tcPr>
                  <w:tcW w:w="92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rPr>
                  </w:pPr>
                </w:p>
              </w:tc>
              <w:tc>
                <w:tcPr>
                  <w:tcW w:w="77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lang w:val="en-US" w:eastAsia="zh-CN" w:bidi="ar-SA"/>
                    </w:rPr>
                  </w:pPr>
                  <w:r>
                    <w:rPr>
                      <w:rFonts w:hint="default" w:ascii="Times New Roman" w:hAnsi="Times New Roman" w:cs="Times New Roman"/>
                      <w:color w:val="FF0000"/>
                      <w:sz w:val="18"/>
                      <w:szCs w:val="18"/>
                      <w:u w:val="single"/>
                      <w:lang w:val="en-US" w:eastAsia="zh-CN"/>
                    </w:rPr>
                    <w:t>二氧化硫</w:t>
                  </w:r>
                </w:p>
              </w:tc>
              <w:tc>
                <w:tcPr>
                  <w:tcW w:w="101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lang w:val="en-US" w:eastAsia="zh-CN" w:bidi="ar-SA"/>
                    </w:rPr>
                  </w:pPr>
                  <w:r>
                    <w:rPr>
                      <w:rFonts w:hint="default" w:ascii="Times New Roman" w:hAnsi="Times New Roman" w:cs="Times New Roman"/>
                      <w:color w:val="FF0000"/>
                      <w:sz w:val="18"/>
                      <w:szCs w:val="18"/>
                      <w:u w:val="single"/>
                      <w:lang w:val="en-US" w:eastAsia="zh-CN"/>
                    </w:rPr>
                    <w:t>200</w:t>
                  </w:r>
                </w:p>
              </w:tc>
              <w:tc>
                <w:tcPr>
                  <w:tcW w:w="75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lang w:val="en-US" w:eastAsia="zh-CN" w:bidi="ar-SA"/>
                    </w:rPr>
                  </w:pPr>
                  <w:r>
                    <w:rPr>
                      <w:rFonts w:hint="default" w:ascii="Times New Roman" w:hAnsi="Times New Roman" w:cs="Times New Roman"/>
                      <w:color w:val="FF0000"/>
                      <w:sz w:val="18"/>
                      <w:szCs w:val="18"/>
                      <w:u w:val="single"/>
                      <w:lang w:val="en-US" w:eastAsia="zh-CN"/>
                    </w:rPr>
                    <w:t>/</w:t>
                  </w:r>
                </w:p>
              </w:tc>
              <w:tc>
                <w:tcPr>
                  <w:tcW w:w="74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lang w:val="en-US" w:eastAsia="zh-CN" w:bidi="ar-SA"/>
                    </w:rPr>
                  </w:pPr>
                  <w:r>
                    <w:rPr>
                      <w:rFonts w:hint="default" w:ascii="Times New Roman" w:hAnsi="Times New Roman" w:cs="Times New Roman"/>
                      <w:color w:val="FF0000"/>
                      <w:sz w:val="18"/>
                      <w:szCs w:val="18"/>
                      <w:u w:val="single"/>
                      <w:lang w:val="en-US" w:eastAsia="zh-CN"/>
                    </w:rPr>
                    <w:t>/</w:t>
                  </w:r>
                </w:p>
              </w:tc>
              <w:tc>
                <w:tcPr>
                  <w:tcW w:w="113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lang w:val="en-US" w:eastAsia="zh-CN"/>
                    </w:rPr>
                  </w:pPr>
                  <w:r>
                    <w:rPr>
                      <w:rFonts w:hint="default" w:ascii="Times New Roman" w:hAnsi="Times New Roman" w:cs="Times New Roman"/>
                      <w:color w:val="FF0000"/>
                      <w:sz w:val="18"/>
                      <w:szCs w:val="18"/>
                      <w:u w:val="single"/>
                      <w:lang w:val="en-US" w:eastAsia="zh-CN"/>
                    </w:rPr>
                    <w:t>/</w:t>
                  </w:r>
                </w:p>
              </w:tc>
              <w:tc>
                <w:tcPr>
                  <w:tcW w:w="105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vertAlign w:val="baseline"/>
                      <w:lang w:val="en-US" w:eastAsia="zh-CN" w:bidi="ar-SA"/>
                    </w:rPr>
                  </w:pPr>
                  <w:r>
                    <w:rPr>
                      <w:rFonts w:hint="default" w:ascii="Times New Roman" w:hAnsi="Times New Roman" w:cs="Times New Roman"/>
                      <w:color w:val="FF0000"/>
                      <w:sz w:val="18"/>
                      <w:szCs w:val="18"/>
                      <w:u w:val="single"/>
                      <w:vertAlign w:val="baseline"/>
                      <w:lang w:val="en-US" w:eastAsia="zh-CN"/>
                    </w:rPr>
                    <w:t>/</w:t>
                  </w:r>
                </w:p>
              </w:tc>
              <w:tc>
                <w:tcPr>
                  <w:tcW w:w="146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atLeast"/>
              </w:trPr>
              <w:tc>
                <w:tcPr>
                  <w:tcW w:w="785"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rPr>
                  </w:pPr>
                </w:p>
              </w:tc>
              <w:tc>
                <w:tcPr>
                  <w:tcW w:w="92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rPr>
                  </w:pPr>
                </w:p>
              </w:tc>
              <w:tc>
                <w:tcPr>
                  <w:tcW w:w="77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lang w:val="en-US" w:eastAsia="zh-CN" w:bidi="ar-SA"/>
                    </w:rPr>
                  </w:pPr>
                  <w:r>
                    <w:rPr>
                      <w:rFonts w:hint="default" w:ascii="Times New Roman" w:hAnsi="Times New Roman" w:cs="Times New Roman"/>
                      <w:color w:val="FF0000"/>
                      <w:sz w:val="18"/>
                      <w:szCs w:val="18"/>
                      <w:u w:val="single"/>
                      <w:lang w:val="en-US" w:eastAsia="zh-CN"/>
                    </w:rPr>
                    <w:t>氮氧化物</w:t>
                  </w:r>
                </w:p>
              </w:tc>
              <w:tc>
                <w:tcPr>
                  <w:tcW w:w="101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lang w:val="en-US" w:eastAsia="zh-CN" w:bidi="ar-SA"/>
                    </w:rPr>
                  </w:pPr>
                  <w:r>
                    <w:rPr>
                      <w:rFonts w:hint="default" w:ascii="Times New Roman" w:hAnsi="Times New Roman" w:cs="Times New Roman"/>
                      <w:color w:val="FF0000"/>
                      <w:sz w:val="18"/>
                      <w:szCs w:val="18"/>
                      <w:u w:val="single"/>
                      <w:lang w:val="en-US" w:eastAsia="zh-CN"/>
                    </w:rPr>
                    <w:t>300</w:t>
                  </w:r>
                </w:p>
              </w:tc>
              <w:tc>
                <w:tcPr>
                  <w:tcW w:w="75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lang w:val="en-US" w:eastAsia="zh-CN" w:bidi="ar-SA"/>
                    </w:rPr>
                  </w:pPr>
                  <w:r>
                    <w:rPr>
                      <w:rFonts w:hint="default" w:ascii="Times New Roman" w:hAnsi="Times New Roman" w:cs="Times New Roman"/>
                      <w:color w:val="FF0000"/>
                      <w:sz w:val="18"/>
                      <w:szCs w:val="18"/>
                      <w:u w:val="single"/>
                      <w:lang w:val="en-US" w:eastAsia="zh-CN"/>
                    </w:rPr>
                    <w:t>/</w:t>
                  </w:r>
                </w:p>
              </w:tc>
              <w:tc>
                <w:tcPr>
                  <w:tcW w:w="74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lang w:val="en-US" w:eastAsia="zh-CN" w:bidi="ar-SA"/>
                    </w:rPr>
                  </w:pPr>
                  <w:r>
                    <w:rPr>
                      <w:rFonts w:hint="default" w:ascii="Times New Roman" w:hAnsi="Times New Roman" w:cs="Times New Roman"/>
                      <w:color w:val="FF0000"/>
                      <w:sz w:val="18"/>
                      <w:szCs w:val="18"/>
                      <w:u w:val="single"/>
                      <w:lang w:val="en-US" w:eastAsia="zh-CN"/>
                    </w:rPr>
                    <w:t>/</w:t>
                  </w:r>
                </w:p>
              </w:tc>
              <w:tc>
                <w:tcPr>
                  <w:tcW w:w="113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lang w:val="en-US" w:eastAsia="zh-CN"/>
                    </w:rPr>
                  </w:pPr>
                  <w:r>
                    <w:rPr>
                      <w:rFonts w:hint="default" w:ascii="Times New Roman" w:hAnsi="Times New Roman" w:cs="Times New Roman"/>
                      <w:color w:val="FF0000"/>
                      <w:sz w:val="18"/>
                      <w:szCs w:val="18"/>
                      <w:u w:val="single"/>
                      <w:lang w:val="en-US" w:eastAsia="zh-CN"/>
                    </w:rPr>
                    <w:t>/</w:t>
                  </w:r>
                </w:p>
              </w:tc>
              <w:tc>
                <w:tcPr>
                  <w:tcW w:w="105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vertAlign w:val="baseline"/>
                      <w:lang w:val="en-US" w:eastAsia="zh-CN" w:bidi="ar-SA"/>
                    </w:rPr>
                  </w:pPr>
                  <w:r>
                    <w:rPr>
                      <w:rFonts w:hint="default" w:ascii="Times New Roman" w:hAnsi="Times New Roman" w:cs="Times New Roman"/>
                      <w:color w:val="FF0000"/>
                      <w:sz w:val="18"/>
                      <w:szCs w:val="18"/>
                      <w:u w:val="single"/>
                      <w:vertAlign w:val="baseline"/>
                      <w:lang w:val="en-US" w:eastAsia="zh-CN"/>
                    </w:rPr>
                    <w:t>/</w:t>
                  </w:r>
                </w:p>
              </w:tc>
              <w:tc>
                <w:tcPr>
                  <w:tcW w:w="146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9" w:hRule="atLeast"/>
              </w:trPr>
              <w:tc>
                <w:tcPr>
                  <w:tcW w:w="78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r>
                    <w:rPr>
                      <w:rFonts w:hint="default" w:ascii="Times New Roman" w:hAnsi="Times New Roman" w:cs="Times New Roman"/>
                      <w:color w:val="FF0000"/>
                      <w:sz w:val="18"/>
                      <w:szCs w:val="18"/>
                      <w:u w:val="single"/>
                      <w:vertAlign w:val="baseline"/>
                      <w:lang w:val="en-US" w:eastAsia="zh-CN"/>
                    </w:rPr>
                    <w:t>鹅卵石/核实其他工序</w:t>
                  </w:r>
                </w:p>
              </w:tc>
              <w:tc>
                <w:tcPr>
                  <w:tcW w:w="9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r>
                    <w:rPr>
                      <w:rFonts w:hint="default" w:ascii="Times New Roman" w:hAnsi="Times New Roman" w:cs="Times New Roman"/>
                      <w:color w:val="FF0000"/>
                      <w:sz w:val="18"/>
                      <w:szCs w:val="18"/>
                      <w:u w:val="single"/>
                      <w:vertAlign w:val="baseline"/>
                      <w:lang w:val="en-US" w:eastAsia="zh-CN"/>
                    </w:rPr>
                    <w:t>DA002</w:t>
                  </w:r>
                </w:p>
              </w:tc>
              <w:tc>
                <w:tcPr>
                  <w:tcW w:w="77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r>
                    <w:rPr>
                      <w:rFonts w:hint="default" w:ascii="Times New Roman" w:hAnsi="Times New Roman" w:cs="Times New Roman"/>
                      <w:color w:val="FF0000"/>
                      <w:sz w:val="18"/>
                      <w:szCs w:val="18"/>
                      <w:u w:val="single"/>
                      <w:vertAlign w:val="baseline"/>
                      <w:lang w:val="en-US" w:eastAsia="zh-CN"/>
                    </w:rPr>
                    <w:t>颗粒物</w:t>
                  </w:r>
                </w:p>
              </w:tc>
              <w:tc>
                <w:tcPr>
                  <w:tcW w:w="101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r>
                    <w:rPr>
                      <w:rFonts w:hint="default" w:ascii="Times New Roman" w:hAnsi="Times New Roman" w:cs="Times New Roman"/>
                      <w:color w:val="FF0000"/>
                      <w:sz w:val="18"/>
                      <w:szCs w:val="18"/>
                      <w:u w:val="single"/>
                      <w:vertAlign w:val="baseline"/>
                      <w:lang w:val="en-US" w:eastAsia="zh-CN"/>
                    </w:rPr>
                    <w:t>120</w:t>
                  </w:r>
                </w:p>
              </w:tc>
              <w:tc>
                <w:tcPr>
                  <w:tcW w:w="75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r>
                    <w:rPr>
                      <w:rFonts w:hint="default" w:ascii="Times New Roman" w:hAnsi="Times New Roman" w:cs="Times New Roman"/>
                      <w:color w:val="FF0000"/>
                      <w:sz w:val="18"/>
                      <w:szCs w:val="18"/>
                      <w:u w:val="single"/>
                      <w:vertAlign w:val="baseline"/>
                      <w:lang w:val="en-US" w:eastAsia="zh-CN"/>
                    </w:rPr>
                    <w:t>20m</w:t>
                  </w:r>
                </w:p>
              </w:tc>
              <w:tc>
                <w:tcPr>
                  <w:tcW w:w="74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r>
                    <w:rPr>
                      <w:rFonts w:hint="default" w:ascii="Times New Roman" w:hAnsi="Times New Roman" w:cs="Times New Roman"/>
                      <w:color w:val="FF0000"/>
                      <w:sz w:val="18"/>
                      <w:szCs w:val="18"/>
                      <w:u w:val="single"/>
                      <w:vertAlign w:val="baseline"/>
                      <w:lang w:val="en-US" w:eastAsia="zh-CN"/>
                    </w:rPr>
                    <w:t>5.9</w:t>
                  </w:r>
                </w:p>
              </w:tc>
              <w:tc>
                <w:tcPr>
                  <w:tcW w:w="113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r>
                    <w:rPr>
                      <w:rFonts w:hint="default" w:ascii="Times New Roman" w:hAnsi="Times New Roman" w:cs="Times New Roman"/>
                      <w:color w:val="FF0000"/>
                      <w:sz w:val="18"/>
                      <w:szCs w:val="18"/>
                      <w:u w:val="single"/>
                      <w:vertAlign w:val="baseline"/>
                      <w:lang w:val="en-US" w:eastAsia="zh-CN"/>
                    </w:rPr>
                    <w:t>2.95</w:t>
                  </w:r>
                </w:p>
              </w:tc>
              <w:tc>
                <w:tcPr>
                  <w:tcW w:w="105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r>
                    <w:rPr>
                      <w:rFonts w:hint="default" w:ascii="Times New Roman" w:hAnsi="Times New Roman" w:cs="Times New Roman"/>
                      <w:color w:val="FF0000"/>
                      <w:sz w:val="18"/>
                      <w:szCs w:val="18"/>
                      <w:u w:val="single"/>
                      <w:vertAlign w:val="baseline"/>
                      <w:lang w:val="en-US" w:eastAsia="zh-CN"/>
                    </w:rPr>
                    <w:t>1.0</w:t>
                  </w:r>
                </w:p>
              </w:tc>
              <w:tc>
                <w:tcPr>
                  <w:tcW w:w="1466"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r>
                    <w:rPr>
                      <w:rFonts w:hint="default" w:ascii="Times New Roman" w:hAnsi="Times New Roman" w:cs="Times New Roman"/>
                      <w:color w:val="FF0000"/>
                      <w:sz w:val="18"/>
                      <w:szCs w:val="18"/>
                      <w:u w:val="single"/>
                      <w:vertAlign w:val="baseline"/>
                      <w:lang w:val="en-US" w:eastAsia="zh-CN"/>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78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r>
                    <w:rPr>
                      <w:rFonts w:hint="default" w:ascii="Times New Roman" w:hAnsi="Times New Roman" w:cs="Times New Roman"/>
                      <w:color w:val="FF0000"/>
                      <w:sz w:val="18"/>
                      <w:szCs w:val="18"/>
                      <w:u w:val="single"/>
                      <w:vertAlign w:val="baseline"/>
                      <w:lang w:val="en-US" w:eastAsia="zh-CN"/>
                    </w:rPr>
                    <w:t>石灰石生产线</w:t>
                  </w:r>
                </w:p>
              </w:tc>
              <w:tc>
                <w:tcPr>
                  <w:tcW w:w="9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r>
                    <w:rPr>
                      <w:rFonts w:hint="default" w:ascii="Times New Roman" w:hAnsi="Times New Roman" w:cs="Times New Roman"/>
                      <w:color w:val="FF0000"/>
                      <w:sz w:val="18"/>
                      <w:szCs w:val="18"/>
                      <w:u w:val="single"/>
                      <w:vertAlign w:val="baseline"/>
                      <w:lang w:val="en-US" w:eastAsia="zh-CN"/>
                    </w:rPr>
                    <w:t>DA003</w:t>
                  </w:r>
                </w:p>
              </w:tc>
              <w:tc>
                <w:tcPr>
                  <w:tcW w:w="77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vertAlign w:val="baseline"/>
                      <w:lang w:val="en-US" w:eastAsia="zh-CN" w:bidi="ar-SA"/>
                    </w:rPr>
                  </w:pPr>
                  <w:r>
                    <w:rPr>
                      <w:rFonts w:hint="default" w:ascii="Times New Roman" w:hAnsi="Times New Roman" w:cs="Times New Roman"/>
                      <w:color w:val="FF0000"/>
                      <w:sz w:val="18"/>
                      <w:szCs w:val="18"/>
                      <w:u w:val="single"/>
                      <w:vertAlign w:val="baseline"/>
                      <w:lang w:val="en-US" w:eastAsia="zh-CN"/>
                    </w:rPr>
                    <w:t>颗粒物</w:t>
                  </w:r>
                </w:p>
              </w:tc>
              <w:tc>
                <w:tcPr>
                  <w:tcW w:w="101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vertAlign w:val="baseline"/>
                      <w:lang w:val="en-US" w:eastAsia="zh-CN" w:bidi="ar-SA"/>
                    </w:rPr>
                  </w:pPr>
                  <w:r>
                    <w:rPr>
                      <w:rFonts w:hint="default" w:ascii="Times New Roman" w:hAnsi="Times New Roman" w:cs="Times New Roman"/>
                      <w:color w:val="FF0000"/>
                      <w:sz w:val="18"/>
                      <w:szCs w:val="18"/>
                      <w:u w:val="single"/>
                      <w:vertAlign w:val="baseline"/>
                      <w:lang w:val="en-US" w:eastAsia="zh-CN"/>
                    </w:rPr>
                    <w:t>120</w:t>
                  </w:r>
                </w:p>
              </w:tc>
              <w:tc>
                <w:tcPr>
                  <w:tcW w:w="75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vertAlign w:val="baseline"/>
                      <w:lang w:val="en-US" w:eastAsia="zh-CN" w:bidi="ar-SA"/>
                    </w:rPr>
                  </w:pPr>
                  <w:r>
                    <w:rPr>
                      <w:rFonts w:hint="default" w:ascii="Times New Roman" w:hAnsi="Times New Roman" w:cs="Times New Roman"/>
                      <w:color w:val="FF0000"/>
                      <w:sz w:val="18"/>
                      <w:szCs w:val="18"/>
                      <w:u w:val="single"/>
                      <w:vertAlign w:val="baseline"/>
                      <w:lang w:val="en-US" w:eastAsia="zh-CN"/>
                    </w:rPr>
                    <w:t>52m</w:t>
                  </w:r>
                </w:p>
              </w:tc>
              <w:tc>
                <w:tcPr>
                  <w:tcW w:w="74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vertAlign w:val="baseline"/>
                      <w:lang w:val="en-US" w:eastAsia="zh-CN" w:bidi="ar-SA"/>
                    </w:rPr>
                  </w:pPr>
                  <w:r>
                    <w:rPr>
                      <w:rFonts w:hint="default" w:ascii="Times New Roman" w:hAnsi="Times New Roman" w:cs="Times New Roman"/>
                      <w:color w:val="FF0000"/>
                      <w:sz w:val="18"/>
                      <w:szCs w:val="18"/>
                      <w:u w:val="single"/>
                      <w:vertAlign w:val="baseline"/>
                      <w:lang w:val="en-US" w:eastAsia="zh-CN"/>
                    </w:rPr>
                    <w:t>65</w:t>
                  </w:r>
                </w:p>
              </w:tc>
              <w:tc>
                <w:tcPr>
                  <w:tcW w:w="113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vertAlign w:val="baseline"/>
                      <w:lang w:val="en-US" w:eastAsia="zh-CN" w:bidi="ar-SA"/>
                    </w:rPr>
                  </w:pPr>
                  <w:r>
                    <w:rPr>
                      <w:rFonts w:hint="default" w:ascii="Times New Roman" w:hAnsi="Times New Roman" w:cs="Times New Roman"/>
                      <w:color w:val="FF0000"/>
                      <w:sz w:val="18"/>
                      <w:szCs w:val="18"/>
                      <w:u w:val="single"/>
                      <w:vertAlign w:val="baseline"/>
                      <w:lang w:val="en-US" w:eastAsia="zh-CN"/>
                    </w:rPr>
                    <w:t>32.5</w:t>
                  </w:r>
                </w:p>
              </w:tc>
              <w:tc>
                <w:tcPr>
                  <w:tcW w:w="105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vertAlign w:val="baseline"/>
                      <w:lang w:val="en-US" w:eastAsia="zh-CN" w:bidi="ar-SA"/>
                    </w:rPr>
                  </w:pPr>
                  <w:r>
                    <w:rPr>
                      <w:rFonts w:hint="default" w:ascii="Times New Roman" w:hAnsi="Times New Roman" w:cs="Times New Roman"/>
                      <w:color w:val="FF0000"/>
                      <w:sz w:val="18"/>
                      <w:szCs w:val="18"/>
                      <w:u w:val="single"/>
                      <w:vertAlign w:val="baseline"/>
                      <w:lang w:val="en-US" w:eastAsia="zh-CN"/>
                    </w:rPr>
                    <w:t>1.0</w:t>
                  </w:r>
                </w:p>
              </w:tc>
              <w:tc>
                <w:tcPr>
                  <w:tcW w:w="146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785"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r>
                    <w:rPr>
                      <w:rFonts w:hint="default" w:ascii="Times New Roman" w:hAnsi="Times New Roman" w:cs="Times New Roman"/>
                      <w:color w:val="FF0000"/>
                      <w:sz w:val="18"/>
                      <w:szCs w:val="18"/>
                      <w:u w:val="single"/>
                      <w:vertAlign w:val="baseline"/>
                      <w:lang w:val="en-US" w:eastAsia="zh-CN"/>
                    </w:rPr>
                    <w:t>干粉砂浆生产线</w:t>
                  </w:r>
                </w:p>
              </w:tc>
              <w:tc>
                <w:tcPr>
                  <w:tcW w:w="9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r>
                    <w:rPr>
                      <w:rFonts w:hint="default" w:ascii="Times New Roman" w:hAnsi="Times New Roman" w:cs="Times New Roman"/>
                      <w:color w:val="FF0000"/>
                      <w:sz w:val="18"/>
                      <w:szCs w:val="18"/>
                      <w:u w:val="single"/>
                      <w:vertAlign w:val="baseline"/>
                      <w:lang w:val="en-US" w:eastAsia="zh-CN"/>
                    </w:rPr>
                    <w:t>DA004~</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r>
                    <w:rPr>
                      <w:rFonts w:hint="default" w:ascii="Times New Roman" w:hAnsi="Times New Roman" w:cs="Times New Roman"/>
                      <w:color w:val="FF0000"/>
                      <w:sz w:val="18"/>
                      <w:szCs w:val="18"/>
                      <w:u w:val="single"/>
                      <w:vertAlign w:val="baseline"/>
                      <w:lang w:val="en-US" w:eastAsia="zh-CN"/>
                    </w:rPr>
                    <w:t>DA006</w:t>
                  </w:r>
                </w:p>
              </w:tc>
              <w:tc>
                <w:tcPr>
                  <w:tcW w:w="77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r>
                    <w:rPr>
                      <w:rFonts w:hint="default" w:ascii="Times New Roman" w:hAnsi="Times New Roman" w:cs="Times New Roman"/>
                      <w:color w:val="FF0000"/>
                      <w:sz w:val="18"/>
                      <w:szCs w:val="18"/>
                      <w:u w:val="single"/>
                      <w:vertAlign w:val="baseline"/>
                      <w:lang w:val="en-US" w:eastAsia="zh-CN"/>
                    </w:rPr>
                    <w:t>颗粒物</w:t>
                  </w:r>
                </w:p>
              </w:tc>
              <w:tc>
                <w:tcPr>
                  <w:tcW w:w="101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vertAlign w:val="baseline"/>
                      <w:lang w:val="en-US" w:eastAsia="zh-CN" w:bidi="ar-SA"/>
                    </w:rPr>
                  </w:pPr>
                  <w:r>
                    <w:rPr>
                      <w:rFonts w:hint="default" w:ascii="Times New Roman" w:hAnsi="Times New Roman" w:cs="Times New Roman"/>
                      <w:color w:val="FF0000"/>
                      <w:sz w:val="18"/>
                      <w:szCs w:val="18"/>
                      <w:u w:val="single"/>
                      <w:vertAlign w:val="baseline"/>
                      <w:lang w:val="en-US" w:eastAsia="zh-CN"/>
                    </w:rPr>
                    <w:t>120</w:t>
                  </w:r>
                </w:p>
              </w:tc>
              <w:tc>
                <w:tcPr>
                  <w:tcW w:w="75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vertAlign w:val="baseline"/>
                      <w:lang w:val="en-US" w:eastAsia="zh-CN" w:bidi="ar-SA"/>
                    </w:rPr>
                  </w:pPr>
                  <w:r>
                    <w:rPr>
                      <w:rFonts w:hint="default" w:ascii="Times New Roman" w:hAnsi="Times New Roman" w:cs="Times New Roman"/>
                      <w:color w:val="FF0000"/>
                      <w:sz w:val="18"/>
                      <w:szCs w:val="18"/>
                      <w:u w:val="single"/>
                      <w:vertAlign w:val="baseline"/>
                      <w:lang w:val="en-US" w:eastAsia="zh-CN"/>
                    </w:rPr>
                    <w:t>52m</w:t>
                  </w:r>
                </w:p>
              </w:tc>
              <w:tc>
                <w:tcPr>
                  <w:tcW w:w="74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vertAlign w:val="baseline"/>
                      <w:lang w:val="en-US" w:eastAsia="zh-CN" w:bidi="ar-SA"/>
                    </w:rPr>
                  </w:pPr>
                  <w:r>
                    <w:rPr>
                      <w:rFonts w:hint="default" w:ascii="Times New Roman" w:hAnsi="Times New Roman" w:cs="Times New Roman"/>
                      <w:color w:val="FF0000"/>
                      <w:sz w:val="18"/>
                      <w:szCs w:val="18"/>
                      <w:u w:val="single"/>
                      <w:vertAlign w:val="baseline"/>
                      <w:lang w:val="en-US" w:eastAsia="zh-CN"/>
                    </w:rPr>
                    <w:t>65</w:t>
                  </w:r>
                </w:p>
              </w:tc>
              <w:tc>
                <w:tcPr>
                  <w:tcW w:w="113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r>
                    <w:rPr>
                      <w:rFonts w:hint="default" w:ascii="Times New Roman" w:hAnsi="Times New Roman" w:cs="Times New Roman"/>
                      <w:color w:val="FF0000"/>
                      <w:sz w:val="18"/>
                      <w:szCs w:val="18"/>
                      <w:u w:val="single"/>
                      <w:vertAlign w:val="baseline"/>
                      <w:lang w:val="en-US" w:eastAsia="zh-CN"/>
                    </w:rPr>
                    <w:t>32.5</w:t>
                  </w:r>
                </w:p>
              </w:tc>
              <w:tc>
                <w:tcPr>
                  <w:tcW w:w="105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18"/>
                      <w:szCs w:val="18"/>
                      <w:u w:val="single"/>
                      <w:vertAlign w:val="baseline"/>
                      <w:lang w:val="en-US" w:eastAsia="zh-CN" w:bidi="ar-SA"/>
                    </w:rPr>
                  </w:pPr>
                  <w:r>
                    <w:rPr>
                      <w:rFonts w:hint="default" w:ascii="Times New Roman" w:hAnsi="Times New Roman" w:cs="Times New Roman"/>
                      <w:color w:val="FF0000"/>
                      <w:sz w:val="18"/>
                      <w:szCs w:val="18"/>
                      <w:u w:val="single"/>
                      <w:vertAlign w:val="baseline"/>
                      <w:lang w:val="en-US" w:eastAsia="zh-CN"/>
                    </w:rPr>
                    <w:t>1.0</w:t>
                  </w:r>
                </w:p>
              </w:tc>
              <w:tc>
                <w:tcPr>
                  <w:tcW w:w="1466"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0" w:hRule="atLeast"/>
              </w:trPr>
              <w:tc>
                <w:tcPr>
                  <w:tcW w:w="785"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lang w:val="en-US" w:eastAsia="zh-CN"/>
                    </w:rPr>
                  </w:pPr>
                </w:p>
              </w:tc>
              <w:tc>
                <w:tcPr>
                  <w:tcW w:w="9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18"/>
                      <w:szCs w:val="18"/>
                      <w:u w:val="single"/>
                      <w:lang w:val="en-US" w:eastAsia="zh-CN"/>
                    </w:rPr>
                  </w:pPr>
                  <w:r>
                    <w:rPr>
                      <w:rFonts w:hint="default" w:ascii="Times New Roman" w:hAnsi="Times New Roman" w:cs="Times New Roman"/>
                      <w:color w:val="FF0000"/>
                      <w:sz w:val="18"/>
                      <w:szCs w:val="18"/>
                      <w:u w:val="single"/>
                      <w:lang w:val="en-US" w:eastAsia="zh-CN"/>
                    </w:rPr>
                    <w:t>包装喷码废气</w:t>
                  </w:r>
                </w:p>
              </w:tc>
              <w:tc>
                <w:tcPr>
                  <w:tcW w:w="77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lang w:val="en-US" w:eastAsia="zh-CN"/>
                    </w:rPr>
                  </w:pPr>
                  <w:r>
                    <w:rPr>
                      <w:rFonts w:hint="default" w:ascii="Times New Roman" w:hAnsi="Times New Roman" w:cs="Times New Roman"/>
                      <w:color w:val="FF0000"/>
                      <w:sz w:val="18"/>
                      <w:szCs w:val="18"/>
                      <w:u w:val="single"/>
                      <w:lang w:val="en-US" w:eastAsia="zh-CN"/>
                    </w:rPr>
                    <w:t>挥发性有机物</w:t>
                  </w:r>
                </w:p>
              </w:tc>
              <w:tc>
                <w:tcPr>
                  <w:tcW w:w="101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lang w:val="en-US" w:eastAsia="zh-CN"/>
                    </w:rPr>
                  </w:pPr>
                  <w:r>
                    <w:rPr>
                      <w:rFonts w:hint="default" w:ascii="Times New Roman" w:hAnsi="Times New Roman" w:cs="Times New Roman"/>
                      <w:color w:val="FF0000"/>
                      <w:sz w:val="18"/>
                      <w:szCs w:val="18"/>
                      <w:u w:val="single"/>
                      <w:lang w:val="en-US" w:eastAsia="zh-CN"/>
                    </w:rPr>
                    <w:t>/</w:t>
                  </w:r>
                </w:p>
              </w:tc>
              <w:tc>
                <w:tcPr>
                  <w:tcW w:w="149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lang w:val="en-US" w:eastAsia="zh-CN"/>
                    </w:rPr>
                  </w:pPr>
                  <w:r>
                    <w:rPr>
                      <w:rFonts w:hint="default" w:ascii="Times New Roman" w:hAnsi="Times New Roman" w:cs="Times New Roman"/>
                      <w:color w:val="FF0000"/>
                      <w:sz w:val="18"/>
                      <w:szCs w:val="18"/>
                      <w:u w:val="single"/>
                      <w:lang w:val="en-US" w:eastAsia="zh-CN"/>
                    </w:rPr>
                    <w:t>/</w:t>
                  </w:r>
                </w:p>
              </w:tc>
              <w:tc>
                <w:tcPr>
                  <w:tcW w:w="113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lang w:val="en-US" w:eastAsia="zh-CN"/>
                    </w:rPr>
                  </w:pPr>
                  <w:r>
                    <w:rPr>
                      <w:rFonts w:hint="default" w:ascii="Times New Roman" w:hAnsi="Times New Roman" w:cs="Times New Roman"/>
                      <w:color w:val="FF0000"/>
                      <w:sz w:val="18"/>
                      <w:szCs w:val="18"/>
                      <w:u w:val="single"/>
                      <w:lang w:val="en-US" w:eastAsia="zh-CN"/>
                    </w:rPr>
                    <w:t>/</w:t>
                  </w:r>
                </w:p>
              </w:tc>
              <w:tc>
                <w:tcPr>
                  <w:tcW w:w="105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lang w:val="en-US" w:eastAsia="zh-CN"/>
                    </w:rPr>
                  </w:pPr>
                  <w:r>
                    <w:rPr>
                      <w:rFonts w:hint="default" w:ascii="Times New Roman" w:hAnsi="Times New Roman" w:cs="Times New Roman"/>
                      <w:color w:val="FF0000"/>
                      <w:sz w:val="18"/>
                      <w:szCs w:val="18"/>
                      <w:u w:val="single"/>
                      <w:lang w:val="en-US" w:eastAsia="zh-CN"/>
                    </w:rPr>
                    <w:t>厂界：4.0</w:t>
                  </w:r>
                </w:p>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color w:val="FF0000"/>
                      <w:sz w:val="18"/>
                      <w:szCs w:val="18"/>
                      <w:u w:val="single"/>
                      <w:lang w:val="en-US" w:eastAsia="zh-CN"/>
                    </w:rPr>
                  </w:pPr>
                  <w:r>
                    <w:rPr>
                      <w:rFonts w:hint="default" w:ascii="Times New Roman" w:hAnsi="Times New Roman" w:cs="Times New Roman"/>
                      <w:color w:val="FF0000"/>
                      <w:sz w:val="18"/>
                      <w:szCs w:val="18"/>
                      <w:u w:val="single"/>
                      <w:lang w:val="en-US" w:eastAsia="zh-CN"/>
                    </w:rPr>
                    <w:t>厂房外：10</w:t>
                  </w:r>
                </w:p>
              </w:tc>
              <w:tc>
                <w:tcPr>
                  <w:tcW w:w="146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18"/>
                      <w:szCs w:val="18"/>
                      <w:u w:val="single"/>
                      <w:lang w:val="en-US" w:eastAsia="zh-CN"/>
                    </w:rPr>
                  </w:pPr>
                  <w:r>
                    <w:rPr>
                      <w:rFonts w:hint="default" w:ascii="Times New Roman" w:hAnsi="Times New Roman" w:cs="Times New Roman"/>
                      <w:color w:val="FF0000"/>
                      <w:sz w:val="18"/>
                      <w:szCs w:val="18"/>
                      <w:u w:val="single"/>
                      <w:lang w:val="en-US" w:eastAsia="zh-CN"/>
                    </w:rPr>
                    <w:t>《印刷业挥发性有机物排放标准》（DB43/1357-2017）</w:t>
                  </w:r>
                </w:p>
              </w:tc>
            </w:tr>
          </w:tbl>
          <w:p>
            <w:pPr>
              <w:numPr>
                <w:ilvl w:val="0"/>
                <w:numId w:val="0"/>
              </w:num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3.9 </w:t>
            </w:r>
            <w:r>
              <w:rPr>
                <w:rFonts w:hint="default" w:ascii="Times New Roman" w:hAnsi="Times New Roman" w:eastAsia="黑体" w:cs="Times New Roman"/>
                <w:color w:val="auto"/>
                <w:highlight w:val="none"/>
                <w:lang w:val="en-US" w:eastAsia="zh-CN"/>
              </w:rPr>
              <w:t>噪声</w:t>
            </w:r>
          </w:p>
          <w:p>
            <w:pPr>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本项目位于湘阴县湘杨路，项目噪声排放执行标准详见下表。</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u w:val="none"/>
                <w:lang w:val="en-US" w:eastAsia="zh-CN"/>
              </w:rPr>
            </w:pPr>
            <w:r>
              <w:rPr>
                <w:rFonts w:hint="default" w:ascii="Times New Roman" w:hAnsi="Times New Roman" w:cs="Times New Roman"/>
                <w:color w:val="auto"/>
                <w:sz w:val="24"/>
                <w:szCs w:val="24"/>
                <w:highlight w:val="none"/>
                <w:u w:val="none"/>
                <w:lang w:val="en-US" w:eastAsia="zh-CN"/>
              </w:rPr>
              <w:t>施工期环境噪声执行《建筑施工场界环境噪声排放标准》（GB12523-2011）；项目运营期</w:t>
            </w:r>
            <w:r>
              <w:rPr>
                <w:rFonts w:hint="default" w:ascii="Times New Roman" w:hAnsi="Times New Roman" w:eastAsia="宋体" w:cs="Times New Roman"/>
                <w:color w:val="auto"/>
                <w:sz w:val="24"/>
                <w:szCs w:val="24"/>
                <w:highlight w:val="none"/>
                <w:u w:val="none"/>
                <w:lang w:val="en-US" w:eastAsia="zh-CN"/>
              </w:rPr>
              <w:t>厂界</w:t>
            </w:r>
            <w:r>
              <w:rPr>
                <w:rFonts w:hint="default" w:ascii="Times New Roman" w:hAnsi="Times New Roman" w:cs="Times New Roman"/>
                <w:color w:val="auto"/>
                <w:sz w:val="24"/>
                <w:szCs w:val="24"/>
                <w:highlight w:val="none"/>
                <w:u w:val="none"/>
                <w:lang w:val="en-US" w:eastAsia="zh-CN"/>
              </w:rPr>
              <w:t>噪声</w:t>
            </w:r>
            <w:r>
              <w:rPr>
                <w:rFonts w:hint="default" w:ascii="Times New Roman" w:hAnsi="Times New Roman" w:eastAsia="宋体" w:cs="Times New Roman"/>
                <w:color w:val="auto"/>
                <w:sz w:val="24"/>
                <w:szCs w:val="24"/>
                <w:highlight w:val="none"/>
                <w:u w:val="none"/>
                <w:lang w:val="en-US" w:eastAsia="zh-CN"/>
              </w:rPr>
              <w:t>执行《工业企业厂界环境噪声排放标准》（GB12348-2008）中的3类标准。具体标准值见下表。</w:t>
            </w:r>
          </w:p>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4"/>
                <w:szCs w:val="24"/>
                <w:highlight w:val="none"/>
                <w:lang w:val="en-US"/>
              </w:rPr>
            </w:pPr>
            <w:r>
              <w:rPr>
                <w:rFonts w:hint="default" w:ascii="Times New Roman" w:hAnsi="Times New Roman" w:eastAsia="宋体" w:cs="Times New Roman"/>
                <w:color w:val="auto"/>
                <w:sz w:val="24"/>
                <w:szCs w:val="24"/>
                <w:highlight w:val="none"/>
                <w:u w:val="none"/>
                <w:lang w:val="en-US" w:eastAsia="zh-CN"/>
              </w:rPr>
              <w:t>表</w:t>
            </w:r>
            <w:r>
              <w:rPr>
                <w:rFonts w:hint="default" w:ascii="Times New Roman" w:hAnsi="Times New Roman" w:cs="Times New Roman"/>
                <w:color w:val="auto"/>
                <w:sz w:val="24"/>
                <w:szCs w:val="24"/>
                <w:highlight w:val="none"/>
                <w:u w:val="none"/>
                <w:lang w:val="en-US" w:eastAsia="zh-CN"/>
              </w:rPr>
              <w:t xml:space="preserve">3-9 </w:t>
            </w:r>
            <w:r>
              <w:rPr>
                <w:rFonts w:hint="default" w:ascii="Times New Roman" w:hAnsi="Times New Roman" w:eastAsia="宋体" w:cs="Times New Roman"/>
                <w:color w:val="auto"/>
                <w:sz w:val="24"/>
                <w:szCs w:val="24"/>
                <w:highlight w:val="none"/>
                <w:u w:val="none"/>
                <w:lang w:val="en-US" w:eastAsia="zh-CN"/>
              </w:rPr>
              <w:t>噪声排放标准</w:t>
            </w:r>
          </w:p>
          <w:tbl>
            <w:tblPr>
              <w:tblStyle w:val="22"/>
              <w:tblW w:w="4995"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9"/>
              <w:gridCol w:w="1812"/>
              <w:gridCol w:w="1937"/>
              <w:gridCol w:w="3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trPr>
              <w:tc>
                <w:tcPr>
                  <w:tcW w:w="692" w:type="pct"/>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时期</w:t>
                  </w:r>
                </w:p>
              </w:tc>
              <w:tc>
                <w:tcPr>
                  <w:tcW w:w="1046" w:type="pct"/>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昼间（</w:t>
                  </w:r>
                  <w:r>
                    <w:rPr>
                      <w:rFonts w:hint="default" w:ascii="Times New Roman" w:hAnsi="Times New Roman" w:eastAsia="宋体" w:cs="Times New Roman"/>
                      <w:color w:val="auto"/>
                      <w:kern w:val="2"/>
                      <w:sz w:val="21"/>
                      <w:szCs w:val="21"/>
                      <w:u w:val="none"/>
                      <w:lang w:val="en-US" w:eastAsia="zh-CN" w:bidi="ar-SA"/>
                    </w:rPr>
                    <w:t>dB（A）</w:t>
                  </w:r>
                  <w:r>
                    <w:rPr>
                      <w:rFonts w:hint="default" w:ascii="Times New Roman" w:hAnsi="Times New Roman" w:cs="Times New Roman"/>
                      <w:color w:val="auto"/>
                      <w:sz w:val="21"/>
                      <w:szCs w:val="21"/>
                      <w:highlight w:val="none"/>
                      <w:lang w:val="en-US" w:eastAsia="zh-CN"/>
                    </w:rPr>
                    <w:t>）</w:t>
                  </w:r>
                </w:p>
              </w:tc>
              <w:tc>
                <w:tcPr>
                  <w:tcW w:w="1118" w:type="pct"/>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昼间（</w:t>
                  </w:r>
                  <w:r>
                    <w:rPr>
                      <w:rFonts w:hint="default" w:ascii="Times New Roman" w:hAnsi="Times New Roman" w:eastAsia="宋体" w:cs="Times New Roman"/>
                      <w:color w:val="auto"/>
                      <w:kern w:val="2"/>
                      <w:sz w:val="21"/>
                      <w:szCs w:val="21"/>
                      <w:u w:val="none"/>
                      <w:lang w:val="en-US" w:eastAsia="zh-CN" w:bidi="ar-SA"/>
                    </w:rPr>
                    <w:t>dB（A）</w:t>
                  </w:r>
                  <w:r>
                    <w:rPr>
                      <w:rFonts w:hint="default" w:ascii="Times New Roman" w:hAnsi="Times New Roman" w:cs="Times New Roman"/>
                      <w:color w:val="auto"/>
                      <w:sz w:val="21"/>
                      <w:szCs w:val="21"/>
                      <w:highlight w:val="none"/>
                      <w:lang w:val="en-US" w:eastAsia="zh-CN"/>
                    </w:rPr>
                    <w:t>）</w:t>
                  </w:r>
                </w:p>
              </w:tc>
              <w:tc>
                <w:tcPr>
                  <w:tcW w:w="2142" w:type="pct"/>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692" w:type="pct"/>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施工期</w:t>
                  </w:r>
                </w:p>
              </w:tc>
              <w:tc>
                <w:tcPr>
                  <w:tcW w:w="1046" w:type="pct"/>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70</w:t>
                  </w:r>
                </w:p>
              </w:tc>
              <w:tc>
                <w:tcPr>
                  <w:tcW w:w="1118" w:type="pct"/>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55</w:t>
                  </w:r>
                </w:p>
              </w:tc>
              <w:tc>
                <w:tcPr>
                  <w:tcW w:w="2142" w:type="pct"/>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《建筑施工场界环境噪声排放标准》（GB12523-2011）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trPr>
              <w:tc>
                <w:tcPr>
                  <w:tcW w:w="692" w:type="pct"/>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运营期</w:t>
                  </w:r>
                </w:p>
              </w:tc>
              <w:tc>
                <w:tcPr>
                  <w:tcW w:w="1046" w:type="pct"/>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65</w:t>
                  </w:r>
                </w:p>
              </w:tc>
              <w:tc>
                <w:tcPr>
                  <w:tcW w:w="1118" w:type="pct"/>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55</w:t>
                  </w:r>
                </w:p>
              </w:tc>
              <w:tc>
                <w:tcPr>
                  <w:tcW w:w="2142" w:type="pct"/>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《工业企业厂界环境噪声排放标准》</w:t>
                  </w:r>
                </w:p>
                <w:p>
                  <w:pPr>
                    <w:keepNext w:val="0"/>
                    <w:keepLines w:val="0"/>
                    <w:pageBreakBefore w:val="0"/>
                    <w:widowControl w:val="0"/>
                    <w:kinsoku/>
                    <w:wordWrap/>
                    <w:overflowPunct/>
                    <w:topLinePunct w:val="0"/>
                    <w:autoSpaceDE w:val="0"/>
                    <w:autoSpaceDN w:val="0"/>
                    <w:bidi w:val="0"/>
                    <w:adjustRightInd/>
                    <w:snapToGrid/>
                    <w:spacing w:line="240" w:lineRule="auto"/>
                    <w:ind w:right="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（GB 12348-2008）中3类标准限值</w:t>
                  </w:r>
                </w:p>
              </w:tc>
            </w:tr>
          </w:tbl>
          <w:p>
            <w:pPr>
              <w:bidi w:val="0"/>
              <w:ind w:left="0" w:leftChars="0" w:firstLine="0" w:firstLineChars="0"/>
              <w:rPr>
                <w:rFonts w:hint="default" w:ascii="Times New Roman" w:hAnsi="Times New Roman" w:eastAsia="黑体" w:cs="Times New Roman"/>
                <w:color w:val="auto"/>
                <w:lang w:val="en-US" w:eastAsia="zh-CN"/>
              </w:rPr>
            </w:pPr>
            <w:r>
              <w:rPr>
                <w:rFonts w:hint="default" w:ascii="Times New Roman" w:hAnsi="Times New Roman" w:eastAsia="黑体" w:cs="Times New Roman"/>
                <w:color w:val="auto"/>
                <w:lang w:val="en-US" w:eastAsia="zh-CN"/>
              </w:rPr>
              <w:t>3.10 固体废弃物</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一般工业固体废物执行《一般工业固体废物贮存和填埋污染控制标准》（GB18599-2020）的防渗漏、防雨淋、防扬尘等环境保护要求；</w:t>
            </w:r>
            <w:r>
              <w:rPr>
                <w:rFonts w:hint="default" w:ascii="Times New Roman" w:hAnsi="Times New Roman" w:eastAsia="宋体" w:cs="Times New Roman"/>
                <w:color w:val="auto"/>
                <w:kern w:val="2"/>
                <w:sz w:val="24"/>
                <w:szCs w:val="24"/>
                <w:highlight w:val="none"/>
                <w:u w:val="none"/>
                <w:lang w:val="en-US" w:eastAsia="zh-CN" w:bidi="ar-SA"/>
              </w:rPr>
              <w:t>危</w:t>
            </w:r>
            <w:r>
              <w:rPr>
                <w:rFonts w:hint="default" w:ascii="Times New Roman" w:hAnsi="Times New Roman" w:eastAsia="宋体" w:cs="Times New Roman"/>
                <w:color w:val="auto"/>
                <w:kern w:val="2"/>
                <w:sz w:val="24"/>
                <w:szCs w:val="24"/>
                <w:highlight w:val="none"/>
                <w:lang w:val="en-US" w:eastAsia="zh-CN" w:bidi="ar-SA"/>
              </w:rPr>
              <w:t>险废物执行《危险废物贮存污染控制标准》（</w:t>
            </w:r>
            <w:r>
              <w:rPr>
                <w:rFonts w:hint="default" w:ascii="Times New Roman" w:hAnsi="Times New Roman" w:cs="Times New Roman"/>
                <w:color w:val="auto"/>
                <w:sz w:val="24"/>
                <w:szCs w:val="24"/>
                <w:highlight w:val="none"/>
                <w:lang w:val="en-US" w:eastAsia="zh-CN"/>
              </w:rPr>
              <w:t>GB 18597-2001</w:t>
            </w:r>
            <w:r>
              <w:rPr>
                <w:rFonts w:hint="default" w:ascii="Times New Roman" w:hAnsi="Times New Roman" w:eastAsia="宋体" w:cs="Times New Roman"/>
                <w:color w:val="auto"/>
                <w:kern w:val="2"/>
                <w:sz w:val="24"/>
                <w:szCs w:val="24"/>
                <w:highlight w:val="none"/>
                <w:lang w:val="en-US" w:eastAsia="zh-CN" w:bidi="ar-SA"/>
              </w:rPr>
              <w:t>）及2013年修改单和《危险废物收集贮存运输技术规范》（HJ</w:t>
            </w:r>
            <w:r>
              <w:rPr>
                <w:rFonts w:hint="default" w:ascii="Times New Roman" w:hAnsi="Times New Roman" w:cs="Times New Roman"/>
                <w:color w:val="auto"/>
                <w:kern w:val="2"/>
                <w:sz w:val="24"/>
                <w:szCs w:val="24"/>
                <w:highlight w:val="none"/>
                <w:lang w:val="en-US" w:eastAsia="zh-CN" w:bidi="ar-SA"/>
              </w:rPr>
              <w:t xml:space="preserve"> </w:t>
            </w:r>
            <w:r>
              <w:rPr>
                <w:rFonts w:hint="default" w:ascii="Times New Roman" w:hAnsi="Times New Roman" w:eastAsia="宋体" w:cs="Times New Roman"/>
                <w:color w:val="auto"/>
                <w:kern w:val="2"/>
                <w:sz w:val="24"/>
                <w:szCs w:val="24"/>
                <w:highlight w:val="none"/>
                <w:lang w:val="en-US" w:eastAsia="zh-CN" w:bidi="ar-SA"/>
              </w:rPr>
              <w:t>2025-2012）相关标准</w:t>
            </w:r>
            <w:r>
              <w:rPr>
                <w:rFonts w:hint="default" w:ascii="Times New Roman" w:hAnsi="Times New Roman" w:cs="Times New Roman"/>
                <w:color w:val="auto"/>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4" w:type="dxa"/>
            <w:vAlign w:val="center"/>
          </w:tcPr>
          <w:p>
            <w:pPr>
              <w:numPr>
                <w:ilvl w:val="0"/>
                <w:numId w:val="0"/>
              </w:numPr>
              <w:jc w:val="center"/>
              <w:rPr>
                <w:rFonts w:hint="default" w:ascii="Times New Roman" w:hAnsi="Times New Roman" w:cs="Times New Roman"/>
                <w:color w:val="auto"/>
                <w:vertAlign w:val="baseline"/>
                <w:lang w:val="en-US" w:eastAsia="zh-CN"/>
              </w:rPr>
            </w:pPr>
            <w:r>
              <w:rPr>
                <w:rFonts w:hint="default" w:ascii="Times New Roman" w:hAnsi="Times New Roman" w:cs="Times New Roman"/>
                <w:color w:val="auto"/>
                <w:vertAlign w:val="baseline"/>
                <w:lang w:val="en-US" w:eastAsia="zh-CN"/>
              </w:rPr>
              <w:t>总量控制指标</w:t>
            </w:r>
          </w:p>
        </w:tc>
        <w:tc>
          <w:tcPr>
            <w:tcW w:w="8894" w:type="dxa"/>
            <w:vAlign w:val="center"/>
          </w:tcPr>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按照国家和湖南省生态环境厅的要求，“十四五”期间国家实行主要污染物总量控制的指标为水污染物的2项（COD、氨氮），大气污染物的2项（VOCs、氮氧化物）。</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（1）废水</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项目运营期废水主要为生活污水。项目生活污水进入化粪池处理后进入市政污水管网排入湘阴县第一污水处理厂。 </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项目废水排放总量为919.2t/a，核算最终的CODCr、氨氮外排量分别为0.22t/a、0.02t/a。由于本项目仅排放生活污水，因此本项目纳入总量控制，无需申请总量。 </w:t>
            </w:r>
          </w:p>
          <w:p>
            <w:pPr>
              <w:numPr>
                <w:ilvl w:val="0"/>
                <w:numId w:val="0"/>
              </w:numPr>
              <w:bidi w:val="0"/>
              <w:ind w:left="480" w:leftChars="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（2）废气</w:t>
            </w:r>
          </w:p>
          <w:p>
            <w:pPr>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本项目运营期烘干工序天然气燃烧产生SO</w:t>
            </w:r>
            <w:r>
              <w:rPr>
                <w:rFonts w:hint="default" w:ascii="Times New Roman" w:hAnsi="Times New Roman" w:cs="Times New Roman"/>
                <w:color w:val="FF0000"/>
                <w:vertAlign w:val="subscript"/>
                <w:lang w:val="en-US" w:eastAsia="zh-CN"/>
              </w:rPr>
              <w:t>2</w:t>
            </w:r>
            <w:r>
              <w:rPr>
                <w:rFonts w:hint="default" w:ascii="Times New Roman" w:hAnsi="Times New Roman" w:cs="Times New Roman"/>
                <w:color w:val="FF0000"/>
                <w:lang w:val="en-US" w:eastAsia="zh-CN"/>
              </w:rPr>
              <w:t>、氮氧化物和颗粒物，喷码工序产生VOCs。根据本项目所产生的污染物的具体情况及特征，本项目氮氧化物和VOCs设置大气污染物的总量控制指标。</w:t>
            </w:r>
            <w:r>
              <w:rPr>
                <w:rFonts w:hint="default" w:ascii="Times New Roman" w:hAnsi="Times New Roman" w:cs="Times New Roman"/>
                <w:color w:val="FF0000"/>
                <w:sz w:val="24"/>
                <w:szCs w:val="24"/>
                <w:highlight w:val="none"/>
                <w:lang w:val="en-US" w:eastAsia="zh-CN"/>
              </w:rPr>
              <w:t>项目总量来源于总量交易。</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建议本项目污染物控制指标：</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VOCs：</w:t>
            </w:r>
            <w:r>
              <w:rPr>
                <w:rFonts w:hint="default" w:ascii="Times New Roman" w:hAnsi="Times New Roman" w:cs="Times New Roman"/>
                <w:color w:val="FF0000"/>
                <w:sz w:val="24"/>
                <w:szCs w:val="24"/>
                <w:highlight w:val="none"/>
                <w:lang w:val="en-US" w:eastAsia="zh-CN"/>
              </w:rPr>
              <w:t>0.01</w:t>
            </w:r>
            <w:r>
              <w:rPr>
                <w:rFonts w:hint="default" w:ascii="Times New Roman" w:hAnsi="Times New Roman" w:eastAsia="宋体" w:cs="Times New Roman"/>
                <w:color w:val="FF0000"/>
                <w:sz w:val="24"/>
                <w:szCs w:val="24"/>
                <w:highlight w:val="none"/>
                <w:lang w:val="en-US" w:eastAsia="zh-CN"/>
              </w:rPr>
              <w:t>t/a；</w:t>
            </w:r>
          </w:p>
          <w:p>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NO</w:t>
            </w:r>
            <w:r>
              <w:rPr>
                <w:rFonts w:hint="default" w:ascii="Times New Roman" w:hAnsi="Times New Roman" w:eastAsia="宋体" w:cs="Times New Roman"/>
                <w:color w:val="FF0000"/>
                <w:sz w:val="24"/>
                <w:szCs w:val="24"/>
                <w:highlight w:val="none"/>
                <w:vertAlign w:val="subscript"/>
                <w:lang w:val="en-US" w:eastAsia="zh-CN"/>
              </w:rPr>
              <w:t>x</w:t>
            </w:r>
            <w:r>
              <w:rPr>
                <w:rFonts w:hint="default" w:ascii="Times New Roman" w:hAnsi="Times New Roman" w:eastAsia="宋体" w:cs="Times New Roman"/>
                <w:color w:val="FF0000"/>
                <w:sz w:val="24"/>
                <w:szCs w:val="24"/>
                <w:highlight w:val="none"/>
                <w:lang w:val="en-US" w:eastAsia="zh-CN"/>
              </w:rPr>
              <w:t>：</w:t>
            </w:r>
            <w:r>
              <w:rPr>
                <w:rFonts w:hint="default" w:ascii="Times New Roman" w:hAnsi="Times New Roman" w:cs="Times New Roman"/>
                <w:color w:val="FF0000"/>
                <w:kern w:val="0"/>
                <w:sz w:val="24"/>
                <w:szCs w:val="24"/>
                <w:highlight w:val="none"/>
                <w:lang w:val="en-US" w:eastAsia="zh-CN"/>
              </w:rPr>
              <w:t>4.27</w:t>
            </w:r>
            <w:r>
              <w:rPr>
                <w:rFonts w:hint="default" w:ascii="Times New Roman" w:hAnsi="Times New Roman" w:eastAsia="宋体" w:cs="Times New Roman"/>
                <w:color w:val="FF0000"/>
                <w:sz w:val="24"/>
                <w:szCs w:val="24"/>
                <w:highlight w:val="none"/>
                <w:lang w:val="en-US" w:eastAsia="zh-CN"/>
              </w:rPr>
              <w:t>t/a</w:t>
            </w:r>
            <w:r>
              <w:rPr>
                <w:rFonts w:hint="default" w:ascii="Times New Roman" w:hAnsi="Times New Roman" w:cs="Times New Roman"/>
                <w:color w:val="FF0000"/>
                <w:sz w:val="24"/>
                <w:szCs w:val="24"/>
                <w:highlight w:val="none"/>
                <w:lang w:val="en-US" w:eastAsia="zh-CN"/>
              </w:rPr>
              <w:t>;</w:t>
            </w:r>
          </w:p>
          <w:p>
            <w:pPr>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cs="Times New Roman"/>
                <w:color w:val="FF0000"/>
                <w:lang w:val="en-US" w:eastAsia="zh-CN"/>
              </w:rPr>
              <w:t>SO</w:t>
            </w:r>
            <w:r>
              <w:rPr>
                <w:rFonts w:hint="default" w:ascii="Times New Roman" w:hAnsi="Times New Roman" w:cs="Times New Roman"/>
                <w:color w:val="FF0000"/>
                <w:vertAlign w:val="subscript"/>
                <w:lang w:val="en-US" w:eastAsia="zh-CN"/>
              </w:rPr>
              <w:t>2</w:t>
            </w:r>
            <w:r>
              <w:rPr>
                <w:rFonts w:hint="default" w:ascii="Times New Roman" w:hAnsi="Times New Roman" w:eastAsia="宋体" w:cs="Times New Roman"/>
                <w:color w:val="FF0000"/>
                <w:sz w:val="24"/>
                <w:szCs w:val="24"/>
                <w:highlight w:val="none"/>
                <w:lang w:val="en-US" w:eastAsia="zh-CN"/>
              </w:rPr>
              <w:t>：</w:t>
            </w:r>
            <w:r>
              <w:rPr>
                <w:rFonts w:hint="default" w:ascii="Times New Roman" w:hAnsi="Times New Roman" w:cs="Times New Roman"/>
                <w:color w:val="FF0000"/>
                <w:sz w:val="24"/>
                <w:szCs w:val="24"/>
                <w:highlight w:val="none"/>
                <w:lang w:val="en-US" w:eastAsia="zh-CN"/>
              </w:rPr>
              <w:t>0.76</w:t>
            </w:r>
            <w:r>
              <w:rPr>
                <w:rFonts w:hint="default" w:ascii="Times New Roman" w:hAnsi="Times New Roman" w:eastAsia="宋体" w:cs="Times New Roman"/>
                <w:color w:val="FF0000"/>
                <w:sz w:val="24"/>
                <w:szCs w:val="24"/>
                <w:highlight w:val="none"/>
                <w:lang w:val="en-US" w:eastAsia="zh-CN"/>
              </w:rPr>
              <w:t>t/a。</w:t>
            </w:r>
          </w:p>
          <w:p>
            <w:pPr>
              <w:rPr>
                <w:rFonts w:hint="default" w:ascii="Times New Roman" w:hAnsi="Times New Roman" w:eastAsia="宋体" w:cs="Times New Roman"/>
                <w:color w:val="auto"/>
                <w:lang w:val="en-US" w:eastAsia="zh-CN"/>
              </w:rPr>
            </w:pPr>
          </w:p>
        </w:tc>
      </w:tr>
    </w:tbl>
    <w:p>
      <w:pPr>
        <w:numPr>
          <w:ilvl w:val="0"/>
          <w:numId w:val="0"/>
        </w:numPr>
        <w:ind w:leftChars="0"/>
        <w:rPr>
          <w:rFonts w:hint="default" w:ascii="Times New Roman" w:hAnsi="Times New Roman" w:cs="Times New Roman"/>
          <w:lang w:val="en-US" w:eastAsia="zh-CN"/>
        </w:rPr>
        <w:sectPr>
          <w:pgSz w:w="11906" w:h="16838"/>
          <w:pgMar w:top="1440" w:right="1417" w:bottom="1440" w:left="1417" w:header="851" w:footer="992" w:gutter="0"/>
          <w:pgBorders w:offsetFrom="page">
            <w:top w:val="none" w:sz="0" w:space="0"/>
            <w:left w:val="none" w:sz="0" w:space="0"/>
            <w:bottom w:val="none" w:sz="0" w:space="0"/>
            <w:right w:val="none" w:sz="0" w:space="0"/>
          </w:pgBorders>
          <w:cols w:space="0" w:num="1"/>
          <w:rtlGutter w:val="0"/>
          <w:docGrid w:type="lines" w:linePitch="312" w:charSpace="0"/>
        </w:sectPr>
      </w:pPr>
    </w:p>
    <w:p>
      <w:pPr>
        <w:pStyle w:val="4"/>
        <w:keepNext/>
        <w:keepLines/>
        <w:pageBreakBefore/>
        <w:widowControl/>
        <w:numPr>
          <w:ilvl w:val="0"/>
          <w:numId w:val="0"/>
        </w:numPr>
        <w:kinsoku/>
        <w:wordWrap/>
        <w:overflowPunct/>
        <w:topLinePunct w:val="0"/>
        <w:autoSpaceDE/>
        <w:autoSpaceDN/>
        <w:bidi w:val="0"/>
        <w:adjustRightInd/>
        <w:snapToGrid/>
        <w:ind w:left="-86" w:leftChars="0"/>
        <w:jc w:val="both"/>
        <w:textAlignment w:val="auto"/>
        <w:rPr>
          <w:rFonts w:hint="default" w:ascii="Times New Roman" w:hAnsi="Times New Roman" w:cs="Times New Roman"/>
          <w:lang w:val="en-US" w:eastAsia="zh-CN"/>
        </w:rPr>
      </w:pPr>
      <w:bookmarkStart w:id="14" w:name="_Toc22919"/>
      <w:r>
        <w:rPr>
          <w:rFonts w:hint="default" w:ascii="Times New Roman" w:hAnsi="Times New Roman" w:cs="Times New Roman"/>
          <w:lang w:val="en-US" w:eastAsia="zh-CN"/>
        </w:rPr>
        <w:t>四、主要环境影响和保护措施</w:t>
      </w:r>
      <w:bookmarkEnd w:id="14"/>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4"/>
        <w:gridCol w:w="8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434" w:type="dxa"/>
            <w:vAlign w:val="center"/>
          </w:tcPr>
          <w:p>
            <w:pPr>
              <w:numPr>
                <w:ilvl w:val="0"/>
                <w:numId w:val="0"/>
              </w:numPr>
              <w:jc w:val="center"/>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施工期环境影响和保护措施</w:t>
            </w:r>
          </w:p>
        </w:tc>
        <w:tc>
          <w:tcPr>
            <w:tcW w:w="8834" w:type="dxa"/>
            <w:vAlign w:val="center"/>
          </w:tcPr>
          <w:p>
            <w:pPr>
              <w:numPr>
                <w:ilvl w:val="0"/>
                <w:numId w:val="0"/>
              </w:numPr>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4.1 施工期大气环境影响分析和保护措施</w:t>
            </w:r>
          </w:p>
          <w:p>
            <w:pPr>
              <w:bidi w:val="0"/>
              <w:rPr>
                <w:rFonts w:hint="default" w:ascii="Times New Roman" w:hAnsi="Times New Roman" w:cs="Times New Roman"/>
              </w:rPr>
            </w:pPr>
            <w:r>
              <w:rPr>
                <w:rFonts w:hint="default" w:ascii="Times New Roman" w:hAnsi="Times New Roman" w:cs="Times New Roman"/>
              </w:rPr>
              <w:t>施工过程中造成大气污染的主要产生源有：施工开挖产生的扬尘；施工建筑材料的装卸、运输、堆</w:t>
            </w:r>
            <w:r>
              <w:rPr>
                <w:rFonts w:hint="default" w:ascii="Times New Roman" w:hAnsi="Times New Roman" w:cs="Times New Roman"/>
                <w:lang w:val="en-US" w:eastAsia="zh-CN"/>
              </w:rPr>
              <w:t>放</w:t>
            </w:r>
            <w:r>
              <w:rPr>
                <w:rFonts w:hint="default" w:ascii="Times New Roman" w:hAnsi="Times New Roman" w:cs="Times New Roman"/>
              </w:rPr>
              <w:t>过程以及开挖弃土的堆</w:t>
            </w:r>
            <w:r>
              <w:rPr>
                <w:rFonts w:hint="default" w:ascii="Times New Roman" w:hAnsi="Times New Roman" w:cs="Times New Roman"/>
                <w:lang w:val="en-US" w:eastAsia="zh-CN"/>
              </w:rPr>
              <w:t>放</w:t>
            </w:r>
            <w:r>
              <w:rPr>
                <w:rFonts w:hint="default" w:ascii="Times New Roman" w:hAnsi="Times New Roman" w:cs="Times New Roman"/>
              </w:rPr>
              <w:t>、运输过程中造成扬起和洒落</w:t>
            </w:r>
            <w:r>
              <w:rPr>
                <w:rFonts w:hint="default" w:ascii="Times New Roman" w:hAnsi="Times New Roman" w:cs="Times New Roman"/>
                <w:lang w:val="en-US" w:eastAsia="zh-CN"/>
              </w:rPr>
              <w:t>从而产生的扬尘</w:t>
            </w:r>
            <w:r>
              <w:rPr>
                <w:rFonts w:hint="default" w:ascii="Times New Roman" w:hAnsi="Times New Roman" w:cs="Times New Roman"/>
              </w:rPr>
              <w:t>；各类施工机械和运输车辆所排放的废气</w:t>
            </w:r>
            <w:r>
              <w:rPr>
                <w:rFonts w:hint="default" w:ascii="Times New Roman" w:hAnsi="Times New Roman" w:cs="Times New Roman"/>
                <w:lang w:eastAsia="zh-CN"/>
              </w:rPr>
              <w:t>；</w:t>
            </w:r>
            <w:r>
              <w:rPr>
                <w:rFonts w:hint="default" w:ascii="Times New Roman" w:hAnsi="Times New Roman" w:cs="Times New Roman"/>
                <w:lang w:val="en-US" w:eastAsia="zh-CN"/>
              </w:rPr>
              <w:t>装修废气</w:t>
            </w:r>
            <w:r>
              <w:rPr>
                <w:rFonts w:hint="default" w:ascii="Times New Roman" w:hAnsi="Times New Roman" w:cs="Times New Roman"/>
              </w:rPr>
              <w:t>。</w:t>
            </w:r>
          </w:p>
          <w:p>
            <w:pPr>
              <w:numPr>
                <w:ilvl w:val="0"/>
                <w:numId w:val="0"/>
              </w:numPr>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4.1.1 施工期大气环境影响分析</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（1）施工扬尘影响分析</w:t>
            </w:r>
          </w:p>
          <w:p>
            <w:pPr>
              <w:bidi w:val="0"/>
              <w:rPr>
                <w:rFonts w:hint="default" w:ascii="Times New Roman" w:hAnsi="Times New Roman" w:cs="Times New Roman"/>
              </w:rPr>
            </w:pPr>
            <w:r>
              <w:rPr>
                <w:rFonts w:hint="default" w:ascii="Times New Roman" w:hAnsi="Times New Roman" w:cs="Times New Roman"/>
              </w:rPr>
              <w:t>施工期间对环境空气影响最主要的是</w:t>
            </w:r>
            <w:r>
              <w:rPr>
                <w:rFonts w:hint="default" w:ascii="Times New Roman" w:hAnsi="Times New Roman" w:cs="Times New Roman"/>
                <w:lang w:val="en-US" w:eastAsia="zh-CN"/>
              </w:rPr>
              <w:t>扬</w:t>
            </w:r>
            <w:r>
              <w:rPr>
                <w:rFonts w:hint="default" w:ascii="Times New Roman" w:hAnsi="Times New Roman" w:cs="Times New Roman"/>
              </w:rPr>
              <w:t>尘。干燥地表的开挖产生的</w:t>
            </w:r>
            <w:r>
              <w:rPr>
                <w:rFonts w:hint="default" w:ascii="Times New Roman" w:hAnsi="Times New Roman" w:cs="Times New Roman"/>
                <w:lang w:val="en-US" w:eastAsia="zh-CN"/>
              </w:rPr>
              <w:t>扬</w:t>
            </w:r>
            <w:r>
              <w:rPr>
                <w:rFonts w:hint="default" w:ascii="Times New Roman" w:hAnsi="Times New Roman" w:cs="Times New Roman"/>
              </w:rPr>
              <w:t>尘，一部分悬浮于空中，另一部分随风飘落到附近地面和建筑物表面。在开挖泥土的堆砌过程中，在风力较大时，会产生粉尘扬起；在装卸和运输过程中，会造成部分粉尘扬起和洒落；雨水冲刷夹带的泥土散布路面，在晒干后因车辆的移动或刮风会再次扬尘；开挖的回填过程中也会引起大量</w:t>
            </w:r>
            <w:r>
              <w:rPr>
                <w:rFonts w:hint="default" w:ascii="Times New Roman" w:hAnsi="Times New Roman" w:cs="Times New Roman"/>
                <w:lang w:val="en-US" w:eastAsia="zh-CN"/>
              </w:rPr>
              <w:t>扬</w:t>
            </w:r>
            <w:r>
              <w:rPr>
                <w:rFonts w:hint="default" w:ascii="Times New Roman" w:hAnsi="Times New Roman" w:cs="Times New Roman"/>
              </w:rPr>
              <w:t xml:space="preserve">尘；另外建筑材料的装卸、运输、堆砌过程中也必然会引起洒落及飞扬。 </w:t>
            </w:r>
          </w:p>
          <w:p>
            <w:pPr>
              <w:bidi w:val="0"/>
              <w:rPr>
                <w:rFonts w:hint="default" w:ascii="Times New Roman" w:hAnsi="Times New Roman" w:cs="Times New Roman"/>
                <w:lang w:eastAsia="zh-CN"/>
              </w:rPr>
            </w:pPr>
            <w:r>
              <w:rPr>
                <w:rFonts w:hint="default" w:ascii="Times New Roman" w:hAnsi="Times New Roman" w:cs="Times New Roman"/>
              </w:rPr>
              <w:t>施工过程中</w:t>
            </w:r>
            <w:r>
              <w:rPr>
                <w:rFonts w:hint="default" w:ascii="Times New Roman" w:hAnsi="Times New Roman" w:cs="Times New Roman"/>
                <w:lang w:val="en-US" w:eastAsia="zh-CN"/>
              </w:rPr>
              <w:t>扬</w:t>
            </w:r>
            <w:r>
              <w:rPr>
                <w:rFonts w:hint="default" w:ascii="Times New Roman" w:hAnsi="Times New Roman" w:cs="Times New Roman"/>
              </w:rPr>
              <w:t>尘污染的危害性是不容忽视的。浮于空气中的</w:t>
            </w:r>
            <w:r>
              <w:rPr>
                <w:rFonts w:hint="default" w:ascii="Times New Roman" w:hAnsi="Times New Roman" w:cs="Times New Roman"/>
                <w:lang w:val="en-US" w:eastAsia="zh-CN"/>
              </w:rPr>
              <w:t>扬</w:t>
            </w:r>
            <w:r>
              <w:rPr>
                <w:rFonts w:hint="default" w:ascii="Times New Roman" w:hAnsi="Times New Roman" w:cs="Times New Roman"/>
              </w:rPr>
              <w:t>尘被施工人员和周围居民吸入，可能引起各种呼吸道疾病。此外，粉尘飘扬，降低能见度，易引发交通事故。粉尘飘落在各种建筑物和树木枝叶上，影响景观。</w:t>
            </w:r>
          </w:p>
          <w:p>
            <w:pPr>
              <w:bidi w:val="0"/>
              <w:rPr>
                <w:rFonts w:hint="default" w:ascii="Times New Roman" w:hAnsi="Times New Roman" w:cs="Times New Roman"/>
              </w:rPr>
            </w:pPr>
            <w:r>
              <w:rPr>
                <w:rFonts w:hint="default" w:ascii="Times New Roman" w:hAnsi="Times New Roman" w:cs="Times New Roman"/>
                <w:lang w:val="en-US" w:eastAsia="zh-CN"/>
              </w:rPr>
              <w:t>①</w:t>
            </w:r>
            <w:r>
              <w:rPr>
                <w:rFonts w:hint="default" w:ascii="Times New Roman" w:hAnsi="Times New Roman" w:cs="Times New Roman"/>
              </w:rPr>
              <w:t>施工、运输产生的扬尘</w:t>
            </w:r>
          </w:p>
          <w:p>
            <w:pPr>
              <w:bidi w:val="0"/>
              <w:rPr>
                <w:rFonts w:hint="default" w:ascii="Times New Roman" w:hAnsi="Times New Roman" w:cs="Times New Roman"/>
                <w:lang w:eastAsia="zh-CN"/>
              </w:rPr>
            </w:pPr>
            <w:r>
              <w:rPr>
                <w:rFonts w:hint="default" w:ascii="Times New Roman" w:hAnsi="Times New Roman" w:cs="Times New Roman"/>
              </w:rPr>
              <w:t>根据有关调查，施工工地的扬尘主要是由运输车辆行驶产生，与施工场地路面情况及车辆行驶速度有关，约占总扬尘量的60%。类比同类施工企业，拟在完全干燥情况下，可按工程交通运输起尘的经验公式计算：</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Q=0.123</w:t>
            </w:r>
            <w:r>
              <w:rPr>
                <w:rFonts w:hint="default" w:ascii="Times New Roman" w:hAnsi="Times New Roman" w:cs="Times New Roman"/>
                <w:sz w:val="24"/>
                <w:szCs w:val="24"/>
                <w:lang w:eastAsia="zh-CN"/>
              </w:rPr>
              <w:t>（</w:t>
            </w:r>
            <w:r>
              <w:rPr>
                <w:rFonts w:hint="default" w:ascii="Times New Roman" w:hAnsi="Times New Roman" w:eastAsia="宋体" w:cs="Times New Roman"/>
                <w:sz w:val="24"/>
                <w:szCs w:val="24"/>
              </w:rPr>
              <w:t>V/5</w:t>
            </w:r>
            <w:r>
              <w:rPr>
                <w:rFonts w:hint="default" w:ascii="Times New Roman" w:hAnsi="Times New Roman" w:cs="Times New Roman"/>
                <w:sz w:val="24"/>
                <w:szCs w:val="24"/>
                <w:lang w:eastAsia="zh-CN"/>
              </w:rPr>
              <w:t>）（</w:t>
            </w:r>
            <w:r>
              <w:rPr>
                <w:rFonts w:hint="default" w:ascii="Times New Roman" w:hAnsi="Times New Roman" w:eastAsia="宋体" w:cs="Times New Roman"/>
                <w:sz w:val="24"/>
                <w:szCs w:val="24"/>
              </w:rPr>
              <w:t>W/6.8</w:t>
            </w:r>
            <w:r>
              <w:rPr>
                <w:rFonts w:hint="default" w:ascii="Times New Roman" w:hAnsi="Times New Roman" w:cs="Times New Roman"/>
                <w:sz w:val="24"/>
                <w:szCs w:val="24"/>
                <w:lang w:eastAsia="zh-CN"/>
              </w:rPr>
              <w:t>）</w:t>
            </w:r>
            <w:r>
              <w:rPr>
                <w:rFonts w:hint="default" w:ascii="Times New Roman" w:hAnsi="Times New Roman" w:eastAsia="宋体" w:cs="Times New Roman"/>
                <w:sz w:val="24"/>
                <w:szCs w:val="24"/>
                <w:vertAlign w:val="superscript"/>
              </w:rPr>
              <w:t>0.85</w:t>
            </w:r>
            <w:r>
              <w:rPr>
                <w:rFonts w:hint="default" w:ascii="Times New Roman" w:hAnsi="Times New Roman" w:cs="Times New Roman"/>
                <w:sz w:val="24"/>
                <w:szCs w:val="24"/>
                <w:lang w:eastAsia="zh-CN"/>
              </w:rPr>
              <w:t>（</w:t>
            </w:r>
            <w:r>
              <w:rPr>
                <w:rFonts w:hint="default" w:ascii="Times New Roman" w:hAnsi="Times New Roman" w:eastAsia="宋体" w:cs="Times New Roman"/>
                <w:sz w:val="24"/>
                <w:szCs w:val="24"/>
              </w:rPr>
              <w:t>P/0.5</w:t>
            </w:r>
            <w:r>
              <w:rPr>
                <w:rFonts w:hint="default" w:ascii="Times New Roman" w:hAnsi="Times New Roman" w:cs="Times New Roman"/>
                <w:sz w:val="24"/>
                <w:szCs w:val="24"/>
                <w:lang w:eastAsia="zh-CN"/>
              </w:rPr>
              <w:t>）</w:t>
            </w:r>
            <w:r>
              <w:rPr>
                <w:rFonts w:hint="default" w:ascii="Times New Roman" w:hAnsi="Times New Roman" w:eastAsia="宋体" w:cs="Times New Roman"/>
                <w:sz w:val="24"/>
                <w:szCs w:val="24"/>
                <w:vertAlign w:val="superscript"/>
              </w:rPr>
              <w:t>0.75</w:t>
            </w:r>
          </w:p>
          <w:p>
            <w:pPr>
              <w:bidi w:val="0"/>
              <w:rPr>
                <w:rFonts w:hint="default" w:ascii="Times New Roman" w:hAnsi="Times New Roman" w:cs="Times New Roman"/>
              </w:rPr>
            </w:pPr>
            <w:r>
              <w:rPr>
                <w:rFonts w:hint="default" w:ascii="Times New Roman" w:hAnsi="Times New Roman" w:cs="Times New Roman"/>
              </w:rPr>
              <w:t>式中：</w:t>
            </w:r>
          </w:p>
          <w:p>
            <w:pPr>
              <w:bidi w:val="0"/>
              <w:rPr>
                <w:rFonts w:hint="default" w:ascii="Times New Roman" w:hAnsi="Times New Roman" w:cs="Times New Roman"/>
              </w:rPr>
            </w:pPr>
            <w:r>
              <w:rPr>
                <w:rFonts w:hint="default" w:ascii="Times New Roman" w:hAnsi="Times New Roman" w:cs="Times New Roman"/>
              </w:rPr>
              <w:t>Q：汽车行驶时的扬尘，kg/km</w:t>
            </w:r>
            <w:r>
              <w:rPr>
                <w:rFonts w:hint="default" w:ascii="Times New Roman" w:hAnsi="Times New Roman" w:cs="Times New Roman"/>
                <w:lang w:val="en-US" w:eastAsia="zh-CN"/>
              </w:rPr>
              <w:t>·</w:t>
            </w:r>
            <w:r>
              <w:rPr>
                <w:rFonts w:hint="default" w:ascii="Times New Roman" w:hAnsi="Times New Roman" w:cs="Times New Roman"/>
              </w:rPr>
              <w:t>辆；</w:t>
            </w:r>
          </w:p>
          <w:p>
            <w:pPr>
              <w:bidi w:val="0"/>
              <w:rPr>
                <w:rFonts w:hint="default" w:ascii="Times New Roman" w:hAnsi="Times New Roman" w:cs="Times New Roman"/>
              </w:rPr>
            </w:pPr>
            <w:r>
              <w:rPr>
                <w:rFonts w:hint="default" w:ascii="Times New Roman" w:hAnsi="Times New Roman" w:cs="Times New Roman"/>
              </w:rPr>
              <w:t>V：汽车速度，km/h；</w:t>
            </w:r>
          </w:p>
          <w:p>
            <w:pPr>
              <w:bidi w:val="0"/>
              <w:rPr>
                <w:rFonts w:hint="default" w:ascii="Times New Roman" w:hAnsi="Times New Roman" w:cs="Times New Roman"/>
              </w:rPr>
            </w:pPr>
            <w:r>
              <w:rPr>
                <w:rFonts w:hint="default" w:ascii="Times New Roman" w:hAnsi="Times New Roman" w:cs="Times New Roman"/>
              </w:rPr>
              <w:t>W：汽车载重量，吨；</w:t>
            </w:r>
          </w:p>
          <w:p>
            <w:pPr>
              <w:numPr>
                <w:ilvl w:val="0"/>
                <w:numId w:val="0"/>
              </w:numPr>
              <w:adjustRightInd w:val="0"/>
              <w:snapToGrid w:val="0"/>
              <w:spacing w:line="360" w:lineRule="auto"/>
              <w:ind w:firstLine="480" w:firstLineChars="200"/>
              <w:jc w:val="left"/>
              <w:rPr>
                <w:rFonts w:hint="default" w:ascii="Times New Roman" w:hAnsi="Times New Roman" w:cs="Times New Roman"/>
                <w:lang w:eastAsia="zh-CN"/>
              </w:rPr>
            </w:pPr>
            <w:r>
              <w:rPr>
                <w:rFonts w:hint="default" w:ascii="Times New Roman" w:hAnsi="Times New Roman" w:cs="Times New Roman"/>
              </w:rPr>
              <w:t>P：道路表面粉尘量，kg/m</w:t>
            </w:r>
            <w:r>
              <w:rPr>
                <w:rFonts w:hint="default" w:ascii="Times New Roman" w:hAnsi="Times New Roman" w:cs="Times New Roman"/>
                <w:vertAlign w:val="superscript"/>
                <w:lang w:val="en-US" w:eastAsia="zh-CN"/>
              </w:rPr>
              <w:t>2</w:t>
            </w:r>
            <w:r>
              <w:rPr>
                <w:rFonts w:hint="default" w:ascii="Times New Roman" w:hAnsi="Times New Roman" w:cs="Times New Roman"/>
                <w:lang w:eastAsia="zh-CN"/>
              </w:rPr>
              <w:t>。</w:t>
            </w:r>
          </w:p>
          <w:p>
            <w:pPr>
              <w:numPr>
                <w:ilvl w:val="0"/>
                <w:numId w:val="0"/>
              </w:numPr>
              <w:adjustRightInd w:val="0"/>
              <w:snapToGrid w:val="0"/>
              <w:spacing w:line="360" w:lineRule="auto"/>
              <w:ind w:firstLine="480" w:firstLineChars="200"/>
              <w:jc w:val="left"/>
              <w:rPr>
                <w:rFonts w:hint="default" w:ascii="Times New Roman" w:hAnsi="Times New Roman" w:cs="Times New Roman"/>
              </w:rPr>
            </w:pPr>
            <w:r>
              <w:rPr>
                <w:rFonts w:hint="default" w:ascii="Times New Roman" w:hAnsi="Times New Roman" w:cs="Times New Roman"/>
              </w:rPr>
              <w:t>下表为一辆载重5吨的卡车，通过一段长度为500m的路面时，不同路面清洁程度，不同行驶速度情况下产生的扬尘量。由此可见，在同样路面清洁情况下，车速越快，扬尘量越大；而在同样车速情况下，路面清洁度越差，则扬尘量越大。</w:t>
            </w:r>
          </w:p>
          <w:p>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rPr>
            </w:pPr>
            <w:r>
              <w:rPr>
                <w:rFonts w:hint="default" w:ascii="Times New Roman" w:hAnsi="Times New Roman" w:cs="Times New Roman"/>
              </w:rPr>
              <w:t xml:space="preserve">表4-1 车辆行驶扬尘量（Q）  </w:t>
            </w:r>
          </w:p>
          <w:p>
            <w:pPr>
              <w:keepNext w:val="0"/>
              <w:keepLines w:val="0"/>
              <w:pageBreakBefore w:val="0"/>
              <w:widowControl/>
              <w:kinsoku/>
              <w:wordWrap/>
              <w:overflowPunct/>
              <w:topLinePunct w:val="0"/>
              <w:autoSpaceDE/>
              <w:autoSpaceDN/>
              <w:bidi w:val="0"/>
              <w:adjustRightInd/>
              <w:snapToGrid/>
              <w:spacing w:line="360" w:lineRule="auto"/>
              <w:jc w:val="right"/>
              <w:textAlignment w:val="auto"/>
              <w:rPr>
                <w:rFonts w:hint="default" w:ascii="Times New Roman" w:hAnsi="Times New Roman" w:cs="Times New Roman"/>
              </w:rPr>
            </w:pPr>
            <w:r>
              <w:rPr>
                <w:rFonts w:hint="default" w:ascii="Times New Roman" w:hAnsi="Times New Roman" w:cs="Times New Roman"/>
              </w:rPr>
              <w:t>单位</w:t>
            </w:r>
            <w:r>
              <w:rPr>
                <w:rFonts w:hint="default" w:ascii="Times New Roman" w:hAnsi="Times New Roman" w:cs="Times New Roman"/>
                <w:lang w:eastAsia="zh-CN"/>
              </w:rPr>
              <w:t>：</w:t>
            </w:r>
            <w:r>
              <w:rPr>
                <w:rFonts w:hint="default" w:ascii="Times New Roman" w:hAnsi="Times New Roman" w:cs="Times New Roman"/>
              </w:rPr>
              <w:t>kg/km</w:t>
            </w:r>
            <w:r>
              <w:rPr>
                <w:rFonts w:hint="default" w:ascii="Times New Roman" w:hAnsi="Times New Roman" w:cs="Times New Roman"/>
                <w:lang w:val="en-US" w:eastAsia="zh-CN"/>
              </w:rPr>
              <w:t>·</w:t>
            </w:r>
            <w:r>
              <w:rPr>
                <w:rFonts w:hint="default" w:ascii="Times New Roman" w:hAnsi="Times New Roman" w:cs="Times New Roman"/>
              </w:rPr>
              <w:t>辆</w:t>
            </w:r>
          </w:p>
          <w:tbl>
            <w:tblPr>
              <w:tblStyle w:val="2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0"/>
              <w:gridCol w:w="1215"/>
              <w:gridCol w:w="1215"/>
              <w:gridCol w:w="1215"/>
              <w:gridCol w:w="1216"/>
              <w:gridCol w:w="1216"/>
              <w:gridCol w:w="12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atLeast"/>
              </w:trPr>
              <w:tc>
                <w:tcPr>
                  <w:tcW w:w="761" w:type="pct"/>
                  <w:tcBorders>
                    <w:top w:val="single" w:color="auto" w:sz="4" w:space="0"/>
                    <w:left w:val="single" w:color="auto" w:sz="4" w:space="0"/>
                    <w:bottom w:val="single" w:color="auto" w:sz="4" w:space="0"/>
                    <w:right w:val="single" w:color="auto" w:sz="4" w:space="0"/>
                    <w:tl2br w:val="nil"/>
                    <w:tr2bl w:val="nil"/>
                  </w:tcBorders>
                  <w:noWrap w:val="0"/>
                  <w:vAlign w:val="center"/>
                  <mc:AlternateContent>
                    <mc:Choice Requires="wpsCustomData">
                      <wpsCustomData:diagonals>
                        <wpsCustomData:diagonal from="10000" to="30000">
                          <wpsCustomData:border w:val="single" w:color="auto" w:sz="4" w:space="0"/>
                        </wpsCustomData:diagonal>
                      </wpsCustomData:diagonals>
                    </mc:Choice>
                  </mc:AlternateContent>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lang w:val="en-US" w:eastAsia="zh-CN"/>
                    </w:rPr>
                  </w:pPr>
                </w:p>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速度</w:t>
                  </w:r>
                </w:p>
                <w:p>
                  <w:pPr>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mc:AlternateContent>
                      <mc:Choice Requires="wpsCustomData">
                        <wpsCustomData:diagonalParaType/>
                      </mc:Choice>
                    </mc:AlternateContent>
                    <w:rPr>
                      <w:rFonts w:hint="default" w:ascii="Times New Roman" w:hAnsi="Times New Roman" w:cs="Times New Roman"/>
                      <w:sz w:val="21"/>
                      <w:szCs w:val="21"/>
                    </w:rPr>
                  </w:pPr>
                  <w:r>
                    <w:rPr>
                      <w:rFonts w:hint="default" w:ascii="Times New Roman" w:hAnsi="Times New Roman" w:cs="Times New Roman"/>
                      <w:sz w:val="21"/>
                      <w:szCs w:val="21"/>
                    </w:rPr>
                    <w:t>车速</w:t>
                  </w:r>
                </w:p>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路况</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0.1kg/m</w:t>
                  </w:r>
                  <w:r>
                    <w:rPr>
                      <w:rFonts w:hint="default" w:ascii="Times New Roman" w:hAnsi="Times New Roman" w:cs="Times New Roman"/>
                      <w:sz w:val="21"/>
                      <w:szCs w:val="21"/>
                      <w:vertAlign w:val="superscript"/>
                    </w:rPr>
                    <w:t>2</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0.2kg/m</w:t>
                  </w:r>
                  <w:r>
                    <w:rPr>
                      <w:rFonts w:hint="default" w:ascii="Times New Roman" w:hAnsi="Times New Roman" w:cs="Times New Roman"/>
                      <w:sz w:val="21"/>
                      <w:szCs w:val="21"/>
                      <w:vertAlign w:val="superscript"/>
                    </w:rPr>
                    <w:t>2</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0.3kg/m</w:t>
                  </w:r>
                  <w:r>
                    <w:rPr>
                      <w:rFonts w:hint="default" w:ascii="Times New Roman" w:hAnsi="Times New Roman" w:cs="Times New Roman"/>
                      <w:sz w:val="21"/>
                      <w:szCs w:val="21"/>
                      <w:vertAlign w:val="superscript"/>
                    </w:rPr>
                    <w:t>2</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0.4kg/m</w:t>
                  </w:r>
                  <w:r>
                    <w:rPr>
                      <w:rFonts w:hint="default" w:ascii="Times New Roman" w:hAnsi="Times New Roman" w:cs="Times New Roman"/>
                      <w:sz w:val="21"/>
                      <w:szCs w:val="21"/>
                      <w:vertAlign w:val="superscript"/>
                    </w:rPr>
                    <w:t>2</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0.5kg/m</w:t>
                  </w:r>
                  <w:r>
                    <w:rPr>
                      <w:rFonts w:hint="default" w:ascii="Times New Roman" w:hAnsi="Times New Roman" w:cs="Times New Roman"/>
                      <w:sz w:val="21"/>
                      <w:szCs w:val="21"/>
                      <w:vertAlign w:val="superscript"/>
                    </w:rPr>
                    <w:t>2</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0.6kg/m</w:t>
                  </w:r>
                  <w:r>
                    <w:rPr>
                      <w:rFonts w:hint="default" w:ascii="Times New Roman" w:hAnsi="Times New Roman" w:cs="Times New Roman"/>
                      <w:sz w:val="21"/>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5km/h</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0.0283</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0.0476</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0.0646</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0.0801</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0.0947</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0.1593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10km/h</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0.0566</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0.0953</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0.1291</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0.1602</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0.1894</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0.3186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15km/h</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0.0850</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0.1429</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0.1937</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0.2403</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0.2841</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0.4778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1"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20km/h</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0.1133</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0.1905</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0.2583</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0.3204</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0.3704</w:t>
                  </w:r>
                </w:p>
              </w:tc>
              <w:tc>
                <w:tcPr>
                  <w:tcW w:w="706"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0.6371</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line="360" w:lineRule="auto"/>
              <w:ind w:firstLine="480" w:firstLineChars="200"/>
              <w:jc w:val="left"/>
              <w:textAlignment w:val="auto"/>
              <w:rPr>
                <w:rFonts w:hint="default" w:ascii="Times New Roman" w:hAnsi="Times New Roman" w:cs="Times New Roman"/>
              </w:rPr>
            </w:pPr>
            <w:r>
              <w:rPr>
                <w:rFonts w:hint="default" w:ascii="Times New Roman" w:hAnsi="Times New Roman" w:cs="Times New Roman"/>
              </w:rPr>
              <w:t xml:space="preserve">由表4-1可知，在同样路面清洁情况下，车速越快，扬尘量越大；而在同样车速情况下，路面清洁度越差，则扬尘量越大。 </w:t>
            </w:r>
          </w:p>
          <w:p>
            <w:pPr>
              <w:numPr>
                <w:ilvl w:val="0"/>
                <w:numId w:val="0"/>
              </w:numPr>
              <w:adjustRightInd w:val="0"/>
              <w:snapToGrid w:val="0"/>
              <w:spacing w:line="360" w:lineRule="auto"/>
              <w:ind w:firstLine="480" w:firstLineChars="200"/>
              <w:jc w:val="left"/>
              <w:rPr>
                <w:rFonts w:hint="default" w:ascii="Times New Roman" w:hAnsi="Times New Roman" w:cs="Times New Roman"/>
              </w:rPr>
            </w:pPr>
            <w:r>
              <w:rPr>
                <w:rFonts w:hint="default" w:ascii="Times New Roman" w:hAnsi="Times New Roman" w:cs="Times New Roman"/>
              </w:rPr>
              <w:t>又根据有关单位在道路施工现场实际测定的结果，施工区域沿线车辆所造成的扬尘浓度在施工工地下风向150</w:t>
            </w:r>
            <w:r>
              <w:rPr>
                <w:rFonts w:hint="default" w:ascii="Times New Roman" w:hAnsi="Times New Roman" w:cs="Times New Roman"/>
                <w:lang w:val="en-US" w:eastAsia="zh-CN"/>
              </w:rPr>
              <w:t>m</w:t>
            </w:r>
            <w:r>
              <w:rPr>
                <w:rFonts w:hint="default" w:ascii="Times New Roman" w:hAnsi="Times New Roman" w:cs="Times New Roman"/>
              </w:rPr>
              <w:t>处可达5.04mg/m</w:t>
            </w:r>
            <w:r>
              <w:rPr>
                <w:rFonts w:hint="default" w:ascii="Times New Roman" w:hAnsi="Times New Roman" w:cs="Times New Roman"/>
                <w:vertAlign w:val="superscript"/>
              </w:rPr>
              <w:t>3</w:t>
            </w:r>
            <w:r>
              <w:rPr>
                <w:rFonts w:hint="default" w:ascii="Times New Roman" w:hAnsi="Times New Roman" w:cs="Times New Roman"/>
              </w:rPr>
              <w:t>，表明在没有采取任何污染防治措施的情况下，运输车辆所造成的工地扬尘还是比较严重的，沿线的影响区域也比较广。扬尘属于粒径较小的降尘（10～20µm），在未铺装道路表面（泥土）粉尘粒径分布小于5µm的占8%，5～10µm的占24%，大于30µm的占68%，因此，运输道路和正在施工的道路极易起尘。根据经验显示，施工场地、施工道路的扬尘可用洒水和清扫的方式予以防治，若在施工期间对车辆行驶的路面和部分易起尘的部位实施洒水抑尘（每天洒水4-5次），可使扬尘减少50～70%左右，洒水抑尘的实验结果见表4-2。</w:t>
            </w:r>
          </w:p>
          <w:p>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rPr>
            </w:pPr>
            <w:r>
              <w:rPr>
                <w:rFonts w:hint="default" w:ascii="Times New Roman" w:hAnsi="Times New Roman" w:cs="Times New Roman"/>
              </w:rPr>
              <w:t>表4-2 洒水路面扬尘监测结果 单位：mg/m3</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8"/>
              <w:gridCol w:w="1231"/>
              <w:gridCol w:w="1229"/>
              <w:gridCol w:w="1229"/>
              <w:gridCol w:w="1229"/>
              <w:gridCol w:w="1229"/>
              <w:gridCol w:w="12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8" w:type="pct"/>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距路面距离（m）</w:t>
                  </w:r>
                </w:p>
              </w:tc>
              <w:tc>
                <w:tcPr>
                  <w:tcW w:w="7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7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20</w:t>
                  </w:r>
                </w:p>
              </w:tc>
              <w:tc>
                <w:tcPr>
                  <w:tcW w:w="7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50</w:t>
                  </w:r>
                </w:p>
              </w:tc>
              <w:tc>
                <w:tcPr>
                  <w:tcW w:w="7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100</w:t>
                  </w:r>
                </w:p>
              </w:tc>
              <w:tc>
                <w:tcPr>
                  <w:tcW w:w="7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3"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TSP浓度</w:t>
                  </w:r>
                </w:p>
              </w:tc>
              <w:tc>
                <w:tcPr>
                  <w:tcW w:w="7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不洒水</w:t>
                  </w:r>
                </w:p>
              </w:tc>
              <w:tc>
                <w:tcPr>
                  <w:tcW w:w="7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11.03</w:t>
                  </w:r>
                </w:p>
              </w:tc>
              <w:tc>
                <w:tcPr>
                  <w:tcW w:w="7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2.89</w:t>
                  </w:r>
                </w:p>
              </w:tc>
              <w:tc>
                <w:tcPr>
                  <w:tcW w:w="7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1.15</w:t>
                  </w:r>
                </w:p>
              </w:tc>
              <w:tc>
                <w:tcPr>
                  <w:tcW w:w="7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0.86</w:t>
                  </w:r>
                </w:p>
              </w:tc>
              <w:tc>
                <w:tcPr>
                  <w:tcW w:w="7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3"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p>
              </w:tc>
              <w:tc>
                <w:tcPr>
                  <w:tcW w:w="7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洒水</w:t>
                  </w:r>
                </w:p>
              </w:tc>
              <w:tc>
                <w:tcPr>
                  <w:tcW w:w="7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2.11</w:t>
                  </w:r>
                </w:p>
              </w:tc>
              <w:tc>
                <w:tcPr>
                  <w:tcW w:w="7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1.40</w:t>
                  </w:r>
                </w:p>
              </w:tc>
              <w:tc>
                <w:tcPr>
                  <w:tcW w:w="7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0.68</w:t>
                  </w:r>
                </w:p>
              </w:tc>
              <w:tc>
                <w:tcPr>
                  <w:tcW w:w="7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0.60</w:t>
                  </w:r>
                </w:p>
              </w:tc>
              <w:tc>
                <w:tcPr>
                  <w:tcW w:w="7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8" w:type="pct"/>
                  <w:gridSpan w:val="2"/>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降尘效率</w:t>
                  </w:r>
                </w:p>
              </w:tc>
              <w:tc>
                <w:tcPr>
                  <w:tcW w:w="7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80.2%</w:t>
                  </w:r>
                </w:p>
              </w:tc>
              <w:tc>
                <w:tcPr>
                  <w:tcW w:w="7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51.6%</w:t>
                  </w:r>
                </w:p>
              </w:tc>
              <w:tc>
                <w:tcPr>
                  <w:tcW w:w="7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41.7%</w:t>
                  </w:r>
                </w:p>
              </w:tc>
              <w:tc>
                <w:tcPr>
                  <w:tcW w:w="7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30.2%</w:t>
                  </w:r>
                </w:p>
              </w:tc>
              <w:tc>
                <w:tcPr>
                  <w:tcW w:w="714"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48.2%</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line="360" w:lineRule="auto"/>
              <w:ind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rPr>
              <w:t>由表4-2可知，有效的洒水抑尘可以使施工扬尘在40m的距离内达到颗粒物无组织排放监控浓度限值要求（1.0mg/m</w:t>
            </w:r>
            <w:r>
              <w:rPr>
                <w:rFonts w:hint="default" w:ascii="Times New Roman" w:hAnsi="Times New Roman" w:cs="Times New Roman"/>
                <w:vertAlign w:val="superscript"/>
              </w:rPr>
              <w:t>3</w:t>
            </w:r>
            <w:r>
              <w:rPr>
                <w:rFonts w:hint="default" w:ascii="Times New Roman" w:hAnsi="Times New Roman" w:cs="Times New Roman"/>
              </w:rPr>
              <w:t>），在此范围内洒水降尘效率达到40～80%，有效降低了施工现场的扬尘污染程度。因此，为减少起尘量，有效地降低其对附近居民正常生活的不利影</w:t>
            </w:r>
            <w:r>
              <w:rPr>
                <w:rFonts w:hint="default" w:ascii="Times New Roman" w:hAnsi="Times New Roman" w:cs="Times New Roman"/>
                <w:lang w:val="en-US" w:eastAsia="zh-CN"/>
              </w:rPr>
              <w:t>响，建议在施工地采取经常洒水降尘及适当降低车速等措施，且设置连续、密闭的围挡。</w:t>
            </w:r>
          </w:p>
          <w:p>
            <w:pPr>
              <w:numPr>
                <w:ilvl w:val="0"/>
                <w:numId w:val="0"/>
              </w:numPr>
              <w:adjustRightInd w:val="0"/>
              <w:snapToGrid w:val="0"/>
              <w:spacing w:line="360" w:lineRule="auto"/>
              <w:ind w:firstLine="480" w:firstLineChars="200"/>
              <w:jc w:val="left"/>
              <w:rPr>
                <w:rFonts w:hint="default" w:ascii="Times New Roman" w:hAnsi="Times New Roman" w:cs="Times New Roman"/>
                <w:lang w:val="en-US" w:eastAsia="zh-CN"/>
              </w:rPr>
            </w:pPr>
            <w:r>
              <w:rPr>
                <w:rFonts w:hint="default" w:ascii="Times New Roman" w:hAnsi="Times New Roman" w:cs="Times New Roman"/>
                <w:lang w:val="en-US" w:eastAsia="zh-CN"/>
              </w:rPr>
              <w:t>②风力扬尘</w:t>
            </w:r>
          </w:p>
          <w:p>
            <w:pPr>
              <w:numPr>
                <w:ilvl w:val="0"/>
                <w:numId w:val="0"/>
              </w:numPr>
              <w:adjustRightInd w:val="0"/>
              <w:snapToGrid w:val="0"/>
              <w:spacing w:line="360" w:lineRule="auto"/>
              <w:ind w:firstLine="480" w:firstLineChars="200"/>
              <w:jc w:val="left"/>
              <w:rPr>
                <w:rFonts w:hint="default" w:ascii="Times New Roman" w:hAnsi="Times New Roman" w:cs="Times New Roman"/>
                <w:lang w:val="en-US" w:eastAsia="zh-CN"/>
              </w:rPr>
            </w:pPr>
            <w:r>
              <w:rPr>
                <w:rFonts w:hint="default" w:ascii="Times New Roman" w:hAnsi="Times New Roman" w:cs="Times New Roman"/>
                <w:lang w:val="en-US" w:eastAsia="zh-CN"/>
              </w:rPr>
              <w:t>施工扬尘的另一种情况是露天堆场和裸露场地的风力扬尘，由于施工需要，一些建材需露天堆放，在气候干燥又有风的情况下，会产生扬尘，其扬尘量可按堆场起尘的经验公式计算：</w:t>
            </w:r>
          </w:p>
          <w:p>
            <w:pPr>
              <w:numPr>
                <w:ilvl w:val="0"/>
                <w:numId w:val="0"/>
              </w:numPr>
              <w:adjustRightInd w:val="0"/>
              <w:snapToGrid w:val="0"/>
              <w:spacing w:line="360" w:lineRule="auto"/>
              <w:ind w:firstLine="480" w:firstLineChars="200"/>
              <w:jc w:val="center"/>
              <w:rPr>
                <w:rFonts w:hint="default" w:ascii="Times New Roman" w:hAnsi="Times New Roman" w:cs="Times New Roman"/>
                <w:lang w:val="en-US" w:eastAsia="zh-CN"/>
              </w:rPr>
            </w:pPr>
            <w:r>
              <w:rPr>
                <w:rFonts w:hint="default" w:ascii="Times New Roman" w:hAnsi="Times New Roman" w:cs="Times New Roman"/>
                <w:lang w:val="en-US" w:eastAsia="zh-CN"/>
              </w:rPr>
              <w:object>
                <v:shape id="_x0000_i1028" o:spt="75" type="#_x0000_t75" style="height:20.45pt;width:127.4pt;" o:ole="t" filled="f" o:preferrelative="t" stroked="f" coordsize="21600,21600">
                  <v:path/>
                  <v:fill on="f" focussize="0,0"/>
                  <v:stroke on="f"/>
                  <v:imagedata r:id="rId23" o:title=""/>
                  <o:lock v:ext="edit" aspectratio="t"/>
                  <w10:wrap type="none"/>
                  <w10:anchorlock/>
                </v:shape>
                <o:OLEObject Type="Embed" ProgID="Equation.KSEE3" ShapeID="_x0000_i1028" DrawAspect="Content" ObjectID="_1468075728" r:id="rId22">
                  <o:LockedField>false</o:LockedField>
                </o:OLEObject>
              </w:object>
            </w:r>
          </w:p>
          <w:p>
            <w:pPr>
              <w:numPr>
                <w:ilvl w:val="0"/>
                <w:numId w:val="0"/>
              </w:numPr>
              <w:adjustRightInd w:val="0"/>
              <w:snapToGrid w:val="0"/>
              <w:spacing w:line="360" w:lineRule="auto"/>
              <w:ind w:firstLine="480" w:firstLineChars="200"/>
              <w:jc w:val="left"/>
              <w:rPr>
                <w:rFonts w:hint="default" w:ascii="Times New Roman" w:hAnsi="Times New Roman" w:cs="Times New Roman"/>
                <w:lang w:val="en-US" w:eastAsia="zh-CN"/>
              </w:rPr>
            </w:pPr>
            <w:r>
              <w:rPr>
                <w:rFonts w:hint="default" w:ascii="Times New Roman" w:hAnsi="Times New Roman" w:cs="Times New Roman"/>
                <w:lang w:val="en-US" w:eastAsia="zh-CN"/>
              </w:rPr>
              <w:t>式中：Q—起尘量，kg/t·a；</w:t>
            </w:r>
          </w:p>
          <w:p>
            <w:pPr>
              <w:numPr>
                <w:ilvl w:val="0"/>
                <w:numId w:val="0"/>
              </w:numPr>
              <w:adjustRightInd w:val="0"/>
              <w:snapToGrid w:val="0"/>
              <w:spacing w:line="360" w:lineRule="auto"/>
              <w:ind w:firstLine="480" w:firstLineChars="200"/>
              <w:jc w:val="left"/>
              <w:rPr>
                <w:rFonts w:hint="default" w:ascii="Times New Roman" w:hAnsi="Times New Roman" w:cs="Times New Roman"/>
                <w:lang w:val="en-US" w:eastAsia="zh-CN"/>
              </w:rPr>
            </w:pPr>
            <w:r>
              <w:rPr>
                <w:rFonts w:hint="default" w:ascii="Times New Roman" w:hAnsi="Times New Roman" w:cs="Times New Roman"/>
                <w:lang w:val="en-US" w:eastAsia="zh-CN"/>
              </w:rPr>
              <w:t>V50—距地面50米处风速，m/s；</w:t>
            </w:r>
          </w:p>
          <w:p>
            <w:pPr>
              <w:numPr>
                <w:ilvl w:val="0"/>
                <w:numId w:val="0"/>
              </w:numPr>
              <w:adjustRightInd w:val="0"/>
              <w:snapToGrid w:val="0"/>
              <w:spacing w:line="360" w:lineRule="auto"/>
              <w:ind w:firstLine="480" w:firstLineChars="200"/>
              <w:jc w:val="left"/>
              <w:rPr>
                <w:rFonts w:hint="default" w:ascii="Times New Roman" w:hAnsi="Times New Roman" w:cs="Times New Roman"/>
                <w:lang w:val="en-US" w:eastAsia="zh-CN"/>
              </w:rPr>
            </w:pPr>
            <w:r>
              <w:rPr>
                <w:rFonts w:hint="default" w:ascii="Times New Roman" w:hAnsi="Times New Roman" w:cs="Times New Roman"/>
                <w:lang w:val="en-US" w:eastAsia="zh-CN"/>
              </w:rPr>
              <w:t>V0—起尘风速，m/s；</w:t>
            </w:r>
          </w:p>
          <w:p>
            <w:pPr>
              <w:numPr>
                <w:ilvl w:val="0"/>
                <w:numId w:val="0"/>
              </w:numPr>
              <w:adjustRightInd w:val="0"/>
              <w:snapToGrid w:val="0"/>
              <w:spacing w:line="360" w:lineRule="auto"/>
              <w:ind w:firstLine="480" w:firstLineChars="200"/>
              <w:jc w:val="left"/>
              <w:rPr>
                <w:rFonts w:hint="default" w:ascii="Times New Roman" w:hAnsi="Times New Roman" w:cs="Times New Roman"/>
                <w:lang w:val="en-US" w:eastAsia="zh-CN"/>
              </w:rPr>
            </w:pPr>
            <w:r>
              <w:rPr>
                <w:rFonts w:hint="default" w:ascii="Times New Roman" w:hAnsi="Times New Roman" w:cs="Times New Roman"/>
                <w:lang w:val="en-US" w:eastAsia="zh-CN"/>
              </w:rPr>
              <w:t>W—尘粒含水率，%。</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起尘风速与粒径、含水率有关，因此，减少露天堆放和保证一定的含水率，以及减少裸露地面是减少风力起尘的有效手段。粉尘在空气中的扩散稀释与风速等气象条件有关，也与粉尘的沉降速度有关。不同粉尘的沉降速度见下表。</w:t>
            </w:r>
          </w:p>
          <w:p>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rPr>
            </w:pPr>
            <w:r>
              <w:rPr>
                <w:rFonts w:hint="default" w:ascii="Times New Roman" w:hAnsi="Times New Roman" w:cs="Times New Roman"/>
              </w:rPr>
              <w:t>表4-3 不同粉尘的沉降速度</w:t>
            </w:r>
          </w:p>
          <w:tbl>
            <w:tblPr>
              <w:tblStyle w:val="2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01"/>
              <w:gridCol w:w="900"/>
              <w:gridCol w:w="900"/>
              <w:gridCol w:w="900"/>
              <w:gridCol w:w="900"/>
              <w:gridCol w:w="900"/>
              <w:gridCol w:w="901"/>
              <w:gridCol w:w="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7"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粉尘粒径（µm）</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10</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20</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30</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40</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50</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60</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7"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lang w:eastAsia="zh-CN"/>
                    </w:rPr>
                  </w:pPr>
                  <w:r>
                    <w:rPr>
                      <w:rFonts w:hint="default" w:ascii="Times New Roman" w:hAnsi="Times New Roman" w:cs="Times New Roman"/>
                      <w:sz w:val="21"/>
                      <w:szCs w:val="21"/>
                    </w:rPr>
                    <w:t>沉降速度</w:t>
                  </w: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m/s</w:t>
                  </w:r>
                  <w:r>
                    <w:rPr>
                      <w:rFonts w:hint="default" w:ascii="Times New Roman" w:hAnsi="Times New Roman" w:cs="Times New Roman"/>
                      <w:sz w:val="21"/>
                      <w:szCs w:val="21"/>
                      <w:lang w:eastAsia="zh-CN"/>
                    </w:rPr>
                    <w:t>）</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0.003</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0.012</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0.027</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0.048</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0.075</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0.108</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7"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粉尘粒径（µm）</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80</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90</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100</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150</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200</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250</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7"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沉降速度</w:t>
                  </w: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m/s</w:t>
                  </w:r>
                  <w:r>
                    <w:rPr>
                      <w:rFonts w:hint="default" w:ascii="Times New Roman" w:hAnsi="Times New Roman" w:cs="Times New Roman"/>
                      <w:sz w:val="21"/>
                      <w:szCs w:val="21"/>
                      <w:lang w:eastAsia="zh-CN"/>
                    </w:rPr>
                    <w:t>）</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0.158</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0.170</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0.182</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0.239</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0.804</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1.005</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1.829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7"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粉尘粒径（µm）</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450</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550</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650</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750</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850</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950</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7"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沉降速度</w:t>
                  </w: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m/s</w:t>
                  </w:r>
                  <w:r>
                    <w:rPr>
                      <w:rFonts w:hint="default" w:ascii="Times New Roman" w:hAnsi="Times New Roman" w:cs="Times New Roman"/>
                      <w:sz w:val="21"/>
                      <w:szCs w:val="21"/>
                      <w:lang w:eastAsia="zh-CN"/>
                    </w:rPr>
                    <w:t>）</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2.211</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2.614</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3.016</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3.418</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3.820</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4.222</w:t>
                  </w:r>
                </w:p>
              </w:tc>
              <w:tc>
                <w:tcPr>
                  <w:tcW w:w="523" w:type="pct"/>
                  <w:tcBorders>
                    <w:top w:val="single" w:color="auto" w:sz="4" w:space="0"/>
                    <w:left w:val="single" w:color="auto" w:sz="4" w:space="0"/>
                    <w:bottom w:val="single" w:color="auto" w:sz="4" w:space="0"/>
                    <w:right w:val="single" w:color="auto" w:sz="4" w:space="0"/>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4.624</w:t>
                  </w:r>
                </w:p>
              </w:tc>
            </w:tr>
          </w:tbl>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由上表可知，粉尘沉降速度随着粒径的增大而迅速增大。当粒径为250µm时沉降速度为1.005m/s，因此，可以认为当尘粒大于250µm时，主要影响范围在扬尘点下风向近距离范围内，而真正对外环境产生影响的是一些微小粒径的颗粒。</w:t>
            </w:r>
          </w:p>
          <w:p>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根据现场调查，项目所在地200m范围内项目地东侧、南侧和北侧均分布有居民点，且距离较近。施工期间，若不采取措施，扬尘势必对周边居民点产生影响。因此，本工程施工期应注意施工扬尘的防治问题，做好扬尘防护管理工作，在施工期应对运输道路及时清扫和洒水，并加强施工管理，采用封闭车辆运输，采取经常洒水降尘及适当降低车速等措施，且施工场地四周设置密闭的围挡。以最大程度减少扬尘对周围环境空气的影响。由于本项目土建施工期较短，在采取措施的情况下，影响是暂时的，环境影响随着施工结束而结束，环境影响可接受。</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（2）施工机械和运输车辆排放尾气影响分析</w:t>
            </w:r>
          </w:p>
          <w:p>
            <w:pPr>
              <w:bidi w:val="0"/>
              <w:rPr>
                <w:rFonts w:hint="default" w:ascii="Times New Roman" w:hAnsi="Times New Roman" w:cs="Times New Roman"/>
                <w:lang w:val="en-US" w:eastAsia="zh-CN"/>
              </w:rPr>
            </w:pPr>
            <w:r>
              <w:rPr>
                <w:rFonts w:hint="default" w:ascii="Times New Roman" w:hAnsi="Times New Roman" w:cs="Times New Roman"/>
              </w:rPr>
              <w:t>根据调查，施工机械和运输车辆一般燃用柴油，会产生燃油尾气，主要污染物为CO、NO</w:t>
            </w:r>
            <w:r>
              <w:rPr>
                <w:rFonts w:hint="default" w:ascii="Times New Roman" w:hAnsi="Times New Roman" w:cs="Times New Roman"/>
                <w:vertAlign w:val="subscript"/>
              </w:rPr>
              <w:t>x</w:t>
            </w:r>
            <w:r>
              <w:rPr>
                <w:rFonts w:hint="default" w:ascii="Times New Roman" w:hAnsi="Times New Roman" w:cs="Times New Roman"/>
              </w:rPr>
              <w:t>和PM</w:t>
            </w:r>
            <w:r>
              <w:rPr>
                <w:rFonts w:hint="default" w:ascii="Times New Roman" w:hAnsi="Times New Roman" w:cs="Times New Roman"/>
                <w:vertAlign w:val="subscript"/>
              </w:rPr>
              <w:t>10</w:t>
            </w:r>
            <w:r>
              <w:rPr>
                <w:rFonts w:hint="default" w:ascii="Times New Roman" w:hAnsi="Times New Roman" w:cs="Times New Roman"/>
              </w:rPr>
              <w:t>等，由于目前施工机械基本采用电能，仅有少数设备燃料为柴油，施工场地较空旷，施工机械数量较少且较为分散，其污染程度相对较轻。运输车辆和燃油机械尾气排放量很小</w:t>
            </w:r>
            <w:r>
              <w:rPr>
                <w:rFonts w:hint="default" w:ascii="Times New Roman" w:hAnsi="Times New Roman" w:cs="Times New Roman"/>
                <w:lang w:val="en-US" w:eastAsia="zh-CN"/>
              </w:rPr>
              <w:t>，影响范围仅限于施工设备周边及运输道路等，不会对区域环境空气造成明显影响。</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（3）装修废气影响分析</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施工期建筑装饰过程中涂料有机溶剂挥发对环境空气造成影响，主要污染物为有机废气，但项目</w:t>
            </w:r>
            <w:r>
              <w:rPr>
                <w:rFonts w:hint="default" w:ascii="Times New Roman" w:hAnsi="Times New Roman" w:cs="Times New Roman"/>
              </w:rPr>
              <w:t>施工场地较空旷，空气扩散条件良好，</w:t>
            </w:r>
            <w:r>
              <w:rPr>
                <w:rFonts w:hint="default" w:ascii="Times New Roman" w:hAnsi="Times New Roman" w:cs="Times New Roman"/>
                <w:lang w:val="en-US" w:eastAsia="zh-CN"/>
              </w:rPr>
              <w:t>有机废气</w:t>
            </w:r>
            <w:r>
              <w:rPr>
                <w:rFonts w:hint="default" w:ascii="Times New Roman" w:hAnsi="Times New Roman" w:cs="Times New Roman"/>
              </w:rPr>
              <w:t>排放对周围环境空气的不利影响不大。</w:t>
            </w:r>
          </w:p>
          <w:p>
            <w:pPr>
              <w:numPr>
                <w:ilvl w:val="0"/>
                <w:numId w:val="0"/>
              </w:numPr>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4.1.2 施工期大气环境保护措施</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（1）施工扬尘保护措施</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结合《岳阳市扬尘污染防治条例》，建设单位需采取以下措施：</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①施工工地周围应当分别设置高度不低于1.8m的硬质封闭围挡或者围墙；</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②对不能开工的建设用地的裸露泥地采取覆盖、绿化、铺装或者遮盖等扬尘污染防治措施；</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③对施工工地出入口、主要道路、加工区和物料堆放场地进行硬化并辅以喷淋洒水等措施，对其他场地进行覆盖或者临时绿化；</w:t>
            </w:r>
          </w:p>
          <w:p>
            <w:pPr>
              <w:pStyle w:val="2"/>
              <w:rPr>
                <w:rFonts w:hint="default" w:ascii="Times New Roman" w:hAnsi="Times New Roman" w:cs="Times New Roman"/>
                <w:lang w:val="en-US" w:eastAsia="zh-CN"/>
              </w:rPr>
            </w:pPr>
            <w:r>
              <w:rPr>
                <w:rFonts w:hint="default" w:ascii="Times New Roman" w:hAnsi="Times New Roman" w:cs="Times New Roman"/>
                <w:lang w:val="en-US" w:eastAsia="zh-CN"/>
              </w:rPr>
              <w:t>④对易产生扬尘污染的建筑材料密闭存放或者集中、分类堆放，采取覆盖、喷淋洒水等有效防尘措施，并使用专业车辆运输；</w:t>
            </w:r>
          </w:p>
          <w:p>
            <w:pPr>
              <w:pStyle w:val="2"/>
              <w:rPr>
                <w:rFonts w:hint="default" w:ascii="Times New Roman" w:hAnsi="Times New Roman" w:cs="Times New Roman"/>
                <w:lang w:val="en-US" w:eastAsia="zh-CN"/>
              </w:rPr>
            </w:pPr>
            <w:r>
              <w:rPr>
                <w:rFonts w:hint="default" w:ascii="Times New Roman" w:hAnsi="Times New Roman" w:cs="Times New Roman"/>
                <w:lang w:val="en-US" w:eastAsia="zh-CN"/>
              </w:rPr>
              <w:t>⑤按照市人民政府的规定使用预拌混凝土、预拌砂浆；</w:t>
            </w:r>
          </w:p>
          <w:p>
            <w:pPr>
              <w:pStyle w:val="2"/>
              <w:rPr>
                <w:rFonts w:hint="default" w:ascii="Times New Roman" w:hAnsi="Times New Roman" w:cs="Times New Roman"/>
                <w:lang w:val="en-US" w:eastAsia="zh-CN"/>
              </w:rPr>
            </w:pPr>
            <w:r>
              <w:rPr>
                <w:rFonts w:hint="default" w:ascii="Times New Roman" w:hAnsi="Times New Roman" w:cs="Times New Roman"/>
                <w:lang w:val="en-US" w:eastAsia="zh-CN"/>
              </w:rPr>
              <w:t>⑥采取分段作业、择时施工、洒水防尘等措施，降低扬尘污染；</w:t>
            </w:r>
          </w:p>
          <w:p>
            <w:pPr>
              <w:pStyle w:val="2"/>
              <w:rPr>
                <w:rFonts w:hint="default" w:ascii="Times New Roman" w:hAnsi="Times New Roman" w:cs="Times New Roman"/>
                <w:lang w:val="en-US" w:eastAsia="zh-CN"/>
              </w:rPr>
            </w:pPr>
            <w:r>
              <w:rPr>
                <w:rFonts w:hint="default" w:ascii="Times New Roman" w:hAnsi="Times New Roman" w:cs="Times New Roman"/>
                <w:lang w:val="en-US" w:eastAsia="zh-CN"/>
              </w:rPr>
              <w:t>⑦土石方作业阶段应当采取覆盖、喷淋洒水等防尘措施，达到作业区扬尘不扩散到界外；</w:t>
            </w:r>
          </w:p>
          <w:p>
            <w:pPr>
              <w:pStyle w:val="2"/>
              <w:rPr>
                <w:rFonts w:hint="default" w:ascii="Times New Roman" w:hAnsi="Times New Roman" w:cs="Times New Roman"/>
                <w:lang w:val="en-US" w:eastAsia="zh-CN"/>
              </w:rPr>
            </w:pPr>
            <w:r>
              <w:rPr>
                <w:rFonts w:hint="default" w:ascii="Times New Roman" w:hAnsi="Times New Roman" w:cs="Times New Roman"/>
                <w:lang w:val="en-US" w:eastAsia="zh-CN"/>
              </w:rPr>
              <w:t>⑧建筑施工脚手架外侧应当设置符合标准的密目防尘网或者防尘布，拆除时应当采取喷淋洒水等防尘措施；</w:t>
            </w:r>
          </w:p>
          <w:p>
            <w:pPr>
              <w:pStyle w:val="2"/>
              <w:rPr>
                <w:rFonts w:hint="default" w:ascii="Times New Roman" w:hAnsi="Times New Roman" w:cs="Times New Roman"/>
                <w:lang w:val="en-US" w:eastAsia="zh-CN"/>
              </w:rPr>
            </w:pPr>
            <w:r>
              <w:rPr>
                <w:rFonts w:hint="default" w:ascii="Times New Roman" w:hAnsi="Times New Roman" w:cs="Times New Roman"/>
                <w:lang w:val="en-US" w:eastAsia="zh-CN"/>
              </w:rPr>
              <w:t>⑨对楼层、高处平台等进行建筑垃圾清理时，应当采取喷淋洒水等防尘措施；楼层内清扫出的建筑垃圾，应当密封清运，禁止高空抛掷、扬撒。</w:t>
            </w:r>
          </w:p>
          <w:p>
            <w:pPr>
              <w:pStyle w:val="2"/>
              <w:rPr>
                <w:rFonts w:hint="default" w:ascii="Times New Roman" w:hAnsi="Times New Roman" w:cs="Times New Roman"/>
                <w:lang w:val="en-US" w:eastAsia="zh-CN"/>
              </w:rPr>
            </w:pPr>
            <w:r>
              <w:rPr>
                <w:rFonts w:hint="default" w:ascii="Times New Roman" w:hAnsi="Times New Roman" w:cs="Times New Roman"/>
                <w:lang w:val="en-US" w:eastAsia="zh-CN"/>
              </w:rPr>
              <w:t>⑩施工现场出入口应当公示扬尘污染防治措施、负责人，扬尘监督管理部门以及举报电话等信息；</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经以上措施处理后项目施工扬尘对周围大气环境及居民点等敏感点影响较小。</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（2）汽车尾气及燃油机械废气控制措施</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施工单位应采用尾气排放符合国家规定标准的车辆和施工机械，确保其在运行时尾气达标排放，减少对环境空气的污染。禁止尾气排放不达标的车辆和施工机械运行作业。</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（3）装修废气控制措施</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为减轻施工期建筑装饰过程中涂料有机溶剂挥发对环境空气造成影响，在施工过程中应加强对建筑物进行通风处理，建议装修时使用环保型装饰材料，油漆、涂料等，装修材料的选取应按照国家质检总局颁布的《室内装修材料10项有害物质限量》规定进行，严格控制室内甲醛、苯系物等挥发性有机物，使各项污染指标达到《室内空气质量标准》（GB/T18883-2002）的限值要求。</w:t>
            </w:r>
          </w:p>
          <w:p>
            <w:pPr>
              <w:numPr>
                <w:ilvl w:val="0"/>
                <w:numId w:val="0"/>
              </w:numPr>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4.2 施工期地表水环境影响分析和保护措施</w:t>
            </w:r>
          </w:p>
          <w:p>
            <w:pPr>
              <w:numPr>
                <w:ilvl w:val="0"/>
                <w:numId w:val="0"/>
              </w:numPr>
              <w:adjustRightInd w:val="0"/>
              <w:snapToGrid w:val="0"/>
              <w:spacing w:line="360" w:lineRule="auto"/>
              <w:ind w:firstLine="480" w:firstLineChars="200"/>
              <w:jc w:val="left"/>
              <w:rPr>
                <w:rFonts w:hint="default" w:ascii="Times New Roman" w:hAnsi="Times New Roman" w:cs="Times New Roman"/>
              </w:rPr>
            </w:pPr>
            <w:r>
              <w:rPr>
                <w:rFonts w:hint="default" w:ascii="Times New Roman" w:hAnsi="Times New Roman" w:cs="Times New Roman"/>
              </w:rPr>
              <w:t>根据工程分析，本项目采用商品混凝土</w:t>
            </w:r>
            <w:r>
              <w:rPr>
                <w:rFonts w:hint="default" w:ascii="Times New Roman" w:hAnsi="Times New Roman" w:cs="Times New Roman"/>
                <w:lang w:eastAsia="zh-CN"/>
              </w:rPr>
              <w:t>，</w:t>
            </w:r>
            <w:r>
              <w:rPr>
                <w:rFonts w:hint="default" w:ascii="Times New Roman" w:hAnsi="Times New Roman" w:cs="Times New Roman"/>
                <w:lang w:val="en-US" w:eastAsia="zh-CN"/>
              </w:rPr>
              <w:t>故无混凝土搅拌废水产生</w:t>
            </w:r>
            <w:r>
              <w:rPr>
                <w:rFonts w:hint="default" w:ascii="Times New Roman" w:hAnsi="Times New Roman" w:cs="Times New Roman"/>
              </w:rPr>
              <w:t>；施工期产生的污水主要包括施工机械设备冷却水、施工车辆清洗废水等，称之为施工工程污水；雨季产生的地表径流和施工人员生活污水。</w:t>
            </w:r>
          </w:p>
          <w:p>
            <w:pPr>
              <w:numPr>
                <w:ilvl w:val="0"/>
                <w:numId w:val="0"/>
              </w:numPr>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4.2.1 施工期地表水环境影响分析</w:t>
            </w:r>
          </w:p>
          <w:p>
            <w:pPr>
              <w:numPr>
                <w:ilvl w:val="0"/>
                <w:numId w:val="0"/>
              </w:numPr>
              <w:adjustRightInd w:val="0"/>
              <w:snapToGrid w:val="0"/>
              <w:spacing w:line="360" w:lineRule="auto"/>
              <w:ind w:firstLine="480" w:firstLineChars="200"/>
              <w:jc w:val="left"/>
              <w:rPr>
                <w:rFonts w:hint="default" w:ascii="Times New Roman" w:hAnsi="Times New Roman" w:cs="Times New Roman"/>
              </w:rPr>
            </w:pPr>
            <w:r>
              <w:rPr>
                <w:rFonts w:hint="default" w:ascii="Times New Roman" w:hAnsi="Times New Roman" w:cs="Times New Roman"/>
                <w:lang w:val="en-US" w:eastAsia="zh-CN"/>
              </w:rPr>
              <w:t>（1）</w:t>
            </w:r>
            <w:r>
              <w:rPr>
                <w:rFonts w:hint="default" w:ascii="Times New Roman" w:hAnsi="Times New Roman" w:cs="Times New Roman"/>
              </w:rPr>
              <w:t>施工工程废水</w:t>
            </w:r>
          </w:p>
          <w:p>
            <w:pPr>
              <w:numPr>
                <w:ilvl w:val="0"/>
                <w:numId w:val="0"/>
              </w:numPr>
              <w:adjustRightInd w:val="0"/>
              <w:snapToGrid w:val="0"/>
              <w:spacing w:line="360" w:lineRule="auto"/>
              <w:ind w:firstLine="480" w:firstLineChars="200"/>
              <w:jc w:val="left"/>
              <w:rPr>
                <w:rFonts w:hint="default" w:ascii="Times New Roman" w:hAnsi="Times New Roman" w:cs="Times New Roman"/>
                <w:lang w:val="en-US" w:eastAsia="zh-CN"/>
              </w:rPr>
            </w:pPr>
            <w:r>
              <w:rPr>
                <w:rFonts w:hint="default" w:ascii="Times New Roman" w:hAnsi="Times New Roman" w:cs="Times New Roman"/>
              </w:rPr>
              <w:t>施工工程废水包括施工机械设备使用时产生的冷却水、施工车辆清洗产生</w:t>
            </w:r>
            <w:r>
              <w:rPr>
                <w:rFonts w:hint="default" w:ascii="Times New Roman" w:hAnsi="Times New Roman" w:cs="Times New Roman"/>
                <w:lang w:val="en-US" w:eastAsia="zh-CN"/>
              </w:rPr>
              <w:t>的</w:t>
            </w:r>
            <w:r>
              <w:rPr>
                <w:rFonts w:hint="default" w:ascii="Times New Roman" w:hAnsi="Times New Roman" w:cs="Times New Roman"/>
              </w:rPr>
              <w:t>一定量的清洗废水等，其主要污染物为COD</w:t>
            </w:r>
            <w:r>
              <w:rPr>
                <w:rFonts w:hint="default" w:ascii="Times New Roman" w:hAnsi="Times New Roman" w:cs="Times New Roman"/>
                <w:vertAlign w:val="subscript"/>
                <w:lang w:val="en-US" w:eastAsia="zh-CN"/>
              </w:rPr>
              <w:t>Cr</w:t>
            </w:r>
            <w:r>
              <w:rPr>
                <w:rFonts w:hint="default" w:ascii="Times New Roman" w:hAnsi="Times New Roman" w:cs="Times New Roman"/>
              </w:rPr>
              <w:t>及SS</w:t>
            </w:r>
            <w:r>
              <w:rPr>
                <w:rFonts w:hint="default" w:ascii="Times New Roman" w:hAnsi="Times New Roman" w:cs="Times New Roman"/>
                <w:lang w:val="en-US" w:eastAsia="zh-CN"/>
              </w:rPr>
              <w:t>和石油类</w:t>
            </w:r>
            <w:r>
              <w:rPr>
                <w:rFonts w:hint="default" w:ascii="Times New Roman" w:hAnsi="Times New Roman" w:cs="Times New Roman"/>
              </w:rPr>
              <w:t>，这些废水量虽然不大，</w:t>
            </w:r>
            <w:r>
              <w:rPr>
                <w:rFonts w:hint="default" w:ascii="Times New Roman" w:hAnsi="Times New Roman" w:cs="Times New Roman"/>
                <w:lang w:val="en-US" w:eastAsia="zh-CN"/>
              </w:rPr>
              <w:t>但若</w:t>
            </w:r>
            <w:r>
              <w:rPr>
                <w:rFonts w:hint="default" w:ascii="Times New Roman" w:hAnsi="Times New Roman" w:cs="Times New Roman"/>
              </w:rPr>
              <w:t>不经处理直接排放会对</w:t>
            </w:r>
            <w:r>
              <w:rPr>
                <w:rFonts w:hint="default" w:ascii="Times New Roman" w:hAnsi="Times New Roman" w:cs="Times New Roman"/>
                <w:lang w:val="en-US" w:eastAsia="zh-CN"/>
              </w:rPr>
              <w:t>周边地表水</w:t>
            </w:r>
            <w:r>
              <w:rPr>
                <w:rFonts w:hint="default" w:ascii="Times New Roman" w:hAnsi="Times New Roman" w:cs="Times New Roman"/>
              </w:rPr>
              <w:t>产生一定影响。施工单位</w:t>
            </w:r>
            <w:r>
              <w:rPr>
                <w:rFonts w:hint="default" w:ascii="Times New Roman" w:hAnsi="Times New Roman" w:cs="Times New Roman"/>
                <w:lang w:val="en-US" w:eastAsia="zh-CN"/>
              </w:rPr>
              <w:t>设置</w:t>
            </w:r>
            <w:r>
              <w:rPr>
                <w:rFonts w:hint="default" w:ascii="Times New Roman" w:hAnsi="Times New Roman" w:cs="Times New Roman"/>
              </w:rPr>
              <w:t>专用设备清洗，</w:t>
            </w:r>
            <w:r>
              <w:rPr>
                <w:rFonts w:hint="default" w:ascii="Times New Roman" w:hAnsi="Times New Roman" w:cs="Times New Roman"/>
                <w:lang w:val="en-US" w:eastAsia="zh-CN"/>
              </w:rPr>
              <w:t>废水经沉淀池</w:t>
            </w:r>
            <w:r>
              <w:rPr>
                <w:rFonts w:hint="default" w:ascii="Times New Roman" w:hAnsi="Times New Roman" w:cs="Times New Roman"/>
              </w:rPr>
              <w:t>处理后用于场地的洒水降尘，不外</w:t>
            </w:r>
            <w:r>
              <w:rPr>
                <w:rFonts w:hint="default" w:ascii="Times New Roman" w:hAnsi="Times New Roman" w:cs="Times New Roman"/>
                <w:lang w:val="en-US" w:eastAsia="zh-CN"/>
              </w:rPr>
              <w:t>排。</w:t>
            </w:r>
          </w:p>
          <w:p>
            <w:pPr>
              <w:numPr>
                <w:ilvl w:val="0"/>
                <w:numId w:val="0"/>
              </w:numPr>
              <w:adjustRightInd w:val="0"/>
              <w:snapToGrid w:val="0"/>
              <w:spacing w:line="360" w:lineRule="auto"/>
              <w:ind w:firstLine="480" w:firstLineChars="200"/>
              <w:jc w:val="left"/>
              <w:rPr>
                <w:rFonts w:hint="default" w:ascii="Times New Roman" w:hAnsi="Times New Roman" w:cs="Times New Roman"/>
                <w:lang w:val="en-US" w:eastAsia="zh-CN"/>
              </w:rPr>
            </w:pPr>
            <w:r>
              <w:rPr>
                <w:rFonts w:hint="default" w:ascii="Times New Roman" w:hAnsi="Times New Roman" w:cs="Times New Roman"/>
                <w:lang w:val="en-US" w:eastAsia="zh-CN"/>
              </w:rPr>
              <w:t>（2）地表径流</w:t>
            </w:r>
          </w:p>
          <w:p>
            <w:pPr>
              <w:numPr>
                <w:ilvl w:val="0"/>
                <w:numId w:val="0"/>
              </w:numPr>
              <w:adjustRightInd w:val="0"/>
              <w:snapToGrid w:val="0"/>
              <w:spacing w:line="360" w:lineRule="auto"/>
              <w:ind w:firstLine="480" w:firstLineChars="200"/>
              <w:jc w:val="left"/>
              <w:rPr>
                <w:rFonts w:hint="default" w:ascii="Times New Roman" w:hAnsi="Times New Roman" w:cs="Times New Roman"/>
                <w:lang w:val="en-US" w:eastAsia="zh-CN"/>
              </w:rPr>
            </w:pPr>
            <w:r>
              <w:rPr>
                <w:rFonts w:hint="default" w:ascii="Times New Roman" w:hAnsi="Times New Roman" w:cs="Times New Roman"/>
                <w:lang w:val="en-US" w:eastAsia="zh-CN"/>
              </w:rPr>
              <w:t>项目施工过程一般不会对地表水造成显著影响。项目占地面积较大，若雨季施工产生地面径流，将进入周边地表水和池塘，对周边地表水湘江造成一定影响。暴雨地表径流冲刷浮土、建筑砂石、垃圾、临时堆土等，不但会夹带大量泥沙，而且会携带水泥等各种污染物随径流进入地势低洼地带或水体，排水过程产生的沉积物如果不经处理进入地表水，会引起水体污染，因此必须做出一定的预防措施。</w:t>
            </w:r>
          </w:p>
          <w:p>
            <w:pPr>
              <w:numPr>
                <w:ilvl w:val="0"/>
                <w:numId w:val="0"/>
              </w:numPr>
              <w:adjustRightInd w:val="0"/>
              <w:snapToGrid w:val="0"/>
              <w:spacing w:line="360" w:lineRule="auto"/>
              <w:ind w:firstLine="480" w:firstLineChars="200"/>
              <w:jc w:val="left"/>
              <w:rPr>
                <w:rFonts w:hint="default" w:ascii="Times New Roman" w:hAnsi="Times New Roman" w:cs="Times New Roman"/>
                <w:lang w:val="en-US" w:eastAsia="zh-CN"/>
              </w:rPr>
            </w:pPr>
            <w:r>
              <w:rPr>
                <w:rFonts w:hint="default" w:ascii="Times New Roman" w:hAnsi="Times New Roman" w:cs="Times New Roman"/>
                <w:lang w:val="en-US" w:eastAsia="zh-CN"/>
              </w:rPr>
              <w:t>根据同类型建设项目施工经验，本项目施工单位需加强施工期的环境管理，可在施工区设置雨水沟和雨水收集沉淀池，避免附近道路地面径流对施工区浮土、建筑砂石、垃圾、弃土等的冲刷，本项目施工期的地表径流水不会对周围环境产生明显的影响。</w:t>
            </w:r>
          </w:p>
          <w:p>
            <w:pPr>
              <w:numPr>
                <w:ilvl w:val="0"/>
                <w:numId w:val="0"/>
              </w:numPr>
              <w:adjustRightInd w:val="0"/>
              <w:snapToGrid w:val="0"/>
              <w:spacing w:line="360" w:lineRule="auto"/>
              <w:ind w:firstLine="480" w:firstLineChars="200"/>
              <w:jc w:val="left"/>
              <w:rPr>
                <w:rFonts w:hint="default" w:ascii="Times New Roman" w:hAnsi="Times New Roman" w:cs="Times New Roman"/>
                <w:lang w:val="en-US" w:eastAsia="zh-CN"/>
              </w:rPr>
            </w:pPr>
            <w:r>
              <w:rPr>
                <w:rFonts w:hint="default" w:ascii="Times New Roman" w:hAnsi="Times New Roman" w:cs="Times New Roman"/>
                <w:lang w:val="en-US" w:eastAsia="zh-CN"/>
              </w:rPr>
              <w:t>（3）施工人员生活污水</w:t>
            </w:r>
          </w:p>
          <w:p>
            <w:pPr>
              <w:numPr>
                <w:ilvl w:val="0"/>
                <w:numId w:val="0"/>
              </w:numPr>
              <w:adjustRightInd w:val="0"/>
              <w:snapToGrid w:val="0"/>
              <w:spacing w:line="360" w:lineRule="auto"/>
              <w:ind w:firstLine="480" w:firstLineChars="200"/>
              <w:jc w:val="left"/>
              <w:rPr>
                <w:rFonts w:hint="default" w:ascii="Times New Roman" w:hAnsi="Times New Roman" w:cs="Times New Roman"/>
                <w:lang w:val="en-US" w:eastAsia="zh-CN"/>
              </w:rPr>
            </w:pPr>
            <w:r>
              <w:rPr>
                <w:rFonts w:hint="default" w:ascii="Times New Roman" w:hAnsi="Times New Roman" w:cs="Times New Roman"/>
                <w:lang w:val="en-US" w:eastAsia="zh-CN"/>
              </w:rPr>
              <w:t>施工期间废水主要来源于施</w:t>
            </w:r>
            <w:r>
              <w:rPr>
                <w:rFonts w:hint="default" w:ascii="Times New Roman" w:hAnsi="Times New Roman" w:cs="Times New Roman"/>
              </w:rPr>
              <w:t>工人员的生活污水</w:t>
            </w:r>
            <w:r>
              <w:rPr>
                <w:rFonts w:hint="default" w:ascii="Times New Roman" w:hAnsi="Times New Roman" w:cs="Times New Roman"/>
                <w:lang w:eastAsia="zh-CN"/>
              </w:rPr>
              <w:t>。</w:t>
            </w:r>
            <w:r>
              <w:rPr>
                <w:rFonts w:hint="default" w:ascii="Times New Roman" w:hAnsi="Times New Roman" w:cs="Times New Roman"/>
                <w:lang w:val="en-US" w:eastAsia="zh-CN"/>
              </w:rPr>
              <w:t>项目施工人员租赁周边民房，施工人员均不在场地内食宿。生活污水主要为施工人员如厕废水，依托场地内临时化粪池处理排放。施工平均施工人员按80人计，项目施工建设期12个月，按330天计算，施工期生活用水量按20L/人•日计，污水产生量按日用水量的80%计，则施工生活污水产生量528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（日产生量 1.6m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）。本项目建设化粪池收集后排入市政管网后进入湘阴县第一污水处理厂处理。</w:t>
            </w:r>
          </w:p>
          <w:p>
            <w:pPr>
              <w:numPr>
                <w:ilvl w:val="0"/>
                <w:numId w:val="0"/>
              </w:numPr>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4.2.2 施工期地表水环境保护措施</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（1）施工现场应设置完善的配套排水系统、泥浆沉淀设施，出施工场地的运输车辆经过冲洗后方可上路，冲洗废水经过沉淀处理后回用作为洗车水。</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（2）在施工区车辆出口处，设置一个3m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的施工车辆清洗设施和沉淀池。以收集施工污水，清洗废水经沉淀池澄清后循环使用。</w:t>
            </w:r>
          </w:p>
          <w:p>
            <w:pPr>
              <w:numPr>
                <w:ilvl w:val="0"/>
                <w:numId w:val="0"/>
              </w:numPr>
              <w:adjustRightInd w:val="0"/>
              <w:snapToGrid w:val="0"/>
              <w:spacing w:line="360" w:lineRule="auto"/>
              <w:ind w:firstLine="480" w:firstLineChars="200"/>
              <w:jc w:val="left"/>
              <w:rPr>
                <w:rFonts w:hint="default" w:ascii="Times New Roman" w:hAnsi="Times New Roman" w:cs="Times New Roman"/>
                <w:lang w:eastAsia="zh-CN"/>
              </w:rPr>
            </w:pPr>
            <w:r>
              <w:rPr>
                <w:rFonts w:hint="default" w:ascii="Times New Roman" w:hAnsi="Times New Roman" w:cs="Times New Roman"/>
                <w:lang w:val="en-US" w:eastAsia="zh-CN"/>
              </w:rPr>
              <w:t>（3）施工人员生活污水经化粪池处理后定期清运用于周边农田施肥。</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4）做好建筑材料和施工废渣的管理和回收，特别是含有油污的物体，不能露天存放，以免因雨废油水冲刷而污染水体，应用废油桶收集起来，集中保管，定期送有资质的单位进行处理回收，严禁将废油随意倾倒，造成污染。</w:t>
            </w:r>
          </w:p>
          <w:p>
            <w:pPr>
              <w:numPr>
                <w:ilvl w:val="0"/>
                <w:numId w:val="0"/>
              </w:numPr>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4.3 施工期噪声环境影响分析和保护措施</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施工期对声环境的影响主要来自施工机械噪声，其次是交通噪声和人为噪声。</w:t>
            </w:r>
          </w:p>
          <w:p>
            <w:pPr>
              <w:numPr>
                <w:ilvl w:val="0"/>
                <w:numId w:val="0"/>
              </w:numPr>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4.3.1 施工期噪声环境影响分析</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 xml:space="preserve">施工阶段的噪声主要来自施工机械噪声、施工作业噪声和运输车辆噪声。施工机械噪声由施工机械造成，如挖土机械、混泥土搅拌机、升降机等，多为点声源；施工作业噪声主要指一些零星的敲打声、装卸建材的撞击声、施工人员的吆喝声、拆装模板的撞击声等，多为瞬间噪声；运输车辆的噪声属于交通噪声。在这些施工噪声中对声环境影响最大的是施工机械噪声以及振动。 </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 xml:space="preserve">施工期主要施工机械设备的噪声源强见下表，当多台机械设备同时作业时，产生噪声叠加，根据类比调查，叠加后的噪声增加3～8dB，一般不会超过10dB。 </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表4-4 施工期噪声声源源强表</w:t>
            </w:r>
          </w:p>
          <w:tbl>
            <w:tblPr>
              <w:tblStyle w:val="22"/>
              <w:tblW w:w="4999"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68"/>
              <w:gridCol w:w="2868"/>
              <w:gridCol w:w="28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施工阶段</w:t>
                  </w:r>
                </w:p>
              </w:tc>
              <w:tc>
                <w:tcPr>
                  <w:tcW w:w="1666" w:type="pct"/>
                  <w:noWrap w:val="0"/>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声源</w:t>
                  </w:r>
                </w:p>
              </w:tc>
              <w:tc>
                <w:tcPr>
                  <w:tcW w:w="1667" w:type="pct"/>
                  <w:noWrap w:val="0"/>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声源强度[dB（A）]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Merge w:val="restart"/>
                  <w:noWrap w:val="0"/>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场地清理与平整</w:t>
                  </w:r>
                </w:p>
              </w:tc>
              <w:tc>
                <w:tcPr>
                  <w:tcW w:w="1666" w:type="pct"/>
                  <w:noWrap w:val="0"/>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挖土机</w:t>
                  </w:r>
                </w:p>
              </w:tc>
              <w:tc>
                <w:tcPr>
                  <w:tcW w:w="1667" w:type="pct"/>
                  <w:noWrap w:val="0"/>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78-96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Merge w:val="continue"/>
                  <w:noWrap w:val="0"/>
                  <w:vAlign w:val="center"/>
                </w:tcPr>
                <w:p>
                  <w:pPr>
                    <w:pStyle w:val="31"/>
                    <w:bidi w:val="0"/>
                    <w:rPr>
                      <w:rFonts w:hint="default" w:ascii="Times New Roman" w:hAnsi="Times New Roman" w:cs="Times New Roman"/>
                      <w:lang w:val="en-US" w:eastAsia="zh-CN"/>
                    </w:rPr>
                  </w:pPr>
                </w:p>
              </w:tc>
              <w:tc>
                <w:tcPr>
                  <w:tcW w:w="1666" w:type="pct"/>
                  <w:noWrap w:val="0"/>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空压机</w:t>
                  </w:r>
                </w:p>
              </w:tc>
              <w:tc>
                <w:tcPr>
                  <w:tcW w:w="1667" w:type="pct"/>
                  <w:noWrap w:val="0"/>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75-85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Merge w:val="continue"/>
                  <w:noWrap w:val="0"/>
                  <w:vAlign w:val="center"/>
                </w:tcPr>
                <w:p>
                  <w:pPr>
                    <w:pStyle w:val="31"/>
                    <w:bidi w:val="0"/>
                    <w:rPr>
                      <w:rFonts w:hint="default" w:ascii="Times New Roman" w:hAnsi="Times New Roman" w:cs="Times New Roman"/>
                      <w:lang w:val="en-US" w:eastAsia="zh-CN"/>
                    </w:rPr>
                  </w:pPr>
                </w:p>
              </w:tc>
              <w:tc>
                <w:tcPr>
                  <w:tcW w:w="1666" w:type="pct"/>
                  <w:noWrap w:val="0"/>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压缩机</w:t>
                  </w:r>
                </w:p>
              </w:tc>
              <w:tc>
                <w:tcPr>
                  <w:tcW w:w="1667" w:type="pct"/>
                  <w:noWrap w:val="0"/>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75-88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Merge w:val="restart"/>
                  <w:noWrap w:val="0"/>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场地硬化与厂房搭建</w:t>
                  </w:r>
                </w:p>
              </w:tc>
              <w:tc>
                <w:tcPr>
                  <w:tcW w:w="1666" w:type="pct"/>
                  <w:noWrap w:val="0"/>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混凝土输送泵</w:t>
                  </w:r>
                </w:p>
              </w:tc>
              <w:tc>
                <w:tcPr>
                  <w:tcW w:w="1667" w:type="pct"/>
                  <w:noWrap w:val="0"/>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90-100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Merge w:val="continue"/>
                  <w:noWrap w:val="0"/>
                  <w:vAlign w:val="center"/>
                </w:tcPr>
                <w:p>
                  <w:pPr>
                    <w:pStyle w:val="31"/>
                    <w:bidi w:val="0"/>
                    <w:rPr>
                      <w:rFonts w:hint="default" w:ascii="Times New Roman" w:hAnsi="Times New Roman" w:cs="Times New Roman"/>
                      <w:lang w:val="en-US" w:eastAsia="zh-CN"/>
                    </w:rPr>
                  </w:pPr>
                </w:p>
              </w:tc>
              <w:tc>
                <w:tcPr>
                  <w:tcW w:w="1666" w:type="pct"/>
                  <w:noWrap w:val="0"/>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振捣器</w:t>
                  </w:r>
                </w:p>
              </w:tc>
              <w:tc>
                <w:tcPr>
                  <w:tcW w:w="1667" w:type="pct"/>
                  <w:noWrap w:val="0"/>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90-105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Merge w:val="continue"/>
                  <w:noWrap w:val="0"/>
                  <w:vAlign w:val="center"/>
                </w:tcPr>
                <w:p>
                  <w:pPr>
                    <w:pStyle w:val="31"/>
                    <w:bidi w:val="0"/>
                    <w:rPr>
                      <w:rFonts w:hint="default" w:ascii="Times New Roman" w:hAnsi="Times New Roman" w:cs="Times New Roman"/>
                      <w:lang w:val="en-US" w:eastAsia="zh-CN"/>
                    </w:rPr>
                  </w:pPr>
                </w:p>
              </w:tc>
              <w:tc>
                <w:tcPr>
                  <w:tcW w:w="1666" w:type="pct"/>
                  <w:noWrap w:val="0"/>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电锯</w:t>
                  </w:r>
                </w:p>
              </w:tc>
              <w:tc>
                <w:tcPr>
                  <w:tcW w:w="1667" w:type="pct"/>
                  <w:noWrap w:val="0"/>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100-105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Merge w:val="continue"/>
                  <w:noWrap w:val="0"/>
                  <w:vAlign w:val="center"/>
                </w:tcPr>
                <w:p>
                  <w:pPr>
                    <w:pStyle w:val="31"/>
                    <w:bidi w:val="0"/>
                    <w:rPr>
                      <w:rFonts w:hint="default" w:ascii="Times New Roman" w:hAnsi="Times New Roman" w:cs="Times New Roman"/>
                      <w:lang w:val="en-US" w:eastAsia="zh-CN"/>
                    </w:rPr>
                  </w:pPr>
                </w:p>
              </w:tc>
              <w:tc>
                <w:tcPr>
                  <w:tcW w:w="1666" w:type="pct"/>
                  <w:noWrap w:val="0"/>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电焊机</w:t>
                  </w:r>
                </w:p>
              </w:tc>
              <w:tc>
                <w:tcPr>
                  <w:tcW w:w="1667" w:type="pct"/>
                  <w:noWrap w:val="0"/>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80-85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vMerge w:val="continue"/>
                  <w:noWrap w:val="0"/>
                  <w:vAlign w:val="center"/>
                </w:tcPr>
                <w:p>
                  <w:pPr>
                    <w:pStyle w:val="31"/>
                    <w:bidi w:val="0"/>
                    <w:rPr>
                      <w:rFonts w:hint="default" w:ascii="Times New Roman" w:hAnsi="Times New Roman" w:cs="Times New Roman"/>
                      <w:lang w:val="en-US" w:eastAsia="zh-CN"/>
                    </w:rPr>
                  </w:pPr>
                </w:p>
              </w:tc>
              <w:tc>
                <w:tcPr>
                  <w:tcW w:w="1666" w:type="pct"/>
                  <w:noWrap w:val="0"/>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空压机</w:t>
                  </w:r>
                </w:p>
              </w:tc>
              <w:tc>
                <w:tcPr>
                  <w:tcW w:w="1667" w:type="pct"/>
                  <w:noWrap w:val="0"/>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75-85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6" w:type="pct"/>
                  <w:noWrap w:val="0"/>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运输</w:t>
                  </w:r>
                </w:p>
              </w:tc>
              <w:tc>
                <w:tcPr>
                  <w:tcW w:w="1666" w:type="pct"/>
                  <w:noWrap w:val="0"/>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大型载重车、混凝土罐车</w:t>
                  </w:r>
                </w:p>
              </w:tc>
              <w:tc>
                <w:tcPr>
                  <w:tcW w:w="1667" w:type="pct"/>
                  <w:noWrap w:val="0"/>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84-90</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根据现场调查，项目所在地200m范围内项目地东侧、南侧和北侧均分布有较多居民，且最近的居民点在20~30m，距离较近，施工期对其影响较大。</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施工期间应按《建筑施工场界环境噪声排放标准》（GB 12523-2011）对施工场界进行噪声控制；施工期各种施工机械噪声对会对附近居民正常生活造成一定的影响，在施工较大产噪设备时，应尽量避开休息时间施工，尤其在夜间10：00至第二天6：00期间不可施工作业；施工尽量采用低噪声施工机械，对机械设备要精心保养，保持良好的运行工况，降低机械噪声，严禁中午、夜间休息时间作业。同时在施工厂界设置围挡，减小噪声影响。</w:t>
            </w:r>
          </w:p>
          <w:p>
            <w:pPr>
              <w:numPr>
                <w:ilvl w:val="0"/>
                <w:numId w:val="0"/>
              </w:numPr>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4.3.2 施工期噪声环境保护措施</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1）选用低噪声施工设备，如以液压机械代替燃油机械，低频振捣器代替高频振捣器等。固定机械设备与挖土、运土机械，如挖土机、推土机等，可以通过排气管消音器和隔离发机振动部件的方法降低噪声。对动力机械设备应进行定期的维修、养护。</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（2）合理安排施工作业，尽量避免多台强噪声施工机械在同一地点同时施工。</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（3）高噪声设备的施工时间尽量安排在昼间，减少夜间施工，禁止夜间10点至次日6点、中午12点至14点的休息时间施工。</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（4）尽量采用各种隔声降噪措施，在用地范围四周设置施工围墙以减轻施工噪声对附近居民区的影响等。</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（5）对冲压机械、压缩机等强振动污染源，应尽可能采取隔振措施，以减弱机械设备扰动对周围环境的振动污染。</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（6）减少交通噪声，大型载重车辆在进出施工场地时应限速20km/h，并禁止鸣笛；</w:t>
            </w:r>
          </w:p>
          <w:p>
            <w:pPr>
              <w:pStyle w:val="2"/>
              <w:rPr>
                <w:rFonts w:hint="default" w:ascii="Times New Roman" w:hAnsi="Times New Roman" w:cs="Times New Roman"/>
                <w:lang w:val="en-US" w:eastAsia="zh-CN"/>
              </w:rPr>
            </w:pPr>
            <w:r>
              <w:rPr>
                <w:rFonts w:hint="default" w:ascii="Times New Roman" w:hAnsi="Times New Roman" w:cs="Times New Roman"/>
                <w:lang w:val="en-US" w:eastAsia="zh-CN"/>
              </w:rPr>
              <w:t>（7）厂界四周设置围挡，减少噪声对周边居民影响。</w:t>
            </w:r>
          </w:p>
          <w:p>
            <w:pPr>
              <w:numPr>
                <w:ilvl w:val="0"/>
                <w:numId w:val="0"/>
              </w:numPr>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4.4 施工期固体废物环境影响分析和保护措施</w:t>
            </w:r>
          </w:p>
          <w:p>
            <w:pPr>
              <w:numPr>
                <w:ilvl w:val="0"/>
                <w:numId w:val="0"/>
              </w:numPr>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4.4.1 施工期固体废物环境影响分析</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 xml:space="preserve">施工期间固体废物主要来自施工过程产生建筑垃圾和施工人员产生的生活垃圾。 </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 xml:space="preserve">（1）建筑垃圾 </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 xml:space="preserve">本项目在建设过程中产生的建筑垃圾主要有土地平整及开挖产生的土方、建筑拆除以及建材损耗产生建筑垃圾。建材损耗产生建筑垃圾其产生量按建材损耗率计算，因设计尚未完成，工程量难以准确计算，损耗率按定额取2%，预计产生量约690吨。 </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 xml:space="preserve">本项目施工期建筑垃圾中碎石、泥土、混凝土、废钢材、废砖头、包装箱、废木条、木板等部分可作为路基填方回用，剩余建筑垃圾按照《一般工业固体废物贮存和填埋污染控制标准》（GB 18599-2020）中的规定，建筑垃圾全部在施工场地内临时区域堆存，集中运至环卫部门指定的建筑垃圾场堆存。 </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 xml:space="preserve">（2）生活垃圾 </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 xml:space="preserve">施工期施工人员不集中安排食宿，租用民房，产生的生活垃圾主要为烟头、香烟盒、果皮纸屑及厨余物等，以0.5kg/d 的人均生活垃圾产生量计算，高峰期施工人员80人，生活垃圾量为4kg/d。 </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 xml:space="preserve">（3）土石方 </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根据项目地形条件、土壤条件及设施高程等，项目场地平整过程中需要大量土石方，根据规划设计方案，项目须填方量约为20万m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，项目填土来自湘阴县人民政府指定取土地点。</w:t>
            </w:r>
          </w:p>
          <w:p>
            <w:pPr>
              <w:numPr>
                <w:ilvl w:val="0"/>
                <w:numId w:val="0"/>
              </w:numPr>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4.4.2 施工期固体废物环境保护措施</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（1）建筑施工使用商品混凝土和干拌砂浆，减少现场搅拌产生的固体废物；</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（2）施工废弃的建筑垃圾设专门的临时堆场，并设置挡墙，防治暴雨降水等冲刷流失到水环境中造成水体污染；</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（3）设置垃圾箱、垃圾桶，每天收集施工区域的生活垃圾，交由环卫部门统一清运、处理；</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（4）装饰装修工程施工过程中产生的废弃物和其他垃圾，按规定堆放和清运，不抛洒；</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（5）加强废弃金属制品、塑料制品、木材、油漆/涂料桶、包装材料等可回收垃圾的回收利用，减少建筑垃圾量；</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（6）填土运输车辆密闭，进出施工场地需清洗，减少运输过程中扬尘的产生。</w:t>
            </w:r>
          </w:p>
          <w:p>
            <w:pPr>
              <w:numPr>
                <w:ilvl w:val="0"/>
                <w:numId w:val="0"/>
              </w:numPr>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4.5 施工期水土流失环境影响分析和保护措施</w:t>
            </w:r>
          </w:p>
          <w:p>
            <w:pPr>
              <w:numPr>
                <w:ilvl w:val="0"/>
                <w:numId w:val="0"/>
              </w:numPr>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4.5.1 施工期水土流失环境影响分析</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本项目</w:t>
            </w:r>
            <w:r>
              <w:rPr>
                <w:rFonts w:hint="default" w:ascii="Times New Roman" w:hAnsi="Times New Roman" w:cs="Times New Roman"/>
              </w:rPr>
              <w:t>施工期间将扰动原土层和破坏原地貌，植被受损，裸露地表增加，</w:t>
            </w:r>
            <w:r>
              <w:rPr>
                <w:rFonts w:hint="default" w:ascii="Times New Roman" w:hAnsi="Times New Roman" w:cs="Times New Roman"/>
                <w:lang w:val="en-US" w:eastAsia="zh-CN"/>
              </w:rPr>
              <w:t>产生弃土，将造成水土流失。本项目施工期可能导致水土流失的主要原因是降雨和地表开挖。降雨量大部分集中在雨季，夏季暴雨较集中，降雨大，降雨时间长。这些气象条件可能会造成项目建设施工期的水土流失。在施工过程中土壤暴露在雨、风和其它干扰之中。同时，施工中土壤结构会受到破坏，土壤抵抗侵蚀的能力将会大大减弱，在暴雨中由降雨所产生的土壤侵蚀，可能造成项目建设过程中的水土流失。</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项目工程施工过程中采用围挡，减少雨季施工时间，可减少水土流失产生。</w:t>
            </w:r>
          </w:p>
          <w:p>
            <w:pPr>
              <w:numPr>
                <w:ilvl w:val="0"/>
                <w:numId w:val="0"/>
              </w:numPr>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4.5.2 施工期水土流失环境保护措施</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为了减少施工期间的水土流失，提出以下水土保持管理措施要求</w:t>
            </w:r>
          </w:p>
          <w:p>
            <w:pPr>
              <w:keepNext w:val="0"/>
              <w:keepLines w:val="0"/>
              <w:pageBreakBefore w:val="0"/>
              <w:widowControl/>
              <w:numPr>
                <w:ilvl w:val="0"/>
                <w:numId w:val="6"/>
              </w:numPr>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在土地平整和开挖建设中，应尽量避开雨季；</w:t>
            </w:r>
          </w:p>
          <w:p>
            <w:pPr>
              <w:keepNext w:val="0"/>
              <w:keepLines w:val="0"/>
              <w:pageBreakBefore w:val="0"/>
              <w:widowControl/>
              <w:numPr>
                <w:ilvl w:val="0"/>
                <w:numId w:val="6"/>
              </w:numPr>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场地平整：及时将填方进行压实平整，减少临时堆土造成的水土流失。</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（3）材料堆放场：施工场地要设置材料堆放场堆放砂石料等建筑材料，为了防止降雨对材料堆放场的冲蚀，材料堆放场周围用编织土袋进行拦挡，材料顶部用苫布进行覆盖；</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4）合理安排施工时间：在施工过程中，合理安排施工顺序，雨季中尽量减少土地开挖面，并争取土料的随挖、随运、随铺、随压。将施工过程中的泥浆经沉淀、晾干后回填，对水质环境影响能控制在较小范围内，且产生水土流失量较小。</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5）组织管理：建设单位在工程建设施工过程中，必须加强施工队伍组织和管理，避免发生施工区外围植被破坏，以缩小植被生态损害程度。项目施工期各项水土保持设施在主体工程建设中得到落实后，对项目建设区可能产生的水土流失能起到显著的抑制作用，起到防止水土流失、保护生态环境的作用；</w:t>
            </w:r>
          </w:p>
          <w:p>
            <w:pPr>
              <w:pStyle w:val="2"/>
              <w:rPr>
                <w:rFonts w:hint="default" w:ascii="Times New Roman" w:hAnsi="Times New Roman" w:cs="Times New Roman"/>
                <w:lang w:val="en-US" w:eastAsia="zh-CN"/>
              </w:rPr>
            </w:pPr>
            <w:r>
              <w:rPr>
                <w:rFonts w:hint="default" w:ascii="Times New Roman" w:hAnsi="Times New Roman" w:eastAsia="宋体" w:cs="Times New Roman"/>
                <w:sz w:val="24"/>
                <w:szCs w:val="24"/>
                <w:lang w:val="en-US" w:eastAsia="zh-CN"/>
              </w:rPr>
              <w:t>（6）场地四周设置雨水收集沟和沉淀池，雨水经收集沉淀后排放，减少水土流失。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01" w:hRule="atLeast"/>
        </w:trPr>
        <w:tc>
          <w:tcPr>
            <w:tcW w:w="434" w:type="dxa"/>
            <w:vAlign w:val="center"/>
          </w:tcPr>
          <w:p>
            <w:pPr>
              <w:numPr>
                <w:ilvl w:val="0"/>
                <w:numId w:val="0"/>
              </w:numPr>
              <w:jc w:val="center"/>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运营期环境影响和保护措施</w:t>
            </w:r>
          </w:p>
        </w:tc>
        <w:tc>
          <w:tcPr>
            <w:tcW w:w="8834" w:type="dxa"/>
            <w:vAlign w:val="center"/>
          </w:tcPr>
          <w:p>
            <w:pPr>
              <w:numPr>
                <w:ilvl w:val="0"/>
                <w:numId w:val="0"/>
              </w:numPr>
              <w:rPr>
                <w:rFonts w:hint="default" w:ascii="Times New Roman" w:hAnsi="Times New Roman" w:cs="Times New Roman"/>
                <w:lang w:val="en-US" w:eastAsia="zh-CN"/>
              </w:rPr>
            </w:pPr>
            <w:r>
              <w:rPr>
                <w:rFonts w:hint="default" w:ascii="Times New Roman" w:hAnsi="Times New Roman" w:cs="Times New Roman"/>
                <w:lang w:val="en-US" w:eastAsia="zh-CN"/>
              </w:rPr>
              <w:t xml:space="preserve">4.6 </w:t>
            </w:r>
            <w:r>
              <w:rPr>
                <w:rFonts w:hint="default" w:ascii="Times New Roman" w:hAnsi="Times New Roman" w:eastAsia="黑体" w:cs="Times New Roman"/>
                <w:lang w:val="en-US" w:eastAsia="zh-CN"/>
              </w:rPr>
              <w:t>运营期废气</w:t>
            </w:r>
          </w:p>
          <w:p>
            <w:pPr>
              <w:keepNext w:val="0"/>
              <w:keepLines w:val="0"/>
              <w:widowControl/>
              <w:suppressLineNumbers w:val="0"/>
              <w:ind w:left="0" w:leftChars="0" w:firstLine="0" w:firstLineChars="0"/>
              <w:jc w:val="left"/>
              <w:rPr>
                <w:rFonts w:hint="default" w:ascii="Times New Roman" w:hAnsi="Times New Roman" w:eastAsia="黑体" w:cs="Times New Roman"/>
                <w:color w:val="000000"/>
                <w:kern w:val="0"/>
                <w:sz w:val="24"/>
                <w:szCs w:val="24"/>
                <w:lang w:val="en-US" w:eastAsia="zh-CN" w:bidi="ar"/>
              </w:rPr>
            </w:pPr>
            <w:r>
              <w:rPr>
                <w:rFonts w:hint="default" w:ascii="Times New Roman" w:hAnsi="Times New Roman" w:eastAsia="黑体" w:cs="Times New Roman"/>
                <w:color w:val="000000"/>
                <w:kern w:val="0"/>
                <w:sz w:val="24"/>
                <w:szCs w:val="24"/>
                <w:lang w:val="en-US" w:eastAsia="zh-CN" w:bidi="ar"/>
              </w:rPr>
              <w:t>4.6.1废气源强核算</w:t>
            </w:r>
          </w:p>
          <w:p>
            <w:pPr>
              <w:keepNext w:val="0"/>
              <w:keepLines w:val="0"/>
              <w:widowControl/>
              <w:suppressLineNumbers w:val="0"/>
              <w:jc w:val="left"/>
              <w:rPr>
                <w:rFonts w:hint="default" w:ascii="Times New Roman" w:hAnsi="Times New Roman" w:cs="Times New Roman"/>
              </w:rPr>
            </w:pPr>
            <w:r>
              <w:rPr>
                <w:rFonts w:hint="default" w:ascii="Times New Roman" w:hAnsi="Times New Roman" w:eastAsia="宋体" w:cs="Times New Roman"/>
                <w:color w:val="000000"/>
                <w:kern w:val="0"/>
                <w:sz w:val="24"/>
                <w:szCs w:val="24"/>
                <w:lang w:val="en-US" w:eastAsia="zh-CN" w:bidi="ar"/>
              </w:rPr>
              <w:t>本项目原料堆放在制砂车间的堆场内，堆场原料装卸和堆存将产生一定粉尘。本项目生产车间废气主要包括河砂烘干线给料、输送、烘干和筛分过程产生的粉尘以及天然气燃烧废气；鹅卵石制砂生产线产生的投料粉尘 、输送粉尘、破碎</w:t>
            </w:r>
            <w:r>
              <w:rPr>
                <w:rFonts w:hint="default" w:ascii="Times New Roman" w:hAnsi="Times New Roman"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筛分粉尘，烘干粉尘以及天然气燃烧废气；石灰石制砂生产线产生的投料粉尘、制砂</w:t>
            </w:r>
            <w:r>
              <w:rPr>
                <w:rFonts w:hint="default" w:ascii="Times New Roman" w:hAnsi="Times New Roman"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筛分</w:t>
            </w:r>
            <w:r>
              <w:rPr>
                <w:rFonts w:hint="default" w:ascii="Times New Roman" w:hAnsi="Times New Roman"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选粉粉尘；干粉砂浆生产线</w:t>
            </w:r>
            <w:r>
              <w:rPr>
                <w:rFonts w:hint="default" w:ascii="Times New Roman" w:hAnsi="Times New Roman" w:cs="Times New Roman"/>
                <w:color w:val="000000"/>
                <w:kern w:val="0"/>
                <w:sz w:val="24"/>
                <w:szCs w:val="24"/>
                <w:lang w:val="en-US" w:eastAsia="zh-CN" w:bidi="ar"/>
              </w:rPr>
              <w:t>原料</w:t>
            </w:r>
            <w:r>
              <w:rPr>
                <w:rFonts w:hint="default" w:ascii="Times New Roman" w:hAnsi="Times New Roman" w:eastAsia="宋体" w:cs="Times New Roman"/>
                <w:color w:val="000000"/>
                <w:kern w:val="0"/>
                <w:sz w:val="24"/>
                <w:szCs w:val="24"/>
                <w:lang w:val="en-US" w:eastAsia="zh-CN" w:bidi="ar"/>
              </w:rPr>
              <w:t xml:space="preserve">筒仓呼吸口粉尘、混合、搅拌、包装等产生的粉尘等。 </w:t>
            </w:r>
          </w:p>
          <w:p>
            <w:pPr>
              <w:bidi w:val="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1、有组织废气</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（1）河砂烘干线/鹅卵石制砂生产线烘干废气</w:t>
            </w:r>
          </w:p>
          <w:p>
            <w:pPr>
              <w:numPr>
                <w:ilvl w:val="0"/>
                <w:numId w:val="0"/>
              </w:numPr>
              <w:bidi w:val="0"/>
              <w:ind w:firstLine="480" w:firstLineChars="200"/>
              <w:rPr>
                <w:rFonts w:hint="default" w:ascii="Times New Roman" w:hAnsi="Times New Roman" w:cs="Times New Roman"/>
                <w:color w:val="000000"/>
                <w:kern w:val="0"/>
                <w:sz w:val="24"/>
                <w:szCs w:val="24"/>
                <w:lang w:val="en-US" w:eastAsia="zh-CN" w:bidi="ar"/>
              </w:rPr>
            </w:pPr>
            <w:r>
              <w:rPr>
                <w:rFonts w:hint="default" w:ascii="Times New Roman" w:hAnsi="Times New Roman" w:cs="Times New Roman"/>
                <w:color w:val="000000"/>
                <w:kern w:val="0"/>
                <w:sz w:val="24"/>
                <w:szCs w:val="24"/>
                <w:lang w:val="en-US" w:eastAsia="zh-CN" w:bidi="ar"/>
              </w:rPr>
              <w:t>鹅卵石机制砂和河沙烘干线所用原料为从河道中开采的河沙及鹅卵石，具有约10%的含水率，需要首先对其进行烘干，烘干过程水分全部蒸发。烘干采用天然气作为燃料，采用直接烘干的方式燃烧热气直接与河砂和鹅卵石接触烘干，因此该过程会产生天然气燃烧废气和烘干物料的过程中产生的粉尘。本项目粉尘按原料的原料干重进行计算。</w:t>
            </w:r>
          </w:p>
          <w:p>
            <w:pPr>
              <w:numPr>
                <w:ilvl w:val="0"/>
                <w:numId w:val="0"/>
              </w:numPr>
              <w:bidi w:val="0"/>
              <w:ind w:firstLine="480" w:firstLineChars="20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cs="Times New Roman"/>
                <w:color w:val="000000"/>
                <w:kern w:val="0"/>
                <w:sz w:val="24"/>
                <w:szCs w:val="24"/>
                <w:lang w:val="en-US" w:eastAsia="zh-CN" w:bidi="ar"/>
              </w:rPr>
              <w:t>具体污染物产生情况如下：</w:t>
            </w:r>
          </w:p>
          <w:p>
            <w:pPr>
              <w:pStyle w:val="2"/>
              <w:rPr>
                <w:rFonts w:hint="default" w:ascii="Times New Roman" w:hAnsi="Times New Roman" w:cs="Times New Roman"/>
                <w:color w:val="FF0000"/>
                <w:lang w:val="en-US"/>
              </w:rPr>
            </w:pPr>
            <w:r>
              <w:rPr>
                <w:rFonts w:hint="default" w:ascii="Times New Roman" w:hAnsi="Times New Roman" w:eastAsia="宋体" w:cs="Times New Roman"/>
                <w:color w:val="FF0000"/>
                <w:kern w:val="0"/>
                <w:sz w:val="24"/>
                <w:szCs w:val="24"/>
                <w:lang w:val="en-US" w:eastAsia="zh-CN" w:bidi="ar"/>
              </w:rPr>
              <w:t>①</w:t>
            </w:r>
            <w:r>
              <w:rPr>
                <w:rFonts w:hint="default" w:ascii="Times New Roman" w:hAnsi="Times New Roman" w:cs="Times New Roman"/>
                <w:color w:val="FF0000"/>
                <w:kern w:val="0"/>
                <w:sz w:val="24"/>
                <w:szCs w:val="24"/>
                <w:lang w:val="en-US" w:eastAsia="zh-CN" w:bidi="ar"/>
              </w:rPr>
              <w:t>烘干粉尘</w:t>
            </w:r>
          </w:p>
          <w:p>
            <w:pPr>
              <w:keepNext w:val="0"/>
              <w:keepLines w:val="0"/>
              <w:widowControl/>
              <w:suppressLineNumbers w:val="0"/>
              <w:jc w:val="left"/>
              <w:rPr>
                <w:rFonts w:hint="default" w:ascii="Times New Roman" w:hAnsi="Times New Roman" w:cs="Times New Roman"/>
                <w:color w:val="FF0000"/>
                <w:kern w:val="0"/>
                <w:sz w:val="24"/>
                <w:szCs w:val="24"/>
                <w:lang w:val="en-US" w:eastAsia="zh-CN" w:bidi="ar"/>
              </w:rPr>
            </w:pPr>
            <w:r>
              <w:rPr>
                <w:rFonts w:hint="default" w:ascii="Times New Roman" w:hAnsi="Times New Roman" w:eastAsia="宋体" w:cs="Times New Roman"/>
                <w:color w:val="FF0000"/>
                <w:kern w:val="0"/>
                <w:sz w:val="24"/>
                <w:szCs w:val="24"/>
                <w:lang w:val="en-US" w:eastAsia="zh-CN" w:bidi="ar"/>
              </w:rPr>
              <w:t>由于</w:t>
            </w:r>
            <w:r>
              <w:rPr>
                <w:rFonts w:hint="default" w:ascii="Times New Roman" w:hAnsi="Times New Roman" w:cs="Times New Roman"/>
                <w:color w:val="FF0000"/>
                <w:kern w:val="0"/>
                <w:sz w:val="24"/>
                <w:szCs w:val="24"/>
                <w:lang w:val="en-US" w:eastAsia="zh-CN" w:bidi="ar"/>
              </w:rPr>
              <w:t>燃烧废气</w:t>
            </w:r>
            <w:r>
              <w:rPr>
                <w:rFonts w:hint="default" w:ascii="Times New Roman" w:hAnsi="Times New Roman" w:eastAsia="宋体" w:cs="Times New Roman"/>
                <w:color w:val="FF0000"/>
                <w:kern w:val="0"/>
                <w:sz w:val="24"/>
                <w:szCs w:val="24"/>
                <w:lang w:val="en-US" w:eastAsia="zh-CN" w:bidi="ar"/>
              </w:rPr>
              <w:t>会</w:t>
            </w:r>
            <w:r>
              <w:rPr>
                <w:rFonts w:hint="default" w:ascii="Times New Roman" w:hAnsi="Times New Roman" w:cs="Times New Roman"/>
                <w:color w:val="FF0000"/>
                <w:kern w:val="0"/>
                <w:sz w:val="24"/>
                <w:szCs w:val="24"/>
                <w:lang w:val="en-US" w:eastAsia="zh-CN" w:bidi="ar"/>
              </w:rPr>
              <w:t>将</w:t>
            </w:r>
            <w:r>
              <w:rPr>
                <w:rFonts w:hint="default" w:ascii="Times New Roman" w:hAnsi="Times New Roman" w:eastAsia="宋体" w:cs="Times New Roman"/>
                <w:color w:val="FF0000"/>
                <w:kern w:val="0"/>
                <w:sz w:val="24"/>
                <w:szCs w:val="24"/>
                <w:lang w:val="en-US" w:eastAsia="zh-CN" w:bidi="ar"/>
              </w:rPr>
              <w:t>少量的粉尘带出。类比同类项目，</w:t>
            </w:r>
            <w:r>
              <w:rPr>
                <w:rFonts w:hint="default" w:ascii="Times New Roman" w:hAnsi="Times New Roman" w:cs="Times New Roman"/>
                <w:color w:val="FF0000"/>
                <w:kern w:val="0"/>
                <w:sz w:val="24"/>
                <w:szCs w:val="24"/>
                <w:lang w:val="en-US" w:eastAsia="zh-CN" w:bidi="ar"/>
              </w:rPr>
              <w:t>河砂粒径较小，</w:t>
            </w:r>
            <w:r>
              <w:rPr>
                <w:rFonts w:hint="default" w:ascii="Times New Roman" w:hAnsi="Times New Roman" w:eastAsia="宋体" w:cs="Times New Roman"/>
                <w:color w:val="FF0000"/>
                <w:kern w:val="0"/>
                <w:sz w:val="24"/>
                <w:szCs w:val="24"/>
                <w:lang w:val="en-US" w:eastAsia="zh-CN" w:bidi="ar"/>
              </w:rPr>
              <w:t>烘干机烘干过程中粉尘产生量约0.1kg/t物料</w:t>
            </w:r>
            <w:r>
              <w:rPr>
                <w:rFonts w:hint="default" w:ascii="Times New Roman" w:hAnsi="Times New Roman" w:cs="Times New Roman"/>
                <w:color w:val="FF0000"/>
                <w:kern w:val="0"/>
                <w:sz w:val="24"/>
                <w:szCs w:val="24"/>
                <w:lang w:val="en-US" w:eastAsia="zh-CN" w:bidi="ar"/>
              </w:rPr>
              <w:t>，鹅卵石为大粒径粉尘产生量较少，按0.06kg/t物料计算</w:t>
            </w:r>
            <w:r>
              <w:rPr>
                <w:rFonts w:hint="default" w:ascii="Times New Roman" w:hAnsi="Times New Roman" w:eastAsia="宋体" w:cs="Times New Roman"/>
                <w:color w:val="FF0000"/>
                <w:kern w:val="0"/>
                <w:sz w:val="24"/>
                <w:szCs w:val="24"/>
                <w:lang w:val="en-US" w:eastAsia="zh-CN" w:bidi="ar"/>
              </w:rPr>
              <w:t>。根据企业提供资料，本项目</w:t>
            </w:r>
            <w:r>
              <w:rPr>
                <w:rFonts w:hint="default" w:ascii="Times New Roman" w:hAnsi="Times New Roman" w:cs="Times New Roman"/>
                <w:color w:val="FF0000"/>
                <w:kern w:val="0"/>
                <w:sz w:val="24"/>
                <w:szCs w:val="24"/>
                <w:lang w:val="en-US" w:eastAsia="zh-CN" w:bidi="ar"/>
              </w:rPr>
              <w:t>河沙烘干线原料为150000t/a，鹅卵石原料为</w:t>
            </w:r>
            <w:r>
              <w:rPr>
                <w:rFonts w:hint="default" w:ascii="Times New Roman" w:hAnsi="Times New Roman" w:eastAsia="宋体" w:cs="Times New Roman"/>
                <w:color w:val="FF0000"/>
                <w:kern w:val="0"/>
                <w:sz w:val="24"/>
                <w:szCs w:val="24"/>
                <w:lang w:val="en-US" w:eastAsia="zh-CN" w:bidi="ar"/>
              </w:rPr>
              <w:t>250000t/a</w:t>
            </w:r>
            <w:r>
              <w:rPr>
                <w:rFonts w:hint="default" w:ascii="Times New Roman" w:hAnsi="Times New Roman" w:cs="Times New Roman"/>
                <w:color w:val="FF0000"/>
                <w:kern w:val="0"/>
                <w:sz w:val="24"/>
                <w:szCs w:val="24"/>
                <w:lang w:val="en-US" w:eastAsia="zh-CN" w:bidi="ar"/>
              </w:rPr>
              <w:t>，</w:t>
            </w:r>
            <w:r>
              <w:rPr>
                <w:rFonts w:hint="default" w:ascii="Times New Roman" w:hAnsi="Times New Roman" w:eastAsia="宋体" w:cs="Times New Roman"/>
                <w:color w:val="FF0000"/>
                <w:kern w:val="0"/>
                <w:sz w:val="24"/>
                <w:szCs w:val="24"/>
                <w:lang w:val="en-US" w:eastAsia="zh-CN" w:bidi="ar"/>
              </w:rPr>
              <w:t>则</w:t>
            </w:r>
            <w:r>
              <w:rPr>
                <w:rFonts w:hint="default" w:ascii="Times New Roman" w:hAnsi="Times New Roman" w:cs="Times New Roman"/>
                <w:color w:val="FF0000"/>
                <w:kern w:val="0"/>
                <w:sz w:val="24"/>
                <w:szCs w:val="24"/>
                <w:lang w:val="en-US" w:eastAsia="zh-CN" w:bidi="ar"/>
              </w:rPr>
              <w:t>河砂和鹅卵石</w:t>
            </w:r>
            <w:r>
              <w:rPr>
                <w:rFonts w:hint="default" w:ascii="Times New Roman" w:hAnsi="Times New Roman" w:eastAsia="宋体" w:cs="Times New Roman"/>
                <w:color w:val="FF0000"/>
                <w:kern w:val="0"/>
                <w:sz w:val="24"/>
                <w:szCs w:val="24"/>
                <w:lang w:val="en-US" w:eastAsia="zh-CN" w:bidi="ar"/>
              </w:rPr>
              <w:t>烘干粉尘产生量</w:t>
            </w:r>
            <w:r>
              <w:rPr>
                <w:rFonts w:hint="default" w:ascii="Times New Roman" w:hAnsi="Times New Roman" w:cs="Times New Roman"/>
                <w:color w:val="FF0000"/>
                <w:kern w:val="0"/>
                <w:sz w:val="24"/>
                <w:szCs w:val="24"/>
                <w:lang w:val="en-US" w:eastAsia="zh-CN" w:bidi="ar"/>
              </w:rPr>
              <w:t>均为15</w:t>
            </w:r>
            <w:r>
              <w:rPr>
                <w:rFonts w:hint="default" w:ascii="Times New Roman" w:hAnsi="Times New Roman" w:eastAsia="宋体" w:cs="Times New Roman"/>
                <w:color w:val="FF0000"/>
                <w:kern w:val="0"/>
                <w:sz w:val="24"/>
                <w:szCs w:val="24"/>
                <w:lang w:val="en-US" w:eastAsia="zh-CN" w:bidi="ar"/>
              </w:rPr>
              <w:t>.0t/a。</w:t>
            </w:r>
            <w:r>
              <w:rPr>
                <w:rFonts w:hint="default" w:ascii="Times New Roman" w:hAnsi="Times New Roman" w:cs="Times New Roman"/>
                <w:color w:val="FF0000"/>
                <w:kern w:val="0"/>
                <w:sz w:val="24"/>
                <w:szCs w:val="24"/>
                <w:lang w:val="en-US" w:eastAsia="zh-CN" w:bidi="ar"/>
              </w:rPr>
              <w:t>烘干过程全密闭，粉尘分别收集至脉冲布袋除尘器处理后一起汇入排气筒DA001排放。</w:t>
            </w:r>
          </w:p>
          <w:p>
            <w:pPr>
              <w:pStyle w:val="2"/>
              <w:rPr>
                <w:rFonts w:hint="default" w:ascii="Times New Roman" w:hAnsi="Times New Roman" w:cs="Times New Roman"/>
                <w:color w:val="FF0000"/>
                <w:lang w:val="en-US"/>
              </w:rPr>
            </w:pPr>
            <w:r>
              <w:rPr>
                <w:rFonts w:hint="default" w:ascii="Times New Roman" w:hAnsi="Times New Roman" w:cs="Times New Roman"/>
                <w:color w:val="FF0000"/>
                <w:kern w:val="0"/>
                <w:sz w:val="24"/>
                <w:szCs w:val="24"/>
                <w:lang w:val="en-US" w:eastAsia="zh-CN" w:bidi="ar"/>
              </w:rPr>
              <w:t>②</w:t>
            </w:r>
            <w:r>
              <w:rPr>
                <w:rFonts w:hint="default" w:ascii="Times New Roman" w:hAnsi="Times New Roman" w:cs="Times New Roman"/>
                <w:color w:val="FF0000"/>
                <w:lang w:val="en-US" w:eastAsia="zh-CN"/>
              </w:rPr>
              <w:t>天然气燃烧废气</w:t>
            </w:r>
          </w:p>
          <w:p>
            <w:pPr>
              <w:keepNext w:val="0"/>
              <w:keepLines w:val="0"/>
              <w:widowControl/>
              <w:suppressLineNumbers w:val="0"/>
              <w:jc w:val="left"/>
              <w:rPr>
                <w:rFonts w:hint="default" w:ascii="Times New Roman" w:hAnsi="Times New Roman" w:cs="Times New Roman"/>
                <w:color w:val="FF0000"/>
              </w:rPr>
            </w:pPr>
            <w:r>
              <w:rPr>
                <w:rFonts w:hint="default" w:ascii="Times New Roman" w:hAnsi="Times New Roman" w:eastAsia="宋体" w:cs="Times New Roman"/>
                <w:color w:val="FF0000"/>
                <w:kern w:val="0"/>
                <w:sz w:val="24"/>
                <w:szCs w:val="24"/>
                <w:lang w:val="en-US" w:eastAsia="zh-CN" w:bidi="ar"/>
              </w:rPr>
              <w:t>烘干筒采用天然气作为能源，燃料燃烧过程中产生燃烧废气，主要污染物为颗粒物、SO</w:t>
            </w:r>
            <w:r>
              <w:rPr>
                <w:rFonts w:hint="default" w:ascii="Times New Roman" w:hAnsi="Times New Roman" w:eastAsia="宋体" w:cs="Times New Roman"/>
                <w:color w:val="FF0000"/>
                <w:kern w:val="0"/>
                <w:sz w:val="15"/>
                <w:szCs w:val="15"/>
                <w:lang w:val="en-US" w:eastAsia="zh-CN" w:bidi="ar"/>
              </w:rPr>
              <w:t>2</w:t>
            </w:r>
            <w:r>
              <w:rPr>
                <w:rFonts w:hint="default" w:ascii="Times New Roman" w:hAnsi="Times New Roman" w:eastAsia="宋体" w:cs="Times New Roman"/>
                <w:color w:val="FF0000"/>
                <w:kern w:val="0"/>
                <w:sz w:val="24"/>
                <w:szCs w:val="24"/>
                <w:lang w:val="en-US" w:eastAsia="zh-CN" w:bidi="ar"/>
              </w:rPr>
              <w:t>、NO</w:t>
            </w:r>
            <w:r>
              <w:rPr>
                <w:rFonts w:hint="default" w:ascii="Times New Roman" w:hAnsi="Times New Roman" w:eastAsia="宋体" w:cs="Times New Roman"/>
                <w:color w:val="FF0000"/>
                <w:kern w:val="0"/>
                <w:sz w:val="15"/>
                <w:szCs w:val="15"/>
                <w:lang w:val="en-US" w:eastAsia="zh-CN" w:bidi="ar"/>
              </w:rPr>
              <w:t>X</w:t>
            </w:r>
            <w:r>
              <w:rPr>
                <w:rFonts w:hint="default" w:ascii="Times New Roman" w:hAnsi="Times New Roman" w:eastAsia="宋体" w:cs="Times New Roman"/>
                <w:color w:val="FF0000"/>
                <w:kern w:val="0"/>
                <w:sz w:val="24"/>
                <w:szCs w:val="24"/>
                <w:lang w:val="en-US" w:eastAsia="zh-CN" w:bidi="ar"/>
              </w:rPr>
              <w:t>。根据厂家提供的技术参数，项目烘干线共计</w:t>
            </w:r>
            <w:r>
              <w:rPr>
                <w:rFonts w:hint="default" w:ascii="Times New Roman" w:hAnsi="Times New Roman" w:cs="Times New Roman"/>
                <w:color w:val="FF0000"/>
                <w:kern w:val="0"/>
                <w:sz w:val="24"/>
                <w:szCs w:val="24"/>
                <w:lang w:val="en-US" w:eastAsia="zh-CN" w:bidi="ar"/>
              </w:rPr>
              <w:t>2</w:t>
            </w:r>
            <w:r>
              <w:rPr>
                <w:rFonts w:hint="default" w:ascii="Times New Roman" w:hAnsi="Times New Roman" w:eastAsia="宋体" w:cs="Times New Roman"/>
                <w:color w:val="FF0000"/>
                <w:kern w:val="0"/>
                <w:sz w:val="24"/>
                <w:szCs w:val="24"/>
                <w:lang w:val="en-US" w:eastAsia="zh-CN" w:bidi="ar"/>
              </w:rPr>
              <w:t>台天然气燃烧器，天然气消耗量</w:t>
            </w:r>
            <w:r>
              <w:rPr>
                <w:rFonts w:hint="default" w:ascii="Times New Roman" w:hAnsi="Times New Roman" w:cs="Times New Roman"/>
                <w:color w:val="FF0000"/>
                <w:kern w:val="0"/>
                <w:sz w:val="24"/>
                <w:szCs w:val="24"/>
                <w:lang w:val="en-US" w:eastAsia="zh-CN" w:bidi="ar"/>
              </w:rPr>
              <w:t>共计500</w:t>
            </w:r>
            <w:r>
              <w:rPr>
                <w:rFonts w:hint="default" w:ascii="Times New Roman" w:hAnsi="Times New Roman" w:eastAsia="宋体" w:cs="Times New Roman"/>
                <w:color w:val="FF0000"/>
                <w:kern w:val="0"/>
                <w:sz w:val="24"/>
                <w:szCs w:val="24"/>
                <w:lang w:val="en-US" w:eastAsia="zh-CN" w:bidi="ar"/>
              </w:rPr>
              <w:t>m</w:t>
            </w:r>
            <w:r>
              <w:rPr>
                <w:rFonts w:hint="default" w:ascii="Times New Roman" w:hAnsi="Times New Roman" w:eastAsia="宋体" w:cs="Times New Roman"/>
                <w:color w:val="FF0000"/>
                <w:kern w:val="0"/>
                <w:sz w:val="24"/>
                <w:szCs w:val="24"/>
                <w:vertAlign w:val="superscript"/>
                <w:lang w:val="en-US" w:eastAsia="zh-CN" w:bidi="ar"/>
              </w:rPr>
              <w:t>3</w:t>
            </w:r>
            <w:r>
              <w:rPr>
                <w:rFonts w:hint="default" w:ascii="Times New Roman" w:hAnsi="Times New Roman" w:eastAsia="宋体" w:cs="Times New Roman"/>
                <w:color w:val="FF0000"/>
                <w:kern w:val="0"/>
                <w:sz w:val="24"/>
                <w:szCs w:val="24"/>
                <w:lang w:val="en-US" w:eastAsia="zh-CN" w:bidi="ar"/>
              </w:rPr>
              <w:t>/h，</w:t>
            </w:r>
            <w:r>
              <w:rPr>
                <w:rFonts w:hint="default" w:ascii="Times New Roman" w:hAnsi="Times New Roman" w:cs="Times New Roman"/>
                <w:color w:val="FF0000"/>
                <w:kern w:val="0"/>
                <w:sz w:val="24"/>
                <w:szCs w:val="24"/>
                <w:lang w:val="en-US" w:eastAsia="zh-CN" w:bidi="ar"/>
              </w:rPr>
              <w:t>其中河沙烘干天然气消耗量433.33</w:t>
            </w:r>
            <w:r>
              <w:rPr>
                <w:rFonts w:hint="default" w:ascii="Times New Roman" w:hAnsi="Times New Roman" w:eastAsia="宋体" w:cs="Times New Roman"/>
                <w:color w:val="FF0000"/>
                <w:kern w:val="0"/>
                <w:sz w:val="24"/>
                <w:szCs w:val="24"/>
                <w:lang w:val="en-US" w:eastAsia="zh-CN" w:bidi="ar"/>
              </w:rPr>
              <w:t>m</w:t>
            </w:r>
            <w:r>
              <w:rPr>
                <w:rFonts w:hint="default" w:ascii="Times New Roman" w:hAnsi="Times New Roman" w:eastAsia="宋体" w:cs="Times New Roman"/>
                <w:color w:val="FF0000"/>
                <w:kern w:val="0"/>
                <w:sz w:val="24"/>
                <w:szCs w:val="24"/>
                <w:vertAlign w:val="superscript"/>
                <w:lang w:val="en-US" w:eastAsia="zh-CN" w:bidi="ar"/>
              </w:rPr>
              <w:t>3</w:t>
            </w:r>
            <w:r>
              <w:rPr>
                <w:rFonts w:hint="default" w:ascii="Times New Roman" w:hAnsi="Times New Roman" w:eastAsia="宋体" w:cs="Times New Roman"/>
                <w:color w:val="FF0000"/>
                <w:kern w:val="0"/>
                <w:sz w:val="24"/>
                <w:szCs w:val="24"/>
                <w:lang w:val="en-US" w:eastAsia="zh-CN" w:bidi="ar"/>
              </w:rPr>
              <w:t>/h</w:t>
            </w:r>
            <w:r>
              <w:rPr>
                <w:rFonts w:hint="default" w:ascii="Times New Roman" w:hAnsi="Times New Roman" w:cs="Times New Roman"/>
                <w:color w:val="FF0000"/>
                <w:kern w:val="0"/>
                <w:sz w:val="24"/>
                <w:szCs w:val="24"/>
                <w:lang w:val="en-US" w:eastAsia="zh-CN" w:bidi="ar"/>
              </w:rPr>
              <w:t>，</w:t>
            </w:r>
            <w:r>
              <w:rPr>
                <w:rFonts w:hint="default" w:ascii="Times New Roman" w:hAnsi="Times New Roman" w:eastAsia="宋体" w:cs="Times New Roman"/>
                <w:color w:val="FF0000"/>
                <w:kern w:val="0"/>
                <w:sz w:val="24"/>
                <w:szCs w:val="24"/>
                <w:lang w:val="en-US" w:eastAsia="zh-CN" w:bidi="ar"/>
              </w:rPr>
              <w:t>年工作时间为5000h，天然气消耗量为250万m</w:t>
            </w:r>
            <w:r>
              <w:rPr>
                <w:rFonts w:hint="default" w:ascii="Times New Roman" w:hAnsi="Times New Roman" w:eastAsia="宋体" w:cs="Times New Roman"/>
                <w:color w:val="FF0000"/>
                <w:kern w:val="0"/>
                <w:sz w:val="24"/>
                <w:szCs w:val="24"/>
                <w:vertAlign w:val="superscript"/>
                <w:lang w:val="en-US" w:eastAsia="zh-CN" w:bidi="ar"/>
              </w:rPr>
              <w:t>3</w:t>
            </w:r>
            <w:r>
              <w:rPr>
                <w:rFonts w:hint="default" w:ascii="Times New Roman" w:hAnsi="Times New Roman" w:eastAsia="宋体" w:cs="Times New Roman"/>
                <w:color w:val="FF0000"/>
                <w:kern w:val="0"/>
                <w:sz w:val="24"/>
                <w:szCs w:val="24"/>
                <w:lang w:val="en-US" w:eastAsia="zh-CN" w:bidi="ar"/>
              </w:rPr>
              <w:t>/a</w:t>
            </w:r>
            <w:r>
              <w:rPr>
                <w:rFonts w:hint="default" w:ascii="Times New Roman" w:hAnsi="Times New Roman" w:cs="Times New Roman"/>
                <w:color w:val="FF0000"/>
                <w:kern w:val="0"/>
                <w:sz w:val="24"/>
                <w:szCs w:val="24"/>
                <w:lang w:val="en-US" w:eastAsia="zh-CN" w:bidi="ar"/>
              </w:rPr>
              <w:t>，鹅卵石烘干天然气消耗量</w:t>
            </w:r>
            <w:r>
              <w:rPr>
                <w:rFonts w:hint="default" w:ascii="Times New Roman" w:hAnsi="Times New Roman" w:eastAsia="宋体" w:cs="Times New Roman"/>
                <w:color w:val="FF0000"/>
                <w:kern w:val="0"/>
                <w:sz w:val="24"/>
                <w:szCs w:val="24"/>
                <w:lang w:val="en-US" w:eastAsia="zh-CN" w:bidi="ar"/>
              </w:rPr>
              <w:t>433.33m</w:t>
            </w:r>
            <w:r>
              <w:rPr>
                <w:rFonts w:hint="default" w:ascii="Times New Roman" w:hAnsi="Times New Roman" w:eastAsia="宋体" w:cs="Times New Roman"/>
                <w:color w:val="FF0000"/>
                <w:kern w:val="0"/>
                <w:sz w:val="24"/>
                <w:szCs w:val="24"/>
                <w:vertAlign w:val="superscript"/>
                <w:lang w:val="en-US" w:eastAsia="zh-CN" w:bidi="ar"/>
              </w:rPr>
              <w:t>3</w:t>
            </w:r>
            <w:r>
              <w:rPr>
                <w:rFonts w:hint="default" w:ascii="Times New Roman" w:hAnsi="Times New Roman" w:eastAsia="宋体" w:cs="Times New Roman"/>
                <w:color w:val="FF0000"/>
                <w:kern w:val="0"/>
                <w:sz w:val="24"/>
                <w:szCs w:val="24"/>
                <w:lang w:val="en-US" w:eastAsia="zh-CN" w:bidi="ar"/>
              </w:rPr>
              <w:t>/h，年工作时间为3000h，天然气消耗量为130万m</w:t>
            </w:r>
            <w:r>
              <w:rPr>
                <w:rFonts w:hint="default" w:ascii="Times New Roman" w:hAnsi="Times New Roman" w:eastAsia="宋体" w:cs="Times New Roman"/>
                <w:color w:val="FF0000"/>
                <w:kern w:val="0"/>
                <w:sz w:val="24"/>
                <w:szCs w:val="24"/>
                <w:vertAlign w:val="superscript"/>
                <w:lang w:val="en-US" w:eastAsia="zh-CN" w:bidi="ar"/>
              </w:rPr>
              <w:t>3</w:t>
            </w:r>
            <w:r>
              <w:rPr>
                <w:rFonts w:hint="default" w:ascii="Times New Roman" w:hAnsi="Times New Roman" w:eastAsia="宋体" w:cs="Times New Roman"/>
                <w:color w:val="FF0000"/>
                <w:kern w:val="0"/>
                <w:sz w:val="24"/>
                <w:szCs w:val="24"/>
                <w:lang w:val="en-US" w:eastAsia="zh-CN" w:bidi="ar"/>
              </w:rPr>
              <w:t>/a</w:t>
            </w:r>
            <w:r>
              <w:rPr>
                <w:rFonts w:hint="default" w:ascii="Times New Roman" w:hAnsi="Times New Roman" w:cs="Times New Roman"/>
                <w:color w:val="FF0000"/>
                <w:kern w:val="0"/>
                <w:sz w:val="24"/>
                <w:szCs w:val="24"/>
                <w:lang w:val="en-US" w:eastAsia="zh-CN" w:bidi="ar"/>
              </w:rPr>
              <w:t>，合计年天然气消耗量380</w:t>
            </w:r>
            <w:r>
              <w:rPr>
                <w:rFonts w:hint="default" w:ascii="Times New Roman" w:hAnsi="Times New Roman" w:eastAsia="宋体" w:cs="Times New Roman"/>
                <w:color w:val="FF0000"/>
                <w:kern w:val="0"/>
                <w:sz w:val="24"/>
                <w:szCs w:val="24"/>
                <w:lang w:val="en-US" w:eastAsia="zh-CN" w:bidi="ar"/>
              </w:rPr>
              <w:t>万m</w:t>
            </w:r>
            <w:r>
              <w:rPr>
                <w:rFonts w:hint="default" w:ascii="Times New Roman" w:hAnsi="Times New Roman" w:eastAsia="宋体" w:cs="Times New Roman"/>
                <w:color w:val="FF0000"/>
                <w:kern w:val="0"/>
                <w:sz w:val="24"/>
                <w:szCs w:val="24"/>
                <w:vertAlign w:val="superscript"/>
                <w:lang w:val="en-US" w:eastAsia="zh-CN" w:bidi="ar"/>
              </w:rPr>
              <w:t>3</w:t>
            </w:r>
            <w:r>
              <w:rPr>
                <w:rFonts w:hint="default" w:ascii="Times New Roman" w:hAnsi="Times New Roman" w:eastAsia="宋体" w:cs="Times New Roman"/>
                <w:color w:val="FF0000"/>
                <w:kern w:val="0"/>
                <w:sz w:val="24"/>
                <w:szCs w:val="24"/>
                <w:lang w:val="en-US" w:eastAsia="zh-CN" w:bidi="ar"/>
              </w:rPr>
              <w:t>/a。参考《排放源统计调查产排污核算方法和系数手册》（2021年6月）中33-37，431-434 机械行业系数手册，天然气热风炉污染物产污系数及产生量见下表：</w:t>
            </w:r>
          </w:p>
          <w:p>
            <w:pPr>
              <w:keepNext w:val="0"/>
              <w:keepLines w:val="0"/>
              <w:widowControl/>
              <w:suppressLineNumbers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表4-5 工艺天然气炉窑产排污系数及污染物产生量计算</w:t>
            </w:r>
          </w:p>
          <w:tbl>
            <w:tblPr>
              <w:tblStyle w:val="21"/>
              <w:tblW w:w="8454" w:type="dxa"/>
              <w:tblInd w:w="-1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786"/>
              <w:gridCol w:w="786"/>
              <w:gridCol w:w="786"/>
              <w:gridCol w:w="786"/>
              <w:gridCol w:w="1002"/>
              <w:gridCol w:w="750"/>
              <w:gridCol w:w="1198"/>
              <w:gridCol w:w="1093"/>
              <w:gridCol w:w="12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78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原料名称</w:t>
                  </w:r>
                </w:p>
              </w:tc>
              <w:tc>
                <w:tcPr>
                  <w:tcW w:w="78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工艺名称</w:t>
                  </w:r>
                </w:p>
              </w:tc>
              <w:tc>
                <w:tcPr>
                  <w:tcW w:w="78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规模等级</w:t>
                  </w:r>
                </w:p>
              </w:tc>
              <w:tc>
                <w:tcPr>
                  <w:tcW w:w="78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污染物</w:t>
                  </w:r>
                </w:p>
              </w:tc>
              <w:tc>
                <w:tcPr>
                  <w:tcW w:w="100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单位</w:t>
                  </w:r>
                </w:p>
              </w:tc>
              <w:tc>
                <w:tcPr>
                  <w:tcW w:w="75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产污系数</w:t>
                  </w:r>
                </w:p>
              </w:tc>
              <w:tc>
                <w:tcPr>
                  <w:tcW w:w="119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河砂生产线</w:t>
                  </w:r>
                  <w:r>
                    <w:rPr>
                      <w:rStyle w:val="35"/>
                      <w:rFonts w:hint="default" w:ascii="Times New Roman" w:hAnsi="Times New Roman" w:cs="Times New Roman"/>
                      <w:sz w:val="21"/>
                      <w:szCs w:val="21"/>
                      <w:lang w:val="en-US" w:eastAsia="zh-CN" w:bidi="ar"/>
                    </w:rPr>
                    <w:t>产生量（</w:t>
                  </w:r>
                  <w:r>
                    <w:rPr>
                      <w:rStyle w:val="36"/>
                      <w:rFonts w:hint="default" w:ascii="Times New Roman" w:hAnsi="Times New Roman" w:eastAsia="宋体" w:cs="Times New Roman"/>
                      <w:sz w:val="21"/>
                      <w:szCs w:val="21"/>
                      <w:lang w:val="en-US" w:eastAsia="zh-CN" w:bidi="ar"/>
                    </w:rPr>
                    <w:t>t/a</w:t>
                  </w:r>
                  <w:r>
                    <w:rPr>
                      <w:rStyle w:val="35"/>
                      <w:rFonts w:hint="default" w:ascii="Times New Roman" w:hAnsi="Times New Roman" w:cs="Times New Roman"/>
                      <w:sz w:val="21"/>
                      <w:szCs w:val="21"/>
                      <w:lang w:val="en-US" w:eastAsia="zh-CN" w:bidi="ar"/>
                    </w:rPr>
                    <w:t>）</w:t>
                  </w:r>
                </w:p>
              </w:tc>
              <w:tc>
                <w:tcPr>
                  <w:tcW w:w="10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鹅卵石生产线</w:t>
                  </w:r>
                  <w:r>
                    <w:rPr>
                      <w:rStyle w:val="35"/>
                      <w:rFonts w:hint="default" w:ascii="Times New Roman" w:hAnsi="Times New Roman" w:cs="Times New Roman"/>
                      <w:sz w:val="21"/>
                      <w:szCs w:val="21"/>
                      <w:lang w:val="en-US" w:eastAsia="zh-CN" w:bidi="ar"/>
                    </w:rPr>
                    <w:t>产生量（</w:t>
                  </w:r>
                  <w:r>
                    <w:rPr>
                      <w:rStyle w:val="36"/>
                      <w:rFonts w:hint="default" w:ascii="Times New Roman" w:hAnsi="Times New Roman" w:eastAsia="宋体" w:cs="Times New Roman"/>
                      <w:sz w:val="21"/>
                      <w:szCs w:val="21"/>
                      <w:lang w:val="en-US" w:eastAsia="zh-CN" w:bidi="ar"/>
                    </w:rPr>
                    <w:t>t/a</w:t>
                  </w:r>
                  <w:r>
                    <w:rPr>
                      <w:rStyle w:val="35"/>
                      <w:rFonts w:hint="default" w:ascii="Times New Roman" w:hAnsi="Times New Roman" w:cs="Times New Roman"/>
                      <w:sz w:val="21"/>
                      <w:szCs w:val="21"/>
                      <w:lang w:val="en-US" w:eastAsia="zh-CN" w:bidi="ar"/>
                    </w:rPr>
                    <w:t>）</w:t>
                  </w:r>
                </w:p>
              </w:tc>
              <w:tc>
                <w:tcPr>
                  <w:tcW w:w="126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合计</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Style w:val="35"/>
                      <w:rFonts w:hint="default" w:ascii="Times New Roman" w:hAnsi="Times New Roman" w:cs="Times New Roman"/>
                      <w:sz w:val="21"/>
                      <w:szCs w:val="21"/>
                      <w:lang w:val="en-US" w:eastAsia="zh-CN" w:bidi="ar"/>
                    </w:rPr>
                    <w:t>（</w:t>
                  </w:r>
                  <w:r>
                    <w:rPr>
                      <w:rStyle w:val="36"/>
                      <w:rFonts w:hint="default" w:ascii="Times New Roman" w:hAnsi="Times New Roman" w:eastAsia="宋体" w:cs="Times New Roman"/>
                      <w:sz w:val="21"/>
                      <w:szCs w:val="21"/>
                      <w:lang w:val="en-US" w:eastAsia="zh-CN" w:bidi="ar"/>
                    </w:rPr>
                    <w:t>t/a</w:t>
                  </w:r>
                  <w:r>
                    <w:rPr>
                      <w:rStyle w:val="35"/>
                      <w:rFonts w:hint="default" w:ascii="Times New Roman" w:hAnsi="Times New Roman" w:cs="Times New Roman"/>
                      <w:sz w:val="21"/>
                      <w:szCs w:val="21"/>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786" w:type="dxa"/>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天然气</w:t>
                  </w:r>
                </w:p>
              </w:tc>
              <w:tc>
                <w:tcPr>
                  <w:tcW w:w="786" w:type="dxa"/>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天然气工业炉窑</w:t>
                  </w:r>
                </w:p>
              </w:tc>
              <w:tc>
                <w:tcPr>
                  <w:tcW w:w="786" w:type="dxa"/>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所有规模</w:t>
                  </w:r>
                </w:p>
              </w:tc>
              <w:tc>
                <w:tcPr>
                  <w:tcW w:w="78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工业废气量</w:t>
                  </w:r>
                </w:p>
              </w:tc>
              <w:tc>
                <w:tcPr>
                  <w:tcW w:w="100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m</w:t>
                  </w:r>
                  <w:r>
                    <w:rPr>
                      <w:rStyle w:val="37"/>
                      <w:rFonts w:hint="default" w:ascii="Times New Roman" w:hAnsi="Times New Roman" w:eastAsia="宋体" w:cs="Times New Roman"/>
                      <w:sz w:val="21"/>
                      <w:szCs w:val="21"/>
                      <w:lang w:val="en-US" w:eastAsia="zh-CN" w:bidi="ar"/>
                    </w:rPr>
                    <w:t>3</w:t>
                  </w:r>
                  <w:r>
                    <w:rPr>
                      <w:rStyle w:val="36"/>
                      <w:rFonts w:hint="default" w:ascii="Times New Roman" w:hAnsi="Times New Roman" w:eastAsia="宋体" w:cs="Times New Roman"/>
                      <w:sz w:val="21"/>
                      <w:szCs w:val="21"/>
                      <w:lang w:val="en-US" w:eastAsia="zh-CN" w:bidi="ar"/>
                    </w:rPr>
                    <w:t>/m</w:t>
                  </w:r>
                  <w:r>
                    <w:rPr>
                      <w:rStyle w:val="37"/>
                      <w:rFonts w:hint="default" w:ascii="Times New Roman" w:hAnsi="Times New Roman" w:eastAsia="宋体" w:cs="Times New Roman"/>
                      <w:sz w:val="21"/>
                      <w:szCs w:val="21"/>
                      <w:lang w:val="en-US" w:eastAsia="zh-CN" w:bidi="ar"/>
                    </w:rPr>
                    <w:t>3</w:t>
                  </w:r>
                  <w:r>
                    <w:rPr>
                      <w:rStyle w:val="36"/>
                      <w:rFonts w:hint="default" w:ascii="Times New Roman" w:hAnsi="Times New Roman" w:eastAsia="宋体" w:cs="Times New Roman"/>
                      <w:sz w:val="21"/>
                      <w:szCs w:val="21"/>
                      <w:lang w:val="en-US" w:eastAsia="zh-CN" w:bidi="ar"/>
                    </w:rPr>
                    <w:t>-</w:t>
                  </w:r>
                  <w:r>
                    <w:rPr>
                      <w:rStyle w:val="35"/>
                      <w:rFonts w:hint="default" w:ascii="Times New Roman" w:hAnsi="Times New Roman" w:cs="Times New Roman"/>
                      <w:sz w:val="21"/>
                      <w:szCs w:val="21"/>
                      <w:lang w:val="en-US" w:eastAsia="zh-CN" w:bidi="ar"/>
                    </w:rPr>
                    <w:t>原料</w:t>
                  </w:r>
                </w:p>
              </w:tc>
              <w:tc>
                <w:tcPr>
                  <w:tcW w:w="75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13.6</w:t>
                  </w:r>
                </w:p>
              </w:tc>
              <w:tc>
                <w:tcPr>
                  <w:tcW w:w="119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1.77*10</w:t>
                  </w:r>
                  <w:r>
                    <w:rPr>
                      <w:rStyle w:val="37"/>
                      <w:rFonts w:hint="default" w:ascii="Times New Roman" w:hAnsi="Times New Roman" w:eastAsia="宋体" w:cs="Times New Roman"/>
                      <w:sz w:val="21"/>
                      <w:szCs w:val="21"/>
                      <w:lang w:val="en-US" w:eastAsia="zh-CN" w:bidi="ar"/>
                    </w:rPr>
                    <w:t>7</w:t>
                  </w:r>
                  <w:r>
                    <w:rPr>
                      <w:rStyle w:val="36"/>
                      <w:rFonts w:hint="default" w:ascii="Times New Roman" w:hAnsi="Times New Roman" w:eastAsia="宋体" w:cs="Times New Roman"/>
                      <w:sz w:val="21"/>
                      <w:szCs w:val="21"/>
                      <w:lang w:val="en-US" w:eastAsia="zh-CN" w:bidi="ar"/>
                    </w:rPr>
                    <w:t>m</w:t>
                  </w:r>
                  <w:r>
                    <w:rPr>
                      <w:rStyle w:val="37"/>
                      <w:rFonts w:hint="default" w:ascii="Times New Roman" w:hAnsi="Times New Roman" w:eastAsia="宋体" w:cs="Times New Roman"/>
                      <w:sz w:val="21"/>
                      <w:szCs w:val="21"/>
                      <w:lang w:val="en-US" w:eastAsia="zh-CN" w:bidi="ar"/>
                    </w:rPr>
                    <w:t>3</w:t>
                  </w:r>
                </w:p>
              </w:tc>
              <w:tc>
                <w:tcPr>
                  <w:tcW w:w="10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3.4*10</w:t>
                  </w:r>
                  <w:r>
                    <w:rPr>
                      <w:rStyle w:val="37"/>
                      <w:rFonts w:hint="default" w:ascii="Times New Roman" w:hAnsi="Times New Roman" w:eastAsia="宋体" w:cs="Times New Roman"/>
                      <w:sz w:val="21"/>
                      <w:szCs w:val="21"/>
                      <w:lang w:val="en-US" w:eastAsia="zh-CN" w:bidi="ar"/>
                    </w:rPr>
                    <w:t>7</w:t>
                  </w:r>
                  <w:r>
                    <w:rPr>
                      <w:rStyle w:val="36"/>
                      <w:rFonts w:hint="default" w:ascii="Times New Roman" w:hAnsi="Times New Roman" w:eastAsia="宋体" w:cs="Times New Roman"/>
                      <w:sz w:val="21"/>
                      <w:szCs w:val="21"/>
                      <w:lang w:val="en-US" w:eastAsia="zh-CN" w:bidi="ar"/>
                    </w:rPr>
                    <w:t>m</w:t>
                  </w:r>
                  <w:r>
                    <w:rPr>
                      <w:rStyle w:val="37"/>
                      <w:rFonts w:hint="default" w:ascii="Times New Roman" w:hAnsi="Times New Roman" w:eastAsia="宋体" w:cs="Times New Roman"/>
                      <w:sz w:val="21"/>
                      <w:szCs w:val="21"/>
                      <w:lang w:val="en-US" w:eastAsia="zh-CN" w:bidi="ar"/>
                    </w:rPr>
                    <w:t>3</w:t>
                  </w:r>
                </w:p>
              </w:tc>
              <w:tc>
                <w:tcPr>
                  <w:tcW w:w="126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5.17*10</w:t>
                  </w:r>
                  <w:r>
                    <w:rPr>
                      <w:rFonts w:hint="default" w:ascii="Times New Roman" w:hAnsi="Times New Roman" w:eastAsia="宋体" w:cs="Times New Roman"/>
                      <w:i w:val="0"/>
                      <w:iCs w:val="0"/>
                      <w:color w:val="000000"/>
                      <w:kern w:val="0"/>
                      <w:sz w:val="21"/>
                      <w:szCs w:val="21"/>
                      <w:u w:val="none"/>
                      <w:vertAlign w:val="superscript"/>
                      <w:lang w:val="en-US" w:eastAsia="zh-CN" w:bidi="ar"/>
                    </w:rPr>
                    <w:t>7</w:t>
                  </w:r>
                  <w:r>
                    <w:rPr>
                      <w:rFonts w:hint="default" w:ascii="Times New Roman" w:hAnsi="Times New Roman" w:eastAsia="宋体" w:cs="Times New Roman"/>
                      <w:i w:val="0"/>
                      <w:iCs w:val="0"/>
                      <w:color w:val="000000"/>
                      <w:kern w:val="0"/>
                      <w:sz w:val="21"/>
                      <w:szCs w:val="21"/>
                      <w:u w:val="none"/>
                      <w:lang w:val="en-US" w:eastAsia="zh-CN" w:bidi="ar"/>
                    </w:rPr>
                    <w:t>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786" w:type="dxa"/>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86" w:type="dxa"/>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86" w:type="dxa"/>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8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颗粒物</w:t>
                  </w:r>
                </w:p>
              </w:tc>
              <w:tc>
                <w:tcPr>
                  <w:tcW w:w="100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kg/</w:t>
                  </w:r>
                  <w:r>
                    <w:rPr>
                      <w:rStyle w:val="35"/>
                      <w:rFonts w:hint="default" w:ascii="Times New Roman" w:hAnsi="Times New Roman" w:cs="Times New Roman"/>
                      <w:sz w:val="21"/>
                      <w:szCs w:val="21"/>
                      <w:lang w:val="en-US" w:eastAsia="zh-CN" w:bidi="ar"/>
                    </w:rPr>
                    <w:t>万</w:t>
                  </w:r>
                  <w:r>
                    <w:rPr>
                      <w:rStyle w:val="36"/>
                      <w:rFonts w:hint="default" w:ascii="Times New Roman" w:hAnsi="Times New Roman" w:eastAsia="宋体" w:cs="Times New Roman"/>
                      <w:sz w:val="21"/>
                      <w:szCs w:val="21"/>
                      <w:lang w:val="en-US" w:eastAsia="zh-CN" w:bidi="ar"/>
                    </w:rPr>
                    <w:t>m</w:t>
                  </w:r>
                  <w:r>
                    <w:rPr>
                      <w:rStyle w:val="37"/>
                      <w:rFonts w:hint="default" w:ascii="Times New Roman" w:hAnsi="Times New Roman" w:eastAsia="宋体" w:cs="Times New Roman"/>
                      <w:sz w:val="21"/>
                      <w:szCs w:val="21"/>
                      <w:lang w:val="en-US" w:eastAsia="zh-CN" w:bidi="ar"/>
                    </w:rPr>
                    <w:t>3</w:t>
                  </w:r>
                  <w:r>
                    <w:rPr>
                      <w:rStyle w:val="36"/>
                      <w:rFonts w:hint="default" w:ascii="Times New Roman" w:hAnsi="Times New Roman" w:eastAsia="宋体" w:cs="Times New Roman"/>
                      <w:sz w:val="21"/>
                      <w:szCs w:val="21"/>
                      <w:lang w:val="en-US" w:eastAsia="zh-CN" w:bidi="ar"/>
                    </w:rPr>
                    <w:t>-</w:t>
                  </w:r>
                  <w:r>
                    <w:rPr>
                      <w:rStyle w:val="35"/>
                      <w:rFonts w:hint="default" w:ascii="Times New Roman" w:hAnsi="Times New Roman" w:cs="Times New Roman"/>
                      <w:sz w:val="21"/>
                      <w:szCs w:val="21"/>
                      <w:lang w:val="en-US" w:eastAsia="zh-CN" w:bidi="ar"/>
                    </w:rPr>
                    <w:t>原料</w:t>
                  </w:r>
                </w:p>
              </w:tc>
              <w:tc>
                <w:tcPr>
                  <w:tcW w:w="75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2.86</w:t>
                  </w:r>
                </w:p>
              </w:tc>
              <w:tc>
                <w:tcPr>
                  <w:tcW w:w="119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0.37</w:t>
                  </w:r>
                </w:p>
              </w:tc>
              <w:tc>
                <w:tcPr>
                  <w:tcW w:w="10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0.72</w:t>
                  </w:r>
                </w:p>
              </w:tc>
              <w:tc>
                <w:tcPr>
                  <w:tcW w:w="126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86" w:type="dxa"/>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86" w:type="dxa"/>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86" w:type="dxa"/>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8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二氧化硫</w:t>
                  </w:r>
                </w:p>
              </w:tc>
              <w:tc>
                <w:tcPr>
                  <w:tcW w:w="100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kg/</w:t>
                  </w:r>
                  <w:r>
                    <w:rPr>
                      <w:rStyle w:val="35"/>
                      <w:rFonts w:hint="default" w:ascii="Times New Roman" w:hAnsi="Times New Roman" w:cs="Times New Roman"/>
                      <w:sz w:val="21"/>
                      <w:szCs w:val="21"/>
                      <w:lang w:val="en-US" w:eastAsia="zh-CN" w:bidi="ar"/>
                    </w:rPr>
                    <w:t>万</w:t>
                  </w:r>
                  <w:r>
                    <w:rPr>
                      <w:rStyle w:val="36"/>
                      <w:rFonts w:hint="default" w:ascii="Times New Roman" w:hAnsi="Times New Roman" w:eastAsia="宋体" w:cs="Times New Roman"/>
                      <w:sz w:val="21"/>
                      <w:szCs w:val="21"/>
                      <w:lang w:val="en-US" w:eastAsia="zh-CN" w:bidi="ar"/>
                    </w:rPr>
                    <w:t>m</w:t>
                  </w:r>
                  <w:r>
                    <w:rPr>
                      <w:rStyle w:val="37"/>
                      <w:rFonts w:hint="default" w:ascii="Times New Roman" w:hAnsi="Times New Roman" w:eastAsia="宋体" w:cs="Times New Roman"/>
                      <w:sz w:val="21"/>
                      <w:szCs w:val="21"/>
                      <w:lang w:val="en-US" w:eastAsia="zh-CN" w:bidi="ar"/>
                    </w:rPr>
                    <w:t>3</w:t>
                  </w:r>
                  <w:r>
                    <w:rPr>
                      <w:rStyle w:val="36"/>
                      <w:rFonts w:hint="default" w:ascii="Times New Roman" w:hAnsi="Times New Roman" w:eastAsia="宋体" w:cs="Times New Roman"/>
                      <w:sz w:val="21"/>
                      <w:szCs w:val="21"/>
                      <w:lang w:val="en-US" w:eastAsia="zh-CN" w:bidi="ar"/>
                    </w:rPr>
                    <w:t>-</w:t>
                  </w:r>
                  <w:r>
                    <w:rPr>
                      <w:rStyle w:val="35"/>
                      <w:rFonts w:hint="default" w:ascii="Times New Roman" w:hAnsi="Times New Roman" w:cs="Times New Roman"/>
                      <w:sz w:val="21"/>
                      <w:szCs w:val="21"/>
                      <w:lang w:val="en-US" w:eastAsia="zh-CN" w:bidi="ar"/>
                    </w:rPr>
                    <w:t>原料</w:t>
                  </w:r>
                </w:p>
              </w:tc>
              <w:tc>
                <w:tcPr>
                  <w:tcW w:w="75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0.02S</w:t>
                  </w:r>
                </w:p>
              </w:tc>
              <w:tc>
                <w:tcPr>
                  <w:tcW w:w="119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0.26</w:t>
                  </w:r>
                </w:p>
              </w:tc>
              <w:tc>
                <w:tcPr>
                  <w:tcW w:w="10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0.5</w:t>
                  </w:r>
                </w:p>
              </w:tc>
              <w:tc>
                <w:tcPr>
                  <w:tcW w:w="126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786" w:type="dxa"/>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86" w:type="dxa"/>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86" w:type="dxa"/>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786"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氮氧化物</w:t>
                  </w:r>
                </w:p>
              </w:tc>
              <w:tc>
                <w:tcPr>
                  <w:tcW w:w="100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kg/</w:t>
                  </w:r>
                  <w:r>
                    <w:rPr>
                      <w:rStyle w:val="35"/>
                      <w:rFonts w:hint="default" w:ascii="Times New Roman" w:hAnsi="Times New Roman" w:cs="Times New Roman"/>
                      <w:sz w:val="21"/>
                      <w:szCs w:val="21"/>
                      <w:lang w:val="en-US" w:eastAsia="zh-CN" w:bidi="ar"/>
                    </w:rPr>
                    <w:t>万</w:t>
                  </w:r>
                  <w:r>
                    <w:rPr>
                      <w:rStyle w:val="36"/>
                      <w:rFonts w:hint="default" w:ascii="Times New Roman" w:hAnsi="Times New Roman" w:eastAsia="宋体" w:cs="Times New Roman"/>
                      <w:sz w:val="21"/>
                      <w:szCs w:val="21"/>
                      <w:lang w:val="en-US" w:eastAsia="zh-CN" w:bidi="ar"/>
                    </w:rPr>
                    <w:t>m</w:t>
                  </w:r>
                  <w:r>
                    <w:rPr>
                      <w:rStyle w:val="37"/>
                      <w:rFonts w:hint="default" w:ascii="Times New Roman" w:hAnsi="Times New Roman" w:eastAsia="宋体" w:cs="Times New Roman"/>
                      <w:sz w:val="21"/>
                      <w:szCs w:val="21"/>
                      <w:lang w:val="en-US" w:eastAsia="zh-CN" w:bidi="ar"/>
                    </w:rPr>
                    <w:t>3</w:t>
                  </w:r>
                  <w:r>
                    <w:rPr>
                      <w:rStyle w:val="36"/>
                      <w:rFonts w:hint="default" w:ascii="Times New Roman" w:hAnsi="Times New Roman" w:eastAsia="宋体" w:cs="Times New Roman"/>
                      <w:sz w:val="21"/>
                      <w:szCs w:val="21"/>
                      <w:lang w:val="en-US" w:eastAsia="zh-CN" w:bidi="ar"/>
                    </w:rPr>
                    <w:t>-</w:t>
                  </w:r>
                  <w:r>
                    <w:rPr>
                      <w:rStyle w:val="35"/>
                      <w:rFonts w:hint="default" w:ascii="Times New Roman" w:hAnsi="Times New Roman" w:cs="Times New Roman"/>
                      <w:sz w:val="21"/>
                      <w:szCs w:val="21"/>
                      <w:lang w:val="en-US" w:eastAsia="zh-CN" w:bidi="ar"/>
                    </w:rPr>
                    <w:t>原料</w:t>
                  </w:r>
                </w:p>
              </w:tc>
              <w:tc>
                <w:tcPr>
                  <w:tcW w:w="750"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18.7</w:t>
                  </w:r>
                </w:p>
              </w:tc>
              <w:tc>
                <w:tcPr>
                  <w:tcW w:w="119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2.431</w:t>
                  </w:r>
                </w:p>
              </w:tc>
              <w:tc>
                <w:tcPr>
                  <w:tcW w:w="109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4.675</w:t>
                  </w:r>
                </w:p>
              </w:tc>
              <w:tc>
                <w:tcPr>
                  <w:tcW w:w="126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7.11</w:t>
                  </w:r>
                </w:p>
              </w:tc>
            </w:tr>
          </w:tbl>
          <w:p>
            <w:pPr>
              <w:keepNext w:val="0"/>
              <w:keepLines w:val="0"/>
              <w:widowControl/>
              <w:suppressLineNumbers w:val="0"/>
              <w:jc w:val="left"/>
              <w:rPr>
                <w:rFonts w:hint="default" w:ascii="Times New Roman" w:hAnsi="Times New Roman" w:eastAsia="宋体" w:cs="Times New Roman"/>
                <w:color w:val="FF0000"/>
                <w:kern w:val="0"/>
                <w:sz w:val="21"/>
                <w:szCs w:val="21"/>
                <w:lang w:val="en-US" w:eastAsia="zh-CN" w:bidi="ar"/>
              </w:rPr>
            </w:pPr>
            <w:r>
              <w:rPr>
                <w:rFonts w:hint="default" w:ascii="Times New Roman" w:hAnsi="Times New Roman" w:eastAsia="宋体" w:cs="Times New Roman"/>
                <w:b w:val="0"/>
                <w:bCs w:val="0"/>
                <w:color w:val="FF0000"/>
                <w:kern w:val="0"/>
                <w:sz w:val="21"/>
                <w:szCs w:val="21"/>
                <w:lang w:val="en-US" w:eastAsia="zh-CN" w:bidi="ar"/>
              </w:rPr>
              <w:t>注：</w:t>
            </w:r>
            <w:r>
              <w:rPr>
                <w:rFonts w:hint="default" w:ascii="Times New Roman" w:hAnsi="Times New Roman" w:cs="Times New Roman"/>
                <w:color w:val="FF0000"/>
                <w:sz w:val="21"/>
                <w:szCs w:val="21"/>
              </w:rPr>
              <w:t>天然气含硫量按2类标准100mg/m</w:t>
            </w:r>
            <w:r>
              <w:rPr>
                <w:rFonts w:hint="default" w:ascii="Times New Roman" w:hAnsi="Times New Roman" w:cs="Times New Roman"/>
                <w:color w:val="FF0000"/>
                <w:sz w:val="21"/>
                <w:szCs w:val="21"/>
                <w:vertAlign w:val="superscript"/>
              </w:rPr>
              <w:t>3</w:t>
            </w:r>
            <w:r>
              <w:rPr>
                <w:rFonts w:hint="default" w:ascii="Times New Roman" w:hAnsi="Times New Roman" w:cs="Times New Roman"/>
                <w:color w:val="FF0000"/>
                <w:sz w:val="21"/>
                <w:szCs w:val="21"/>
              </w:rPr>
              <w:t>计</w:t>
            </w:r>
            <w:r>
              <w:rPr>
                <w:rFonts w:hint="default" w:ascii="Times New Roman" w:hAnsi="Times New Roman" w:eastAsia="宋体" w:cs="Times New Roman"/>
                <w:color w:val="FF0000"/>
                <w:kern w:val="0"/>
                <w:sz w:val="21"/>
                <w:szCs w:val="21"/>
                <w:lang w:val="en-US" w:eastAsia="zh-CN" w:bidi="ar"/>
              </w:rPr>
              <w:t>。</w:t>
            </w:r>
          </w:p>
          <w:p>
            <w:pPr>
              <w:bidi w:val="0"/>
              <w:rPr>
                <w:rFonts w:hint="default" w:ascii="Times New Roman" w:hAnsi="Times New Roman" w:cs="Times New Roman"/>
                <w:color w:val="FF0000"/>
                <w:kern w:val="0"/>
                <w:sz w:val="24"/>
                <w:szCs w:val="24"/>
                <w:lang w:val="en-US" w:eastAsia="zh-CN" w:bidi="ar"/>
              </w:rPr>
            </w:pPr>
            <w:r>
              <w:rPr>
                <w:rFonts w:hint="default" w:ascii="Times New Roman" w:hAnsi="Times New Roman" w:cs="Times New Roman"/>
                <w:color w:val="FF0000"/>
                <w:kern w:val="0"/>
                <w:sz w:val="24"/>
                <w:szCs w:val="24"/>
                <w:lang w:val="en-US" w:eastAsia="zh-CN" w:bidi="ar"/>
              </w:rPr>
              <w:t>河沙和鹅卵石烘干过程全密闭，烘干产生的粉尘和天然气燃烧废气分别经管道排入脉冲布袋除尘器处理，经过处理后的废气汇入排气筒DA001排放。</w:t>
            </w:r>
            <w:r>
              <w:rPr>
                <w:rFonts w:hint="default" w:ascii="Times New Roman" w:hAnsi="Times New Roman" w:cs="Times New Roman"/>
                <w:color w:val="FF0000"/>
                <w:lang w:val="en-US" w:eastAsia="zh-CN"/>
              </w:rPr>
              <w:t>风机设计风量为</w:t>
            </w:r>
            <w:r>
              <w:rPr>
                <w:rFonts w:hint="default" w:ascii="Times New Roman" w:hAnsi="Times New Roman" w:cs="Times New Roman"/>
                <w:color w:val="FF0000"/>
                <w:highlight w:val="none"/>
                <w:lang w:val="en-US" w:eastAsia="zh-CN"/>
              </w:rPr>
              <w:t>96000m</w:t>
            </w:r>
            <w:r>
              <w:rPr>
                <w:rFonts w:hint="default" w:ascii="Times New Roman" w:hAnsi="Times New Roman" w:cs="Times New Roman"/>
                <w:color w:val="FF0000"/>
                <w:highlight w:val="none"/>
                <w:vertAlign w:val="superscript"/>
                <w:lang w:val="en-US" w:eastAsia="zh-CN"/>
              </w:rPr>
              <w:t>3</w:t>
            </w:r>
            <w:r>
              <w:rPr>
                <w:rFonts w:hint="default" w:ascii="Times New Roman" w:hAnsi="Times New Roman" w:cs="Times New Roman"/>
                <w:color w:val="FF0000"/>
                <w:highlight w:val="none"/>
                <w:lang w:val="en-US" w:eastAsia="zh-CN"/>
              </w:rPr>
              <w:t>/h，</w:t>
            </w:r>
            <w:r>
              <w:rPr>
                <w:rFonts w:hint="default" w:ascii="Times New Roman" w:hAnsi="Times New Roman" w:cs="Times New Roman"/>
                <w:color w:val="FF0000"/>
                <w:kern w:val="0"/>
                <w:sz w:val="24"/>
                <w:szCs w:val="24"/>
                <w:lang w:val="en-US" w:eastAsia="zh-CN" w:bidi="ar"/>
              </w:rPr>
              <w:t>其中各生产线年工作时间5000h。河砂/鹅卵石烘干废气产生及排放见表4-6。</w:t>
            </w:r>
          </w:p>
          <w:p>
            <w:pPr>
              <w:keepNext w:val="0"/>
              <w:keepLines w:val="0"/>
              <w:widowControl/>
              <w:suppressLineNumbers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表4-6 河砂/鹅卵石烘干工序污染物产生和排放情况</w:t>
            </w:r>
          </w:p>
          <w:tbl>
            <w:tblPr>
              <w:tblStyle w:val="21"/>
              <w:tblW w:w="8651"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829"/>
              <w:gridCol w:w="1028"/>
              <w:gridCol w:w="845"/>
              <w:gridCol w:w="1011"/>
              <w:gridCol w:w="706"/>
              <w:gridCol w:w="1179"/>
              <w:gridCol w:w="845"/>
              <w:gridCol w:w="1195"/>
              <w:gridCol w:w="10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479"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生产线</w:t>
                  </w:r>
                </w:p>
              </w:tc>
              <w:tc>
                <w:tcPr>
                  <w:tcW w:w="594"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污染物</w:t>
                  </w:r>
                </w:p>
              </w:tc>
              <w:tc>
                <w:tcPr>
                  <w:tcW w:w="1072"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产生情况</w:t>
                  </w:r>
                </w:p>
              </w:tc>
              <w:tc>
                <w:tcPr>
                  <w:tcW w:w="408"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收集措施及效率</w:t>
                  </w:r>
                </w:p>
              </w:tc>
              <w:tc>
                <w:tcPr>
                  <w:tcW w:w="681"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治理措施及效率</w:t>
                  </w:r>
                </w:p>
              </w:tc>
              <w:tc>
                <w:tcPr>
                  <w:tcW w:w="1764" w:type="pct"/>
                  <w:gridSpan w:val="3"/>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40" w:hRule="atLeast"/>
              </w:trPr>
              <w:tc>
                <w:tcPr>
                  <w:tcW w:w="479"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59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48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产生量（t/a）</w:t>
                  </w:r>
                </w:p>
              </w:tc>
              <w:tc>
                <w:tcPr>
                  <w:tcW w:w="58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产生速率（kg/h）</w:t>
                  </w:r>
                </w:p>
              </w:tc>
              <w:tc>
                <w:tcPr>
                  <w:tcW w:w="40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681"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48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排放量（t/a）</w:t>
                  </w:r>
                </w:p>
              </w:tc>
              <w:tc>
                <w:tcPr>
                  <w:tcW w:w="6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排放浓度（mg/m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w:t>
                  </w:r>
                </w:p>
              </w:tc>
              <w:tc>
                <w:tcPr>
                  <w:tcW w:w="58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479"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河砂烘干</w:t>
                  </w:r>
                </w:p>
              </w:tc>
              <w:tc>
                <w:tcPr>
                  <w:tcW w:w="5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颗粒物</w:t>
                  </w:r>
                </w:p>
              </w:tc>
              <w:tc>
                <w:tcPr>
                  <w:tcW w:w="48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15.37</w:t>
                  </w:r>
                </w:p>
              </w:tc>
              <w:tc>
                <w:tcPr>
                  <w:tcW w:w="58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3.074</w:t>
                  </w:r>
                </w:p>
              </w:tc>
              <w:tc>
                <w:tcPr>
                  <w:tcW w:w="408"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全过程密闭，100%</w:t>
                  </w:r>
                </w:p>
              </w:tc>
              <w:tc>
                <w:tcPr>
                  <w:tcW w:w="681"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低氮燃烧器（40%）+脉冲布袋除尘器（99.5%）+DA001排气筒</w:t>
                  </w:r>
                </w:p>
              </w:tc>
              <w:tc>
                <w:tcPr>
                  <w:tcW w:w="48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0.08 </w:t>
                  </w:r>
                </w:p>
              </w:tc>
              <w:tc>
                <w:tcPr>
                  <w:tcW w:w="6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0.16 </w:t>
                  </w:r>
                </w:p>
              </w:tc>
              <w:tc>
                <w:tcPr>
                  <w:tcW w:w="58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0.02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479"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5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二氧化硫</w:t>
                  </w:r>
                </w:p>
              </w:tc>
              <w:tc>
                <w:tcPr>
                  <w:tcW w:w="48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0.26</w:t>
                  </w:r>
                </w:p>
              </w:tc>
              <w:tc>
                <w:tcPr>
                  <w:tcW w:w="58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0.05</w:t>
                  </w:r>
                </w:p>
              </w:tc>
              <w:tc>
                <w:tcPr>
                  <w:tcW w:w="40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681"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48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0.26 </w:t>
                  </w:r>
                </w:p>
              </w:tc>
              <w:tc>
                <w:tcPr>
                  <w:tcW w:w="6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0.54 </w:t>
                  </w:r>
                </w:p>
              </w:tc>
              <w:tc>
                <w:tcPr>
                  <w:tcW w:w="58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0.05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479"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5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氮氧化物</w:t>
                  </w:r>
                </w:p>
              </w:tc>
              <w:tc>
                <w:tcPr>
                  <w:tcW w:w="48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2.43</w:t>
                  </w:r>
                </w:p>
              </w:tc>
              <w:tc>
                <w:tcPr>
                  <w:tcW w:w="58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0.49</w:t>
                  </w:r>
                </w:p>
              </w:tc>
              <w:tc>
                <w:tcPr>
                  <w:tcW w:w="40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681"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48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1.46 </w:t>
                  </w:r>
                </w:p>
              </w:tc>
              <w:tc>
                <w:tcPr>
                  <w:tcW w:w="6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3.04 </w:t>
                  </w:r>
                </w:p>
              </w:tc>
              <w:tc>
                <w:tcPr>
                  <w:tcW w:w="58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0.29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479"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鹅卵石烘干</w:t>
                  </w:r>
                </w:p>
              </w:tc>
              <w:tc>
                <w:tcPr>
                  <w:tcW w:w="5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颗粒物</w:t>
                  </w:r>
                </w:p>
              </w:tc>
              <w:tc>
                <w:tcPr>
                  <w:tcW w:w="48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15.72</w:t>
                  </w:r>
                </w:p>
              </w:tc>
              <w:tc>
                <w:tcPr>
                  <w:tcW w:w="58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5.24</w:t>
                  </w:r>
                </w:p>
              </w:tc>
              <w:tc>
                <w:tcPr>
                  <w:tcW w:w="40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681"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低氮燃烧器（40%）+脉冲布袋除尘器（99.5%）+DA001排气筒</w:t>
                  </w:r>
                </w:p>
              </w:tc>
              <w:tc>
                <w:tcPr>
                  <w:tcW w:w="488"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0.08 </w:t>
                  </w:r>
                </w:p>
              </w:tc>
              <w:tc>
                <w:tcPr>
                  <w:tcW w:w="6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0.16 </w:t>
                  </w:r>
                </w:p>
              </w:tc>
              <w:tc>
                <w:tcPr>
                  <w:tcW w:w="58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0.02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479"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5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二氧化硫</w:t>
                  </w:r>
                </w:p>
              </w:tc>
              <w:tc>
                <w:tcPr>
                  <w:tcW w:w="48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0.5</w:t>
                  </w:r>
                </w:p>
              </w:tc>
              <w:tc>
                <w:tcPr>
                  <w:tcW w:w="58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0.17</w:t>
                  </w:r>
                </w:p>
              </w:tc>
              <w:tc>
                <w:tcPr>
                  <w:tcW w:w="40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681"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48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0.50 </w:t>
                  </w:r>
                </w:p>
              </w:tc>
              <w:tc>
                <w:tcPr>
                  <w:tcW w:w="6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1.04 </w:t>
                  </w:r>
                </w:p>
              </w:tc>
              <w:tc>
                <w:tcPr>
                  <w:tcW w:w="58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479"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5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氮氧化物</w:t>
                  </w:r>
                </w:p>
              </w:tc>
              <w:tc>
                <w:tcPr>
                  <w:tcW w:w="48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4.68</w:t>
                  </w:r>
                </w:p>
              </w:tc>
              <w:tc>
                <w:tcPr>
                  <w:tcW w:w="58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1.56</w:t>
                  </w:r>
                </w:p>
              </w:tc>
              <w:tc>
                <w:tcPr>
                  <w:tcW w:w="40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681"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488"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2.81 </w:t>
                  </w:r>
                </w:p>
              </w:tc>
              <w:tc>
                <w:tcPr>
                  <w:tcW w:w="6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5.85 </w:t>
                  </w:r>
                </w:p>
              </w:tc>
              <w:tc>
                <w:tcPr>
                  <w:tcW w:w="58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0.56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479" w:type="pct"/>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合计</w:t>
                  </w:r>
                </w:p>
              </w:tc>
              <w:tc>
                <w:tcPr>
                  <w:tcW w:w="5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颗粒物</w:t>
                  </w:r>
                </w:p>
              </w:tc>
              <w:tc>
                <w:tcPr>
                  <w:tcW w:w="488"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31.09</w:t>
                  </w:r>
                </w:p>
              </w:tc>
              <w:tc>
                <w:tcPr>
                  <w:tcW w:w="58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6.218</w:t>
                  </w:r>
                </w:p>
              </w:tc>
              <w:tc>
                <w:tcPr>
                  <w:tcW w:w="40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681" w:type="pct"/>
                  <w:vMerge w:val="restart"/>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eastAsia="宋体" w:cs="Times New Roman"/>
                      <w:i w:val="0"/>
                      <w:iCs w:val="0"/>
                      <w:color w:val="000000"/>
                      <w:sz w:val="21"/>
                      <w:szCs w:val="21"/>
                      <w:u w:val="none"/>
                      <w:lang w:val="en-US" w:eastAsia="zh-CN"/>
                    </w:rPr>
                    <w:t>/</w:t>
                  </w:r>
                </w:p>
              </w:tc>
              <w:tc>
                <w:tcPr>
                  <w:tcW w:w="488"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0.16 </w:t>
                  </w:r>
                </w:p>
              </w:tc>
              <w:tc>
                <w:tcPr>
                  <w:tcW w:w="690"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0.32 </w:t>
                  </w:r>
                </w:p>
              </w:tc>
              <w:tc>
                <w:tcPr>
                  <w:tcW w:w="58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0.03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479"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5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二氧化硫</w:t>
                  </w:r>
                </w:p>
              </w:tc>
              <w:tc>
                <w:tcPr>
                  <w:tcW w:w="488"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0.76</w:t>
                  </w:r>
                </w:p>
              </w:tc>
              <w:tc>
                <w:tcPr>
                  <w:tcW w:w="58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0.22</w:t>
                  </w:r>
                </w:p>
              </w:tc>
              <w:tc>
                <w:tcPr>
                  <w:tcW w:w="40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681"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488"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0.76 </w:t>
                  </w:r>
                </w:p>
              </w:tc>
              <w:tc>
                <w:tcPr>
                  <w:tcW w:w="690"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1.58 </w:t>
                  </w:r>
                </w:p>
              </w:tc>
              <w:tc>
                <w:tcPr>
                  <w:tcW w:w="58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0.15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5" w:hRule="atLeast"/>
              </w:trPr>
              <w:tc>
                <w:tcPr>
                  <w:tcW w:w="479" w:type="pct"/>
                  <w:vMerge w:val="continue"/>
                  <w:shd w:val="clear" w:color="auto" w:fill="auto"/>
                  <w:noWrap/>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5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氮氧化物</w:t>
                  </w:r>
                </w:p>
              </w:tc>
              <w:tc>
                <w:tcPr>
                  <w:tcW w:w="488"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7.11</w:t>
                  </w:r>
                </w:p>
              </w:tc>
              <w:tc>
                <w:tcPr>
                  <w:tcW w:w="584"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2.04</w:t>
                  </w:r>
                </w:p>
              </w:tc>
              <w:tc>
                <w:tcPr>
                  <w:tcW w:w="40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681"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488"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4.27 </w:t>
                  </w:r>
                </w:p>
              </w:tc>
              <w:tc>
                <w:tcPr>
                  <w:tcW w:w="690"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8.89 </w:t>
                  </w:r>
                </w:p>
              </w:tc>
              <w:tc>
                <w:tcPr>
                  <w:tcW w:w="585"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0.85 </w:t>
                  </w:r>
                </w:p>
              </w:tc>
            </w:tr>
          </w:tbl>
          <w:p>
            <w:pPr>
              <w:numPr>
                <w:ilvl w:val="0"/>
                <w:numId w:val="0"/>
              </w:numPr>
              <w:bidi w:val="0"/>
              <w:ind w:firstLine="480" w:firstLineChars="200"/>
              <w:rPr>
                <w:rFonts w:hint="default" w:ascii="Times New Roman" w:hAnsi="Times New Roman" w:cs="Times New Roman"/>
                <w:color w:val="FF0000"/>
                <w:kern w:val="0"/>
                <w:sz w:val="24"/>
                <w:szCs w:val="24"/>
                <w:lang w:val="en-US" w:eastAsia="zh-CN" w:bidi="ar"/>
              </w:rPr>
            </w:pPr>
            <w:r>
              <w:rPr>
                <w:rFonts w:hint="default" w:ascii="Times New Roman" w:hAnsi="Times New Roman" w:cs="Times New Roman"/>
                <w:color w:val="FF0000"/>
                <w:kern w:val="0"/>
                <w:sz w:val="24"/>
                <w:szCs w:val="24"/>
                <w:lang w:val="en-US" w:eastAsia="zh-CN" w:bidi="ar"/>
              </w:rPr>
              <w:t>根据上述核算结果，本项目烘干废气颗粒物的排放浓度为0.32</w:t>
            </w:r>
            <w:r>
              <w:rPr>
                <w:rFonts w:hint="default" w:ascii="Times New Roman" w:hAnsi="Times New Roman" w:eastAsia="宋体" w:cs="Times New Roman"/>
                <w:i w:val="0"/>
                <w:iCs w:val="0"/>
                <w:color w:val="FF0000"/>
                <w:kern w:val="0"/>
                <w:sz w:val="24"/>
                <w:szCs w:val="24"/>
                <w:u w:val="none"/>
                <w:lang w:val="en-US" w:eastAsia="zh-CN" w:bidi="ar"/>
              </w:rPr>
              <w:t>mg/m</w:t>
            </w:r>
            <w:r>
              <w:rPr>
                <w:rFonts w:hint="default" w:ascii="Times New Roman" w:hAnsi="Times New Roman" w:eastAsia="宋体" w:cs="Times New Roman"/>
                <w:i w:val="0"/>
                <w:iCs w:val="0"/>
                <w:color w:val="FF0000"/>
                <w:kern w:val="0"/>
                <w:sz w:val="24"/>
                <w:szCs w:val="24"/>
                <w:u w:val="none"/>
                <w:vertAlign w:val="superscript"/>
                <w:lang w:val="en-US" w:eastAsia="zh-CN" w:bidi="ar"/>
              </w:rPr>
              <w:t>3</w:t>
            </w:r>
            <w:r>
              <w:rPr>
                <w:rFonts w:hint="default" w:ascii="Times New Roman" w:hAnsi="Times New Roman" w:eastAsia="宋体" w:cs="Times New Roman"/>
                <w:i w:val="0"/>
                <w:iCs w:val="0"/>
                <w:color w:val="FF0000"/>
                <w:kern w:val="0"/>
                <w:sz w:val="24"/>
                <w:szCs w:val="24"/>
                <w:u w:val="none"/>
                <w:vertAlign w:val="baseline"/>
                <w:lang w:val="en-US" w:eastAsia="zh-CN" w:bidi="ar"/>
              </w:rPr>
              <w:t>，二氧化硫排放浓度为</w:t>
            </w:r>
            <w:r>
              <w:rPr>
                <w:rFonts w:hint="default" w:ascii="Times New Roman" w:hAnsi="Times New Roman" w:cs="Times New Roman"/>
                <w:i w:val="0"/>
                <w:iCs w:val="0"/>
                <w:color w:val="FF0000"/>
                <w:kern w:val="0"/>
                <w:sz w:val="24"/>
                <w:szCs w:val="24"/>
                <w:u w:val="none"/>
                <w:vertAlign w:val="baseline"/>
                <w:lang w:val="en-US" w:eastAsia="zh-CN" w:bidi="ar"/>
              </w:rPr>
              <w:t>1.58</w:t>
            </w:r>
            <w:r>
              <w:rPr>
                <w:rFonts w:hint="default" w:ascii="Times New Roman" w:hAnsi="Times New Roman" w:eastAsia="宋体" w:cs="Times New Roman"/>
                <w:i w:val="0"/>
                <w:iCs w:val="0"/>
                <w:color w:val="FF0000"/>
                <w:kern w:val="0"/>
                <w:sz w:val="24"/>
                <w:szCs w:val="24"/>
                <w:u w:val="none"/>
                <w:lang w:val="en-US" w:eastAsia="zh-CN" w:bidi="ar"/>
              </w:rPr>
              <w:t>mg/m</w:t>
            </w:r>
            <w:r>
              <w:rPr>
                <w:rFonts w:hint="default" w:ascii="Times New Roman" w:hAnsi="Times New Roman" w:eastAsia="宋体" w:cs="Times New Roman"/>
                <w:i w:val="0"/>
                <w:iCs w:val="0"/>
                <w:color w:val="FF0000"/>
                <w:kern w:val="0"/>
                <w:sz w:val="24"/>
                <w:szCs w:val="24"/>
                <w:u w:val="none"/>
                <w:vertAlign w:val="superscript"/>
                <w:lang w:val="en-US" w:eastAsia="zh-CN" w:bidi="ar"/>
              </w:rPr>
              <w:t>3</w:t>
            </w:r>
            <w:r>
              <w:rPr>
                <w:rFonts w:hint="default" w:ascii="Times New Roman" w:hAnsi="Times New Roman" w:eastAsia="宋体" w:cs="Times New Roman"/>
                <w:i w:val="0"/>
                <w:iCs w:val="0"/>
                <w:color w:val="FF0000"/>
                <w:kern w:val="0"/>
                <w:sz w:val="24"/>
                <w:szCs w:val="24"/>
                <w:u w:val="none"/>
                <w:vertAlign w:val="baseline"/>
                <w:lang w:val="en-US" w:eastAsia="zh-CN" w:bidi="ar"/>
              </w:rPr>
              <w:t>，氮氧化物排放浓度为</w:t>
            </w:r>
            <w:r>
              <w:rPr>
                <w:rFonts w:hint="default" w:ascii="Times New Roman" w:hAnsi="Times New Roman" w:cs="Times New Roman"/>
                <w:i w:val="0"/>
                <w:iCs w:val="0"/>
                <w:color w:val="FF0000"/>
                <w:kern w:val="0"/>
                <w:sz w:val="24"/>
                <w:szCs w:val="24"/>
                <w:u w:val="none"/>
                <w:vertAlign w:val="baseline"/>
                <w:lang w:val="en-US" w:eastAsia="zh-CN" w:bidi="ar"/>
              </w:rPr>
              <w:t>8.89</w:t>
            </w:r>
            <w:r>
              <w:rPr>
                <w:rFonts w:hint="default" w:ascii="Times New Roman" w:hAnsi="Times New Roman" w:eastAsia="宋体" w:cs="Times New Roman"/>
                <w:i w:val="0"/>
                <w:iCs w:val="0"/>
                <w:color w:val="FF0000"/>
                <w:kern w:val="0"/>
                <w:sz w:val="24"/>
                <w:szCs w:val="24"/>
                <w:u w:val="none"/>
                <w:lang w:val="en-US" w:eastAsia="zh-CN" w:bidi="ar"/>
              </w:rPr>
              <w:t>mg/m</w:t>
            </w:r>
            <w:r>
              <w:rPr>
                <w:rFonts w:hint="default" w:ascii="Times New Roman" w:hAnsi="Times New Roman" w:eastAsia="宋体" w:cs="Times New Roman"/>
                <w:i w:val="0"/>
                <w:iCs w:val="0"/>
                <w:color w:val="FF0000"/>
                <w:kern w:val="0"/>
                <w:sz w:val="24"/>
                <w:szCs w:val="24"/>
                <w:u w:val="none"/>
                <w:vertAlign w:val="superscript"/>
                <w:lang w:val="en-US" w:eastAsia="zh-CN" w:bidi="ar"/>
              </w:rPr>
              <w:t>3</w:t>
            </w:r>
            <w:r>
              <w:rPr>
                <w:rFonts w:hint="default" w:ascii="Times New Roman" w:hAnsi="Times New Roman" w:eastAsia="宋体" w:cs="Times New Roman"/>
                <w:i w:val="0"/>
                <w:iCs w:val="0"/>
                <w:color w:val="FF0000"/>
                <w:kern w:val="0"/>
                <w:sz w:val="24"/>
                <w:szCs w:val="24"/>
                <w:u w:val="none"/>
                <w:vertAlign w:val="baseline"/>
                <w:lang w:val="en-US" w:eastAsia="zh-CN" w:bidi="ar"/>
              </w:rPr>
              <w:t>，能够满足</w:t>
            </w:r>
            <w:r>
              <w:rPr>
                <w:rFonts w:hint="default" w:ascii="Times New Roman" w:hAnsi="Times New Roman" w:cs="Times New Roman"/>
                <w:color w:val="FF0000"/>
                <w:sz w:val="24"/>
                <w:szCs w:val="24"/>
                <w:vertAlign w:val="baseline"/>
                <w:lang w:val="en-US" w:eastAsia="zh-CN"/>
              </w:rPr>
              <w:t>《湖南省工业炉窑大气污染综合治理实施方案》湘环发〔2020〕6号中相应标准限值要求。</w:t>
            </w:r>
          </w:p>
          <w:p>
            <w:pPr>
              <w:numPr>
                <w:ilvl w:val="0"/>
                <w:numId w:val="0"/>
              </w:numPr>
              <w:bidi w:val="0"/>
              <w:ind w:firstLine="480" w:firstLineChars="200"/>
              <w:rPr>
                <w:rFonts w:hint="default" w:ascii="Times New Roman" w:hAnsi="Times New Roman" w:cs="Times New Roman"/>
                <w:color w:val="FF0000"/>
                <w:kern w:val="0"/>
                <w:sz w:val="24"/>
                <w:szCs w:val="24"/>
                <w:lang w:val="en-US" w:eastAsia="zh-CN" w:bidi="ar"/>
              </w:rPr>
            </w:pPr>
            <w:r>
              <w:rPr>
                <w:rFonts w:hint="default" w:ascii="Times New Roman" w:hAnsi="Times New Roman" w:cs="Times New Roman"/>
                <w:color w:val="FF0000"/>
                <w:kern w:val="0"/>
                <w:sz w:val="24"/>
                <w:szCs w:val="24"/>
                <w:lang w:val="en-US" w:eastAsia="zh-CN" w:bidi="ar"/>
              </w:rPr>
              <w:t>（2）河沙烘干线其他工序粉尘</w:t>
            </w:r>
          </w:p>
          <w:p>
            <w:pPr>
              <w:numPr>
                <w:ilvl w:val="0"/>
                <w:numId w:val="0"/>
              </w:numPr>
              <w:bidi w:val="0"/>
              <w:ind w:firstLine="480" w:firstLineChars="200"/>
              <w:rPr>
                <w:rFonts w:hint="default" w:ascii="Times New Roman" w:hAnsi="Times New Roman" w:eastAsia="宋体" w:cs="Times New Roman"/>
                <w:color w:val="FF0000"/>
                <w:kern w:val="0"/>
                <w:sz w:val="24"/>
                <w:szCs w:val="24"/>
                <w:lang w:val="en-US" w:eastAsia="zh-CN" w:bidi="ar"/>
              </w:rPr>
            </w:pPr>
            <w:r>
              <w:rPr>
                <w:rFonts w:hint="default" w:ascii="Times New Roman" w:hAnsi="Times New Roman" w:eastAsia="宋体" w:cs="Times New Roman"/>
                <w:color w:val="FF0000"/>
                <w:kern w:val="0"/>
                <w:sz w:val="24"/>
                <w:szCs w:val="24"/>
                <w:lang w:val="en-US" w:eastAsia="zh-CN" w:bidi="ar"/>
              </w:rPr>
              <w:t>①投料粉尘</w:t>
            </w:r>
          </w:p>
          <w:p>
            <w:pPr>
              <w:keepNext w:val="0"/>
              <w:keepLines w:val="0"/>
              <w:widowControl/>
              <w:suppressLineNumbers w:val="0"/>
              <w:jc w:val="left"/>
              <w:rPr>
                <w:rFonts w:hint="default" w:ascii="Times New Roman" w:hAnsi="Times New Roman" w:eastAsia="宋体" w:cs="Times New Roman"/>
                <w:color w:val="FF0000"/>
                <w:kern w:val="0"/>
                <w:sz w:val="24"/>
                <w:szCs w:val="24"/>
                <w:lang w:val="en-US" w:eastAsia="zh-CN" w:bidi="ar"/>
              </w:rPr>
            </w:pPr>
            <w:r>
              <w:rPr>
                <w:rFonts w:hint="default" w:ascii="Times New Roman" w:hAnsi="Times New Roman" w:eastAsia="宋体" w:cs="Times New Roman"/>
                <w:color w:val="FF0000"/>
                <w:kern w:val="0"/>
                <w:sz w:val="24"/>
                <w:szCs w:val="24"/>
                <w:lang w:val="en-US" w:eastAsia="zh-CN" w:bidi="ar"/>
              </w:rPr>
              <w:t>河砂采用皮带输送至烘干筒，在投料过程中会产生一定量的扬尘，参考《逸散性工业粉尘控制技术》第二十二章混凝土分批搅拌厂逸散尘排放因子：装水泥、砂和粒料入称量斗粉尘产生系数为0.01kg/t，本项目河砂用量约为</w:t>
            </w:r>
            <w:r>
              <w:rPr>
                <w:rFonts w:hint="default" w:ascii="Times New Roman" w:hAnsi="Times New Roman" w:cs="Times New Roman"/>
                <w:color w:val="FF0000"/>
                <w:kern w:val="0"/>
                <w:sz w:val="24"/>
                <w:szCs w:val="24"/>
                <w:lang w:val="en-US" w:eastAsia="zh-CN" w:bidi="ar"/>
              </w:rPr>
              <w:t>1</w:t>
            </w:r>
            <w:r>
              <w:rPr>
                <w:rFonts w:hint="default" w:ascii="Times New Roman" w:hAnsi="Times New Roman" w:eastAsia="宋体" w:cs="Times New Roman"/>
                <w:color w:val="FF0000"/>
                <w:kern w:val="0"/>
                <w:sz w:val="24"/>
                <w:szCs w:val="24"/>
                <w:lang w:val="en-US" w:eastAsia="zh-CN" w:bidi="ar"/>
              </w:rPr>
              <w:t>500</w:t>
            </w:r>
            <w:r>
              <w:rPr>
                <w:rFonts w:hint="default" w:ascii="Times New Roman" w:hAnsi="Times New Roman" w:cs="Times New Roman"/>
                <w:color w:val="FF0000"/>
                <w:kern w:val="0"/>
                <w:sz w:val="24"/>
                <w:szCs w:val="24"/>
                <w:lang w:val="en-US" w:eastAsia="zh-CN" w:bidi="ar"/>
              </w:rPr>
              <w:t>0</w:t>
            </w:r>
            <w:r>
              <w:rPr>
                <w:rFonts w:hint="default" w:ascii="Times New Roman" w:hAnsi="Times New Roman" w:eastAsia="宋体" w:cs="Times New Roman"/>
                <w:color w:val="FF0000"/>
                <w:kern w:val="0"/>
                <w:sz w:val="24"/>
                <w:szCs w:val="24"/>
                <w:lang w:val="en-US" w:eastAsia="zh-CN" w:bidi="ar"/>
              </w:rPr>
              <w:t>0t/a，则投料工序粉尘产生量约为1.5t/a。</w:t>
            </w:r>
          </w:p>
          <w:p>
            <w:pPr>
              <w:pStyle w:val="2"/>
              <w:rPr>
                <w:rFonts w:hint="default" w:ascii="Times New Roman" w:hAnsi="Times New Roman" w:cs="Times New Roman"/>
                <w:color w:val="FF0000"/>
                <w:lang w:val="en-US" w:eastAsia="zh-CN"/>
              </w:rPr>
            </w:pPr>
            <w:r>
              <w:rPr>
                <w:rFonts w:hint="default" w:ascii="Times New Roman" w:hAnsi="Times New Roman" w:cs="Times New Roman"/>
                <w:color w:val="FF0000"/>
                <w:kern w:val="0"/>
                <w:sz w:val="24"/>
                <w:szCs w:val="24"/>
                <w:lang w:val="en-US" w:eastAsia="zh-CN" w:bidi="ar"/>
              </w:rPr>
              <w:t>本项目投料采用微负压投料，粉尘产生量按95%计算，则粉尘产生量为1.43t/a，产生的粉尘经收集后排入脉冲布袋除尘器处理。其中未被收集无组织粉尘排放量为0.07t/a。</w:t>
            </w:r>
          </w:p>
          <w:p>
            <w:pPr>
              <w:pStyle w:val="2"/>
              <w:numPr>
                <w:ilvl w:val="0"/>
                <w:numId w:val="0"/>
              </w:numPr>
              <w:ind w:left="480" w:leftChars="0"/>
              <w:rPr>
                <w:rFonts w:hint="default" w:ascii="Times New Roman" w:hAnsi="Times New Roman" w:eastAsia="宋体" w:cs="Times New Roman"/>
                <w:color w:val="FF0000"/>
                <w:lang w:val="en-US" w:eastAsia="zh-CN"/>
              </w:rPr>
            </w:pPr>
            <w:r>
              <w:rPr>
                <w:rFonts w:hint="default" w:ascii="Times New Roman" w:hAnsi="Times New Roman" w:cs="Times New Roman"/>
                <w:color w:val="FF0000"/>
                <w:lang w:val="en-US" w:eastAsia="zh-CN"/>
              </w:rPr>
              <w:t>②输送粉尘</w:t>
            </w:r>
          </w:p>
          <w:p>
            <w:pPr>
              <w:keepNext w:val="0"/>
              <w:keepLines w:val="0"/>
              <w:widowControl/>
              <w:suppressLineNumbers w:val="0"/>
              <w:jc w:val="left"/>
              <w:rPr>
                <w:rFonts w:hint="default" w:ascii="Times New Roman" w:hAnsi="Times New Roman" w:cs="Times New Roman"/>
                <w:color w:val="FF0000"/>
                <w:kern w:val="0"/>
                <w:sz w:val="24"/>
                <w:szCs w:val="24"/>
                <w:lang w:val="en-US" w:eastAsia="zh-CN" w:bidi="ar"/>
              </w:rPr>
            </w:pPr>
            <w:r>
              <w:rPr>
                <w:rFonts w:hint="default" w:ascii="Times New Roman" w:hAnsi="Times New Roman" w:cs="Times New Roman"/>
                <w:color w:val="FF0000"/>
                <w:lang w:val="en-US" w:eastAsia="zh-CN"/>
              </w:rPr>
              <w:t>本项目河砂在输送过程中能够密闭输送尽量采取密闭输送，不能密闭输送的采用半封闭式输送，</w:t>
            </w:r>
            <w:r>
              <w:rPr>
                <w:rFonts w:hint="default" w:ascii="Times New Roman" w:hAnsi="Times New Roman" w:eastAsia="宋体" w:cs="Times New Roman"/>
                <w:color w:val="FF0000"/>
                <w:kern w:val="0"/>
                <w:sz w:val="24"/>
                <w:szCs w:val="24"/>
                <w:lang w:val="en-US" w:eastAsia="zh-CN" w:bidi="ar"/>
              </w:rPr>
              <w:t>参考《排放源统计调查产排污核算方法和系数手册》（2021 年 6 月）中 3021、 3022、3029 水泥制品制造行业系数手册，物料输送储存过程中颗粒物产污系数0.12kg/t产品。本项目河砂用量约为150000t/a，则输送工序粉尘产生量约为18t/a。</w:t>
            </w:r>
            <w:r>
              <w:rPr>
                <w:rFonts w:hint="default" w:ascii="Times New Roman" w:hAnsi="Times New Roman" w:cs="Times New Roman"/>
                <w:color w:val="FF0000"/>
                <w:kern w:val="0"/>
                <w:sz w:val="24"/>
                <w:szCs w:val="24"/>
                <w:lang w:val="en-US" w:eastAsia="zh-CN" w:bidi="ar"/>
              </w:rPr>
              <w:t>由于运输采用皮带、螺旋输送，无法做到全密闭，采用半封闭式输送，产尘点设置集气罩收集，收集效率按95%计算，则粉尘产生量为17.1t/a，无组织排放量为0.9t/a。</w:t>
            </w:r>
          </w:p>
          <w:p>
            <w:pPr>
              <w:bidi w:val="0"/>
              <w:rPr>
                <w:rFonts w:hint="default" w:ascii="Times New Roman" w:hAnsi="Times New Roman" w:cs="Times New Roman"/>
                <w:color w:val="FF0000"/>
                <w:highlight w:val="none"/>
                <w:lang w:val="en-US" w:eastAsia="zh-CN"/>
              </w:rPr>
            </w:pPr>
            <w:r>
              <w:rPr>
                <w:rFonts w:hint="default" w:ascii="Times New Roman" w:hAnsi="Times New Roman" w:cs="Times New Roman"/>
                <w:color w:val="FF0000"/>
                <w:lang w:val="en-US" w:eastAsia="zh-CN"/>
              </w:rPr>
              <w:t>本项目各产尘点如输送、投料等无法全封闭的产尘点采用半封闭式或负压投料，同时设置集气罩收集粉尘，收集的粉尘排入脉冲布袋除尘器处理后与其他废气一起汇入20m高的DA002的排气筒排放。风机风量为</w:t>
            </w:r>
            <w:r>
              <w:rPr>
                <w:rFonts w:hint="default" w:ascii="Times New Roman" w:hAnsi="Times New Roman" w:cs="Times New Roman"/>
                <w:color w:val="FF0000"/>
                <w:highlight w:val="none"/>
                <w:lang w:val="en-US" w:eastAsia="zh-CN"/>
              </w:rPr>
              <w:t>40000m</w:t>
            </w:r>
            <w:r>
              <w:rPr>
                <w:rFonts w:hint="default" w:ascii="Times New Roman" w:hAnsi="Times New Roman" w:cs="Times New Roman"/>
                <w:color w:val="FF0000"/>
                <w:highlight w:val="none"/>
                <w:vertAlign w:val="superscript"/>
                <w:lang w:val="en-US" w:eastAsia="zh-CN"/>
              </w:rPr>
              <w:t>3</w:t>
            </w:r>
            <w:r>
              <w:rPr>
                <w:rFonts w:hint="default" w:ascii="Times New Roman" w:hAnsi="Times New Roman" w:cs="Times New Roman"/>
                <w:color w:val="FF0000"/>
                <w:highlight w:val="none"/>
                <w:lang w:val="en-US" w:eastAsia="zh-CN"/>
              </w:rPr>
              <w:t>/h，年工作时间为5000h。</w:t>
            </w:r>
          </w:p>
          <w:p>
            <w:pPr>
              <w:pStyle w:val="2"/>
              <w:rPr>
                <w:rFonts w:hint="default" w:ascii="Times New Roman" w:hAnsi="Times New Roman" w:cs="Times New Roman"/>
                <w:color w:val="FF0000"/>
                <w:highlight w:val="none"/>
                <w:lang w:val="en-US" w:eastAsia="zh-CN"/>
              </w:rPr>
            </w:pPr>
            <w:r>
              <w:rPr>
                <w:rFonts w:hint="default" w:ascii="Times New Roman" w:hAnsi="Times New Roman" w:cs="Times New Roman"/>
                <w:color w:val="FF0000"/>
                <w:highlight w:val="none"/>
                <w:lang w:val="en-US" w:eastAsia="zh-CN"/>
              </w:rPr>
              <w:t>项目集气罩收集效率按95%计算，脉冲布袋除尘器设计处理效率为99.5%计算。则河砂投料、筛分等工序废气产生及排放情况见下表。</w:t>
            </w:r>
          </w:p>
          <w:p>
            <w:pPr>
              <w:keepNext w:val="0"/>
              <w:keepLines w:val="0"/>
              <w:widowControl/>
              <w:suppressLineNumbers w:val="0"/>
              <w:jc w:val="center"/>
              <w:rPr>
                <w:rFonts w:hint="default" w:ascii="Times New Roman" w:hAnsi="Times New Roman" w:cs="Times New Roman"/>
                <w:color w:val="FF0000"/>
                <w:lang w:val="en-US" w:eastAsia="zh-CN"/>
              </w:rPr>
            </w:pPr>
          </w:p>
          <w:p>
            <w:pPr>
              <w:keepNext w:val="0"/>
              <w:keepLines w:val="0"/>
              <w:widowControl/>
              <w:suppressLineNumbers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表4-7 河砂投料、运输等工序污染物产生和排放情况</w:t>
            </w:r>
          </w:p>
          <w:tbl>
            <w:tblPr>
              <w:tblStyle w:val="21"/>
              <w:tblW w:w="871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20"/>
              <w:gridCol w:w="660"/>
              <w:gridCol w:w="832"/>
              <w:gridCol w:w="979"/>
              <w:gridCol w:w="1151"/>
              <w:gridCol w:w="1140"/>
              <w:gridCol w:w="894"/>
              <w:gridCol w:w="1204"/>
              <w:gridCol w:w="103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6" w:hRule="atLeast"/>
                <w:jc w:val="center"/>
              </w:trPr>
              <w:tc>
                <w:tcPr>
                  <w:tcW w:w="82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污染源</w:t>
                  </w:r>
                </w:p>
              </w:tc>
              <w:tc>
                <w:tcPr>
                  <w:tcW w:w="66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污染物</w:t>
                  </w:r>
                </w:p>
              </w:tc>
              <w:tc>
                <w:tcPr>
                  <w:tcW w:w="1811" w:type="dxa"/>
                  <w:gridSpan w:val="2"/>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产生情况</w:t>
                  </w:r>
                </w:p>
              </w:tc>
              <w:tc>
                <w:tcPr>
                  <w:tcW w:w="1151"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收集措施及效率</w:t>
                  </w:r>
                </w:p>
              </w:tc>
              <w:tc>
                <w:tcPr>
                  <w:tcW w:w="1140"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治理措施及效率</w:t>
                  </w:r>
                </w:p>
              </w:tc>
              <w:tc>
                <w:tcPr>
                  <w:tcW w:w="3134" w:type="dxa"/>
                  <w:gridSpan w:val="3"/>
                  <w:tcBorders>
                    <w:top w:val="single" w:color="000000" w:sz="8" w:space="0"/>
                    <w:left w:val="single" w:color="000000" w:sz="8" w:space="0"/>
                    <w:bottom w:val="nil"/>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排放情况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58" w:hRule="atLeast"/>
                <w:jc w:val="center"/>
              </w:trPr>
              <w:tc>
                <w:tcPr>
                  <w:tcW w:w="82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66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832" w:type="dxa"/>
                  <w:tcBorders>
                    <w:top w:val="nil"/>
                    <w:left w:val="single" w:color="000000" w:sz="8" w:space="0"/>
                    <w:bottom w:val="single" w:color="000000" w:sz="8"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产生量（t/a）</w:t>
                  </w:r>
                </w:p>
              </w:tc>
              <w:tc>
                <w:tcPr>
                  <w:tcW w:w="979" w:type="dxa"/>
                  <w:tcBorders>
                    <w:top w:val="nil"/>
                    <w:left w:val="single" w:color="auto" w:sz="4"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产生速率（kg/h）</w:t>
                  </w:r>
                </w:p>
              </w:tc>
              <w:tc>
                <w:tcPr>
                  <w:tcW w:w="1151"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1140"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89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排放量（t/a）</w:t>
                  </w:r>
                </w:p>
              </w:tc>
              <w:tc>
                <w:tcPr>
                  <w:tcW w:w="1204"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排放浓度（mg/m</w:t>
                  </w:r>
                  <w:r>
                    <w:rPr>
                      <w:rFonts w:hint="default" w:ascii="Times New Roman" w:hAnsi="Times New Roman" w:eastAsia="宋体" w:cs="Times New Roman"/>
                      <w:i w:val="0"/>
                      <w:iCs w:val="0"/>
                      <w:color w:val="FF0000"/>
                      <w:kern w:val="0"/>
                      <w:sz w:val="21"/>
                      <w:szCs w:val="21"/>
                      <w:u w:val="none"/>
                      <w:vertAlign w:val="superscript"/>
                      <w:lang w:val="en-US" w:eastAsia="zh-CN" w:bidi="ar"/>
                    </w:rPr>
                    <w:t>3</w:t>
                  </w:r>
                  <w:r>
                    <w:rPr>
                      <w:rFonts w:hint="default" w:ascii="Times New Roman" w:hAnsi="Times New Roman" w:eastAsia="宋体" w:cs="Times New Roman"/>
                      <w:i w:val="0"/>
                      <w:iCs w:val="0"/>
                      <w:color w:val="FF0000"/>
                      <w:kern w:val="0"/>
                      <w:sz w:val="21"/>
                      <w:szCs w:val="21"/>
                      <w:u w:val="none"/>
                      <w:lang w:val="en-US" w:eastAsia="zh-CN" w:bidi="ar"/>
                    </w:rPr>
                    <w:t>）</w:t>
                  </w:r>
                </w:p>
              </w:tc>
              <w:tc>
                <w:tcPr>
                  <w:tcW w:w="1036" w:type="dxa"/>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排放速率（kg/h）</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7" w:hRule="atLeast"/>
                <w:jc w:val="center"/>
              </w:trPr>
              <w:tc>
                <w:tcPr>
                  <w:tcW w:w="820"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投料</w:t>
                  </w:r>
                </w:p>
              </w:tc>
              <w:tc>
                <w:tcPr>
                  <w:tcW w:w="660" w:type="dxa"/>
                  <w:vMerge w:val="restart"/>
                  <w:tcBorders>
                    <w:top w:val="nil"/>
                    <w:left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颗粒物</w:t>
                  </w:r>
                </w:p>
              </w:tc>
              <w:tc>
                <w:tcPr>
                  <w:tcW w:w="83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FF0000"/>
                      <w:kern w:val="2"/>
                      <w:sz w:val="21"/>
                      <w:szCs w:val="21"/>
                      <w:u w:val="none"/>
                      <w:lang w:val="en-US" w:eastAsia="zh-CN" w:bidi="ar-SA"/>
                    </w:rPr>
                  </w:pPr>
                  <w:r>
                    <w:rPr>
                      <w:rFonts w:hint="default" w:ascii="Times New Roman" w:hAnsi="Times New Roman" w:eastAsia="宋体" w:cs="Times New Roman"/>
                      <w:i w:val="0"/>
                      <w:iCs w:val="0"/>
                      <w:color w:val="FF0000"/>
                      <w:kern w:val="2"/>
                      <w:sz w:val="21"/>
                      <w:szCs w:val="21"/>
                      <w:u w:val="none"/>
                      <w:lang w:val="en-US" w:eastAsia="zh-CN" w:bidi="ar-SA"/>
                    </w:rPr>
                    <w:t>1.5</w:t>
                  </w:r>
                </w:p>
              </w:tc>
              <w:tc>
                <w:tcPr>
                  <w:tcW w:w="97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none"/>
                      <w:lang w:val="en-US" w:eastAsia="zh-CN" w:bidi="ar-SA"/>
                    </w:rPr>
                  </w:pPr>
                  <w:r>
                    <w:rPr>
                      <w:rFonts w:hint="default" w:ascii="Times New Roman" w:hAnsi="Times New Roman" w:eastAsia="宋体" w:cs="Times New Roman"/>
                      <w:i w:val="0"/>
                      <w:iCs w:val="0"/>
                      <w:color w:val="FF0000"/>
                      <w:kern w:val="2"/>
                      <w:sz w:val="21"/>
                      <w:szCs w:val="21"/>
                      <w:u w:val="none"/>
                      <w:lang w:val="en-US" w:eastAsia="zh-CN" w:bidi="ar-SA"/>
                    </w:rPr>
                    <w:t>0.3</w:t>
                  </w:r>
                </w:p>
              </w:tc>
              <w:tc>
                <w:tcPr>
                  <w:tcW w:w="1151"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密闭，100%</w:t>
                  </w:r>
                </w:p>
              </w:tc>
              <w:tc>
                <w:tcPr>
                  <w:tcW w:w="1140" w:type="dxa"/>
                  <w:vMerge w:val="restar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脉冲布袋除尘器（99.5%）+DA002排气筒</w:t>
                  </w:r>
                </w:p>
              </w:tc>
              <w:tc>
                <w:tcPr>
                  <w:tcW w:w="894"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none"/>
                      <w:lang w:val="en-US" w:eastAsia="zh-CN" w:bidi="ar-SA"/>
                    </w:rPr>
                  </w:pPr>
                  <w:r>
                    <w:rPr>
                      <w:rFonts w:hint="default" w:ascii="Times New Roman" w:hAnsi="Times New Roman" w:eastAsia="宋体" w:cs="Times New Roman"/>
                      <w:i w:val="0"/>
                      <w:iCs w:val="0"/>
                      <w:color w:val="FF0000"/>
                      <w:kern w:val="2"/>
                      <w:sz w:val="21"/>
                      <w:szCs w:val="21"/>
                      <w:u w:val="none"/>
                      <w:lang w:val="en-US" w:eastAsia="zh-CN" w:bidi="ar-SA"/>
                    </w:rPr>
                    <w:t>0.01</w:t>
                  </w:r>
                </w:p>
              </w:tc>
              <w:tc>
                <w:tcPr>
                  <w:tcW w:w="1204"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none"/>
                      <w:lang w:val="en-US" w:eastAsia="zh-CN" w:bidi="ar-SA"/>
                    </w:rPr>
                  </w:pPr>
                  <w:r>
                    <w:rPr>
                      <w:rFonts w:hint="default" w:ascii="Times New Roman" w:hAnsi="Times New Roman" w:eastAsia="宋体" w:cs="Times New Roman"/>
                      <w:i w:val="0"/>
                      <w:iCs w:val="0"/>
                      <w:color w:val="FF0000"/>
                      <w:kern w:val="2"/>
                      <w:sz w:val="21"/>
                      <w:szCs w:val="21"/>
                      <w:u w:val="none"/>
                      <w:lang w:val="en-US" w:eastAsia="zh-CN" w:bidi="ar-SA"/>
                    </w:rPr>
                    <w:t>0.04</w:t>
                  </w:r>
                </w:p>
              </w:tc>
              <w:tc>
                <w:tcPr>
                  <w:tcW w:w="1036"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none"/>
                      <w:lang w:val="en-US" w:eastAsia="zh-CN" w:bidi="ar-SA"/>
                    </w:rPr>
                  </w:pPr>
                  <w:r>
                    <w:rPr>
                      <w:rFonts w:hint="default" w:ascii="Times New Roman" w:hAnsi="Times New Roman" w:eastAsia="宋体" w:cs="Times New Roman"/>
                      <w:i w:val="0"/>
                      <w:iCs w:val="0"/>
                      <w:color w:val="FF0000"/>
                      <w:kern w:val="2"/>
                      <w:sz w:val="21"/>
                      <w:szCs w:val="21"/>
                      <w:u w:val="none"/>
                      <w:lang w:val="en-US" w:eastAsia="zh-CN" w:bidi="ar-SA"/>
                    </w:rPr>
                    <w:t>0.001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31" w:hRule="atLeast"/>
                <w:jc w:val="center"/>
              </w:trPr>
              <w:tc>
                <w:tcPr>
                  <w:tcW w:w="820"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输送</w:t>
                  </w:r>
                </w:p>
              </w:tc>
              <w:tc>
                <w:tcPr>
                  <w:tcW w:w="660" w:type="dxa"/>
                  <w:vMerge w:val="continue"/>
                  <w:tcBorders>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p>
              </w:tc>
              <w:tc>
                <w:tcPr>
                  <w:tcW w:w="83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lang w:val="en-US" w:eastAsia="zh-CN"/>
                    </w:rPr>
                  </w:pPr>
                  <w:r>
                    <w:rPr>
                      <w:rFonts w:hint="default" w:ascii="Times New Roman" w:hAnsi="Times New Roman" w:eastAsia="宋体" w:cs="Times New Roman"/>
                      <w:i w:val="0"/>
                      <w:iCs w:val="0"/>
                      <w:color w:val="FF0000"/>
                      <w:sz w:val="21"/>
                      <w:szCs w:val="21"/>
                      <w:u w:val="none"/>
                      <w:lang w:val="en-US" w:eastAsia="zh-CN"/>
                    </w:rPr>
                    <w:t>18</w:t>
                  </w:r>
                </w:p>
              </w:tc>
              <w:tc>
                <w:tcPr>
                  <w:tcW w:w="97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lang w:val="en-US" w:eastAsia="zh-CN"/>
                    </w:rPr>
                  </w:pPr>
                  <w:r>
                    <w:rPr>
                      <w:rFonts w:hint="default" w:ascii="Times New Roman" w:hAnsi="Times New Roman" w:eastAsia="宋体" w:cs="Times New Roman"/>
                      <w:i w:val="0"/>
                      <w:iCs w:val="0"/>
                      <w:color w:val="FF0000"/>
                      <w:sz w:val="21"/>
                      <w:szCs w:val="21"/>
                      <w:u w:val="none"/>
                      <w:lang w:val="en-US" w:eastAsia="zh-CN"/>
                    </w:rPr>
                    <w:t>3.6</w:t>
                  </w:r>
                </w:p>
              </w:tc>
              <w:tc>
                <w:tcPr>
                  <w:tcW w:w="1151"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半封闭式+集气罩（95%）</w:t>
                  </w:r>
                </w:p>
              </w:tc>
              <w:tc>
                <w:tcPr>
                  <w:tcW w:w="1140" w:type="dxa"/>
                  <w:vMerge w:val="continue"/>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894"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lang w:val="en-US" w:eastAsia="zh-CN"/>
                    </w:rPr>
                  </w:pPr>
                  <w:r>
                    <w:rPr>
                      <w:rFonts w:hint="default" w:ascii="Times New Roman" w:hAnsi="Times New Roman" w:eastAsia="宋体" w:cs="Times New Roman"/>
                      <w:i w:val="0"/>
                      <w:iCs w:val="0"/>
                      <w:color w:val="FF0000"/>
                      <w:sz w:val="21"/>
                      <w:szCs w:val="21"/>
                      <w:u w:val="none"/>
                      <w:lang w:val="en-US" w:eastAsia="zh-CN"/>
                    </w:rPr>
                    <w:t>0.09</w:t>
                  </w:r>
                </w:p>
              </w:tc>
              <w:tc>
                <w:tcPr>
                  <w:tcW w:w="1204"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lang w:val="en-US" w:eastAsia="zh-CN"/>
                    </w:rPr>
                  </w:pPr>
                  <w:r>
                    <w:rPr>
                      <w:rFonts w:hint="default" w:ascii="Times New Roman" w:hAnsi="Times New Roman" w:eastAsia="宋体" w:cs="Times New Roman"/>
                      <w:i w:val="0"/>
                      <w:iCs w:val="0"/>
                      <w:color w:val="FF0000"/>
                      <w:sz w:val="21"/>
                      <w:szCs w:val="21"/>
                      <w:u w:val="none"/>
                      <w:lang w:val="en-US" w:eastAsia="zh-CN"/>
                    </w:rPr>
                    <w:t>0.43</w:t>
                  </w:r>
                </w:p>
              </w:tc>
              <w:tc>
                <w:tcPr>
                  <w:tcW w:w="1036"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lang w:val="en-US" w:eastAsia="zh-CN"/>
                    </w:rPr>
                  </w:pPr>
                  <w:r>
                    <w:rPr>
                      <w:rFonts w:hint="default" w:ascii="Times New Roman" w:hAnsi="Times New Roman" w:eastAsia="宋体" w:cs="Times New Roman"/>
                      <w:i w:val="0"/>
                      <w:iCs w:val="0"/>
                      <w:color w:val="FF0000"/>
                      <w:sz w:val="21"/>
                      <w:szCs w:val="21"/>
                      <w:u w:val="none"/>
                      <w:lang w:val="en-US" w:eastAsia="zh-CN"/>
                    </w:rPr>
                    <w:t>0.02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47" w:hRule="atLeast"/>
                <w:jc w:val="center"/>
              </w:trPr>
              <w:tc>
                <w:tcPr>
                  <w:tcW w:w="1480" w:type="dxa"/>
                  <w:gridSpan w:val="2"/>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合计</w:t>
                  </w:r>
                </w:p>
              </w:tc>
              <w:tc>
                <w:tcPr>
                  <w:tcW w:w="832"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lang w:val="en-US" w:eastAsia="zh-CN"/>
                    </w:rPr>
                  </w:pPr>
                  <w:r>
                    <w:rPr>
                      <w:rFonts w:hint="default" w:ascii="Times New Roman" w:hAnsi="Times New Roman" w:eastAsia="宋体" w:cs="Times New Roman"/>
                      <w:i w:val="0"/>
                      <w:iCs w:val="0"/>
                      <w:color w:val="FF0000"/>
                      <w:sz w:val="21"/>
                      <w:szCs w:val="21"/>
                      <w:u w:val="none"/>
                      <w:lang w:val="en-US" w:eastAsia="zh-CN"/>
                    </w:rPr>
                    <w:t>19.5</w:t>
                  </w:r>
                </w:p>
              </w:tc>
              <w:tc>
                <w:tcPr>
                  <w:tcW w:w="979"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lang w:val="en-US" w:eastAsia="zh-CN"/>
                    </w:rPr>
                  </w:pPr>
                  <w:r>
                    <w:rPr>
                      <w:rFonts w:hint="default" w:ascii="Times New Roman" w:hAnsi="Times New Roman" w:eastAsia="宋体" w:cs="Times New Roman"/>
                      <w:i w:val="0"/>
                      <w:iCs w:val="0"/>
                      <w:color w:val="FF0000"/>
                      <w:sz w:val="21"/>
                      <w:szCs w:val="21"/>
                      <w:u w:val="none"/>
                      <w:lang w:val="en-US" w:eastAsia="zh-CN"/>
                    </w:rPr>
                    <w:t>3.9</w:t>
                  </w:r>
                </w:p>
              </w:tc>
              <w:tc>
                <w:tcPr>
                  <w:tcW w:w="1151"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w:t>
                  </w:r>
                </w:p>
              </w:tc>
              <w:tc>
                <w:tcPr>
                  <w:tcW w:w="1140" w:type="dxa"/>
                  <w:vMerge w:val="continue"/>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894"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lang w:val="en-US" w:eastAsia="zh-CN"/>
                    </w:rPr>
                  </w:pPr>
                  <w:r>
                    <w:rPr>
                      <w:rFonts w:hint="default" w:ascii="Times New Roman" w:hAnsi="Times New Roman" w:eastAsia="宋体" w:cs="Times New Roman"/>
                      <w:i w:val="0"/>
                      <w:iCs w:val="0"/>
                      <w:color w:val="FF0000"/>
                      <w:sz w:val="21"/>
                      <w:szCs w:val="21"/>
                      <w:u w:val="none"/>
                      <w:lang w:val="en-US" w:eastAsia="zh-CN"/>
                    </w:rPr>
                    <w:t>0.10</w:t>
                  </w:r>
                </w:p>
              </w:tc>
              <w:tc>
                <w:tcPr>
                  <w:tcW w:w="1204"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lang w:val="en-US" w:eastAsia="zh-CN"/>
                    </w:rPr>
                  </w:pPr>
                  <w:r>
                    <w:rPr>
                      <w:rFonts w:hint="default" w:ascii="Times New Roman" w:hAnsi="Times New Roman" w:eastAsia="宋体" w:cs="Times New Roman"/>
                      <w:i w:val="0"/>
                      <w:iCs w:val="0"/>
                      <w:color w:val="FF0000"/>
                      <w:sz w:val="21"/>
                      <w:szCs w:val="21"/>
                      <w:u w:val="none"/>
                      <w:lang w:val="en-US" w:eastAsia="zh-CN"/>
                    </w:rPr>
                    <w:t>0.47</w:t>
                  </w:r>
                </w:p>
              </w:tc>
              <w:tc>
                <w:tcPr>
                  <w:tcW w:w="1036" w:type="dxa"/>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lang w:val="en-US" w:eastAsia="zh-CN"/>
                    </w:rPr>
                  </w:pPr>
                  <w:r>
                    <w:rPr>
                      <w:rFonts w:hint="default" w:ascii="Times New Roman" w:hAnsi="Times New Roman" w:eastAsia="宋体" w:cs="Times New Roman"/>
                      <w:i w:val="0"/>
                      <w:iCs w:val="0"/>
                      <w:color w:val="FF0000"/>
                      <w:sz w:val="21"/>
                      <w:szCs w:val="21"/>
                      <w:u w:val="none"/>
                      <w:lang w:val="en-US" w:eastAsia="zh-CN"/>
                    </w:rPr>
                    <w:t>0.03</w:t>
                  </w:r>
                </w:p>
              </w:tc>
            </w:tr>
          </w:tbl>
          <w:p>
            <w:pPr>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（3）鹅卵石机制砂其他工序粉尘</w:t>
            </w:r>
          </w:p>
          <w:p>
            <w:pPr>
              <w:numPr>
                <w:ilvl w:val="0"/>
                <w:numId w:val="0"/>
              </w:numPr>
              <w:bidi w:val="0"/>
              <w:ind w:firstLine="480" w:firstLineChars="200"/>
              <w:rPr>
                <w:rFonts w:hint="default" w:ascii="Times New Roman" w:hAnsi="Times New Roman" w:eastAsia="宋体" w:cs="Times New Roman"/>
                <w:color w:val="FF0000"/>
                <w:kern w:val="0"/>
                <w:sz w:val="24"/>
                <w:szCs w:val="24"/>
                <w:lang w:val="en-US" w:eastAsia="zh-CN" w:bidi="ar"/>
              </w:rPr>
            </w:pPr>
            <w:r>
              <w:rPr>
                <w:rFonts w:hint="default" w:ascii="Times New Roman" w:hAnsi="Times New Roman" w:cs="Times New Roman"/>
                <w:color w:val="FF0000"/>
                <w:kern w:val="0"/>
                <w:sz w:val="24"/>
                <w:szCs w:val="24"/>
                <w:lang w:val="en-US" w:eastAsia="zh-CN" w:bidi="ar"/>
              </w:rPr>
              <w:t>鹅卵石制砂生产线包括破碎、筛分、球磨和烘干。</w:t>
            </w:r>
          </w:p>
          <w:p>
            <w:pPr>
              <w:numPr>
                <w:ilvl w:val="0"/>
                <w:numId w:val="0"/>
              </w:numPr>
              <w:bidi w:val="0"/>
              <w:ind w:firstLine="480" w:firstLineChars="200"/>
              <w:rPr>
                <w:rFonts w:hint="default" w:ascii="Times New Roman" w:hAnsi="Times New Roman" w:eastAsia="宋体" w:cs="Times New Roman"/>
                <w:color w:val="FF0000"/>
                <w:kern w:val="0"/>
                <w:sz w:val="24"/>
                <w:szCs w:val="24"/>
                <w:lang w:val="en-US" w:eastAsia="zh-CN" w:bidi="ar"/>
              </w:rPr>
            </w:pPr>
            <w:r>
              <w:rPr>
                <w:rFonts w:hint="default" w:ascii="Times New Roman" w:hAnsi="Times New Roman" w:eastAsia="宋体" w:cs="Times New Roman"/>
                <w:color w:val="FF0000"/>
                <w:kern w:val="0"/>
                <w:sz w:val="24"/>
                <w:szCs w:val="24"/>
                <w:lang w:val="en-US" w:eastAsia="zh-CN" w:bidi="ar"/>
              </w:rPr>
              <w:t>①投料粉尘</w:t>
            </w:r>
          </w:p>
          <w:p>
            <w:pPr>
              <w:keepNext w:val="0"/>
              <w:keepLines w:val="0"/>
              <w:widowControl/>
              <w:suppressLineNumbers w:val="0"/>
              <w:jc w:val="left"/>
              <w:rPr>
                <w:rFonts w:hint="default" w:ascii="Times New Roman" w:hAnsi="Times New Roman" w:cs="Times New Roman"/>
                <w:color w:val="FF0000"/>
                <w:kern w:val="0"/>
                <w:sz w:val="24"/>
                <w:szCs w:val="24"/>
                <w:lang w:val="en-US" w:eastAsia="zh-CN" w:bidi="ar"/>
              </w:rPr>
            </w:pPr>
            <w:r>
              <w:rPr>
                <w:rFonts w:hint="default" w:ascii="Times New Roman" w:hAnsi="Times New Roman" w:eastAsia="宋体" w:cs="Times New Roman"/>
                <w:color w:val="FF0000"/>
                <w:kern w:val="0"/>
                <w:sz w:val="24"/>
                <w:szCs w:val="24"/>
                <w:lang w:val="en-US" w:eastAsia="zh-CN" w:bidi="ar"/>
              </w:rPr>
              <w:t>鹅卵石采用皮带输送至</w:t>
            </w:r>
            <w:r>
              <w:rPr>
                <w:rFonts w:hint="default" w:ascii="Times New Roman" w:hAnsi="Times New Roman" w:cs="Times New Roman"/>
                <w:color w:val="FF0000"/>
                <w:kern w:val="0"/>
                <w:sz w:val="24"/>
                <w:szCs w:val="24"/>
                <w:lang w:val="en-US" w:eastAsia="zh-CN" w:bidi="ar"/>
              </w:rPr>
              <w:t>生产设备</w:t>
            </w:r>
            <w:r>
              <w:rPr>
                <w:rFonts w:hint="default" w:ascii="Times New Roman" w:hAnsi="Times New Roman" w:eastAsia="宋体" w:cs="Times New Roman"/>
                <w:color w:val="FF0000"/>
                <w:kern w:val="0"/>
                <w:sz w:val="24"/>
                <w:szCs w:val="24"/>
                <w:lang w:val="en-US" w:eastAsia="zh-CN" w:bidi="ar"/>
              </w:rPr>
              <w:t>，在投料过程中会产生一定量的扬尘，参考《逸散性工业粉尘控制技术》第二十二章混凝土分批搅拌厂逸散尘排放因子：装水泥、砂和粒料入称量斗粉尘产生系数为 0.01kg/t，本项目鹅卵石用量约为250000t/a，则投料工序粉尘产生量约为2.5t/a。</w:t>
            </w:r>
            <w:r>
              <w:rPr>
                <w:rFonts w:hint="default" w:ascii="Times New Roman" w:hAnsi="Times New Roman" w:cs="Times New Roman"/>
                <w:color w:val="FF0000"/>
                <w:kern w:val="0"/>
                <w:sz w:val="24"/>
                <w:szCs w:val="24"/>
                <w:lang w:val="en-US" w:eastAsia="zh-CN" w:bidi="ar"/>
              </w:rPr>
              <w:t>投料选粉采用微负压，粉尘收集效率按95%计算，则粉尘产生量为2.38t/a，未被收集无组织排放量为0.12t/a。</w:t>
            </w:r>
          </w:p>
          <w:p>
            <w:pPr>
              <w:pStyle w:val="2"/>
              <w:rPr>
                <w:rFonts w:hint="default" w:ascii="Times New Roman" w:hAnsi="Times New Roman" w:eastAsia="宋体" w:cs="Times New Roman"/>
                <w:color w:val="FF0000"/>
                <w:kern w:val="0"/>
                <w:sz w:val="24"/>
                <w:szCs w:val="24"/>
                <w:lang w:val="en-US" w:eastAsia="zh-CN" w:bidi="ar"/>
              </w:rPr>
            </w:pPr>
            <w:r>
              <w:rPr>
                <w:rFonts w:hint="default" w:ascii="Times New Roman" w:hAnsi="Times New Roman" w:eastAsia="宋体" w:cs="Times New Roman"/>
                <w:color w:val="FF0000"/>
                <w:kern w:val="0"/>
                <w:sz w:val="24"/>
                <w:szCs w:val="24"/>
                <w:lang w:val="en-US" w:eastAsia="zh-CN" w:bidi="ar"/>
              </w:rPr>
              <w:t>②破碎、筛分、球磨粉尘</w:t>
            </w:r>
          </w:p>
          <w:p>
            <w:pPr>
              <w:keepNext w:val="0"/>
              <w:keepLines w:val="0"/>
              <w:widowControl/>
              <w:suppressLineNumbers w:val="0"/>
              <w:jc w:val="left"/>
              <w:rPr>
                <w:rFonts w:hint="default" w:ascii="Times New Roman" w:hAnsi="Times New Roman" w:eastAsia="宋体" w:cs="Times New Roman"/>
                <w:color w:val="FF0000"/>
                <w:kern w:val="0"/>
                <w:sz w:val="24"/>
                <w:szCs w:val="24"/>
                <w:lang w:val="en-US" w:eastAsia="zh-CN" w:bidi="ar"/>
              </w:rPr>
            </w:pPr>
            <w:r>
              <w:rPr>
                <w:rFonts w:hint="default" w:ascii="Times New Roman" w:hAnsi="Times New Roman" w:eastAsia="宋体" w:cs="Times New Roman"/>
                <w:color w:val="FF0000"/>
                <w:kern w:val="0"/>
                <w:sz w:val="24"/>
                <w:szCs w:val="24"/>
                <w:lang w:val="en-US" w:eastAsia="zh-CN" w:bidi="ar"/>
              </w:rPr>
              <w:t>鹅卵石经过选粉后进入破碎，参考根据《排放源统计调查产排污核算方法和系数手册》（2021年6月）中 3099其他废金属矿物制品制造行业产排污系数，破碎、筛分和球磨颗粒物产污系数分别为1.13kg/t-产品、1.13kg/t-产品、1.19kg/t-产品，本项目鹅卵石用量约为250000t/a，则粉尘产生量分别为282.5t/a、282.5t/a、297.5t/a。</w:t>
            </w:r>
          </w:p>
          <w:p>
            <w:pPr>
              <w:pStyle w:val="2"/>
              <w:rPr>
                <w:rFonts w:hint="default" w:ascii="Times New Roman" w:hAnsi="Times New Roman" w:cs="Times New Roman"/>
                <w:color w:val="FF0000"/>
                <w:lang w:val="en-US" w:eastAsia="zh-CN"/>
              </w:rPr>
            </w:pPr>
            <w:r>
              <w:rPr>
                <w:rFonts w:hint="default" w:ascii="Times New Roman" w:hAnsi="Times New Roman" w:cs="Times New Roman"/>
                <w:color w:val="FF0000"/>
                <w:kern w:val="0"/>
                <w:sz w:val="24"/>
                <w:szCs w:val="24"/>
                <w:lang w:val="en-US" w:eastAsia="zh-CN" w:bidi="ar"/>
              </w:rPr>
              <w:t>破碎、筛分和球磨均采用密闭装置，收集效率按100%计算。</w:t>
            </w:r>
          </w:p>
          <w:p>
            <w:pPr>
              <w:pStyle w:val="2"/>
              <w:numPr>
                <w:ilvl w:val="0"/>
                <w:numId w:val="0"/>
              </w:numPr>
              <w:ind w:left="480" w:leftChars="0"/>
              <w:rPr>
                <w:rFonts w:hint="default" w:ascii="Times New Roman" w:hAnsi="Times New Roman" w:eastAsia="宋体" w:cs="Times New Roman"/>
                <w:color w:val="FF0000"/>
                <w:lang w:val="en-US" w:eastAsia="zh-CN"/>
              </w:rPr>
            </w:pPr>
            <w:r>
              <w:rPr>
                <w:rFonts w:hint="default" w:ascii="Times New Roman" w:hAnsi="Times New Roman" w:cs="Times New Roman"/>
                <w:color w:val="FF0000"/>
                <w:lang w:val="en-US" w:eastAsia="zh-CN"/>
              </w:rPr>
              <w:t>③运输粉尘</w:t>
            </w:r>
          </w:p>
          <w:p>
            <w:pPr>
              <w:pStyle w:val="2"/>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FF0000"/>
                <w:kern w:val="0"/>
                <w:sz w:val="24"/>
                <w:szCs w:val="24"/>
                <w:lang w:val="en-US" w:eastAsia="zh-CN" w:bidi="ar"/>
              </w:rPr>
            </w:pPr>
            <w:r>
              <w:rPr>
                <w:rFonts w:hint="default" w:ascii="Times New Roman" w:hAnsi="Times New Roman" w:cs="Times New Roman"/>
                <w:color w:val="FF0000"/>
                <w:lang w:val="en-US" w:eastAsia="zh-CN"/>
              </w:rPr>
              <w:t>本项目鹅卵石在输送过程中能够密闭输送采取密闭输送，不能密闭输送的采用半封闭式输送，根据《排放源统计调查产排污核算方法和系数手册》（2021 年 6 月）中 3021、3022、3029 水泥制品制造行业系数手册，物料输送储存过程中颗粒物产污系数0.12kg/t产品。</w:t>
            </w:r>
            <w:r>
              <w:rPr>
                <w:rFonts w:hint="default" w:ascii="Times New Roman" w:hAnsi="Times New Roman" w:eastAsia="宋体" w:cs="Times New Roman"/>
                <w:color w:val="FF0000"/>
                <w:kern w:val="0"/>
                <w:sz w:val="24"/>
                <w:szCs w:val="24"/>
                <w:lang w:val="en-US" w:eastAsia="zh-CN" w:bidi="ar"/>
              </w:rPr>
              <w:t>本项目河砂用量约为250000t/a，则</w:t>
            </w:r>
            <w:r>
              <w:rPr>
                <w:rFonts w:hint="default" w:ascii="Times New Roman" w:hAnsi="Times New Roman" w:cs="Times New Roman"/>
                <w:color w:val="FF0000"/>
                <w:kern w:val="0"/>
                <w:sz w:val="24"/>
                <w:szCs w:val="24"/>
                <w:lang w:val="en-US" w:eastAsia="zh-CN" w:bidi="ar"/>
              </w:rPr>
              <w:t>运输</w:t>
            </w:r>
            <w:r>
              <w:rPr>
                <w:rFonts w:hint="default" w:ascii="Times New Roman" w:hAnsi="Times New Roman" w:eastAsia="宋体" w:cs="Times New Roman"/>
                <w:color w:val="FF0000"/>
                <w:kern w:val="0"/>
                <w:sz w:val="24"/>
                <w:szCs w:val="24"/>
                <w:lang w:val="en-US" w:eastAsia="zh-CN" w:bidi="ar"/>
              </w:rPr>
              <w:t>粉尘产生量约为30t/a</w:t>
            </w:r>
            <w:r>
              <w:rPr>
                <w:rFonts w:hint="default" w:ascii="Times New Roman" w:hAnsi="Times New Roman" w:cs="Times New Roman"/>
                <w:color w:val="FF0000"/>
                <w:kern w:val="0"/>
                <w:sz w:val="24"/>
                <w:szCs w:val="24"/>
                <w:lang w:val="en-US" w:eastAsia="zh-CN" w:bidi="ar"/>
              </w:rPr>
              <w:t>，粉尘收集效率按95%计算，则粉尘产生量为28.5t/a，未被收集粉尘量1.5t/a</w:t>
            </w:r>
            <w:r>
              <w:rPr>
                <w:rFonts w:hint="default" w:ascii="Times New Roman" w:hAnsi="Times New Roman" w:eastAsia="宋体" w:cs="Times New Roman"/>
                <w:color w:val="FF0000"/>
                <w:kern w:val="0"/>
                <w:sz w:val="24"/>
                <w:szCs w:val="24"/>
                <w:lang w:val="en-US" w:eastAsia="zh-CN" w:bidi="ar"/>
              </w:rPr>
              <w:t>。</w:t>
            </w:r>
          </w:p>
          <w:p>
            <w:pPr>
              <w:bidi w:val="0"/>
              <w:rPr>
                <w:rFonts w:hint="default" w:ascii="Times New Roman" w:hAnsi="Times New Roman" w:cs="Times New Roman"/>
                <w:color w:val="FF0000"/>
                <w:highlight w:val="none"/>
                <w:lang w:val="en-US" w:eastAsia="zh-CN"/>
              </w:rPr>
            </w:pPr>
            <w:r>
              <w:rPr>
                <w:rFonts w:hint="default" w:ascii="Times New Roman" w:hAnsi="Times New Roman" w:cs="Times New Roman"/>
                <w:color w:val="FF0000"/>
                <w:lang w:val="en-US" w:eastAsia="zh-CN"/>
              </w:rPr>
              <w:t>本项目</w:t>
            </w:r>
            <w:r>
              <w:rPr>
                <w:rFonts w:hint="default" w:ascii="Times New Roman" w:hAnsi="Times New Roman" w:cs="Times New Roman"/>
                <w:color w:val="FF0000"/>
                <w:sz w:val="24"/>
                <w:lang w:val="en-US" w:eastAsia="zh-CN"/>
              </w:rPr>
              <w:t>筛分、破碎、球磨等</w:t>
            </w:r>
            <w:r>
              <w:rPr>
                <w:rFonts w:hint="default" w:ascii="Times New Roman" w:hAnsi="Times New Roman" w:cs="Times New Roman"/>
                <w:color w:val="FF0000"/>
                <w:lang w:val="en-US" w:eastAsia="zh-CN"/>
              </w:rPr>
              <w:t>工序采用密闭式+脉冲布袋除尘器，其余各产尘点如输送、投料等无法全封闭的产尘点采用半封闭式或负压投料，采取集气罩收集粉尘和脉冲布袋除尘器处理废气，经过处理后废气与其他废气一起通过DA002的排气筒排放。风机总风量为</w:t>
            </w:r>
            <w:r>
              <w:rPr>
                <w:rFonts w:hint="default" w:ascii="Times New Roman" w:hAnsi="Times New Roman" w:cs="Times New Roman"/>
                <w:color w:val="FF0000"/>
                <w:highlight w:val="none"/>
                <w:lang w:val="en-US" w:eastAsia="zh-CN"/>
              </w:rPr>
              <w:t>40000m</w:t>
            </w:r>
            <w:r>
              <w:rPr>
                <w:rFonts w:hint="default" w:ascii="Times New Roman" w:hAnsi="Times New Roman" w:cs="Times New Roman"/>
                <w:color w:val="FF0000"/>
                <w:highlight w:val="none"/>
                <w:vertAlign w:val="superscript"/>
                <w:lang w:val="en-US" w:eastAsia="zh-CN"/>
              </w:rPr>
              <w:t>3</w:t>
            </w:r>
            <w:r>
              <w:rPr>
                <w:rFonts w:hint="default" w:ascii="Times New Roman" w:hAnsi="Times New Roman" w:cs="Times New Roman"/>
                <w:color w:val="FF0000"/>
                <w:highlight w:val="none"/>
                <w:lang w:val="en-US" w:eastAsia="zh-CN"/>
              </w:rPr>
              <w:t>/h，年工作时间为5000h。</w:t>
            </w:r>
          </w:p>
          <w:p>
            <w:pPr>
              <w:pStyle w:val="2"/>
              <w:rPr>
                <w:rFonts w:hint="default" w:ascii="Times New Roman" w:hAnsi="Times New Roman" w:cs="Times New Roman"/>
                <w:color w:val="FF0000"/>
                <w:highlight w:val="none"/>
                <w:lang w:val="en-US" w:eastAsia="zh-CN"/>
              </w:rPr>
            </w:pPr>
            <w:r>
              <w:rPr>
                <w:rFonts w:hint="default" w:ascii="Times New Roman" w:hAnsi="Times New Roman" w:cs="Times New Roman"/>
                <w:color w:val="FF0000"/>
                <w:highlight w:val="none"/>
                <w:lang w:val="en-US" w:eastAsia="zh-CN"/>
              </w:rPr>
              <w:t>项目集气罩收集效率按95%计算，脉冲布袋除尘器设计处理效率为99.5%计算。则鹅卵石破碎、筛分等工序废气产生及排放情况见下表。</w:t>
            </w:r>
          </w:p>
          <w:p>
            <w:pPr>
              <w:pStyle w:val="2"/>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表4-8 鹅卵石制砂生产线破碎、筛分等工序污染物产生和排放情况</w:t>
            </w:r>
          </w:p>
          <w:tbl>
            <w:tblPr>
              <w:tblStyle w:val="21"/>
              <w:tblW w:w="4955"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842"/>
              <w:gridCol w:w="603"/>
              <w:gridCol w:w="843"/>
              <w:gridCol w:w="1007"/>
              <w:gridCol w:w="1017"/>
              <w:gridCol w:w="1175"/>
              <w:gridCol w:w="843"/>
              <w:gridCol w:w="1192"/>
              <w:gridCol w:w="10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493"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污染源</w:t>
                  </w:r>
                </w:p>
              </w:tc>
              <w:tc>
                <w:tcPr>
                  <w:tcW w:w="352"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污染物</w:t>
                  </w:r>
                </w:p>
              </w:tc>
              <w:tc>
                <w:tcPr>
                  <w:tcW w:w="1084"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产生情况</w:t>
                  </w:r>
                </w:p>
              </w:tc>
              <w:tc>
                <w:tcPr>
                  <w:tcW w:w="596"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收集措施及效率</w:t>
                  </w:r>
                </w:p>
              </w:tc>
              <w:tc>
                <w:tcPr>
                  <w:tcW w:w="688"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治理措施及效率</w:t>
                  </w:r>
                </w:p>
              </w:tc>
              <w:tc>
                <w:tcPr>
                  <w:tcW w:w="1783" w:type="pct"/>
                  <w:gridSpan w:val="3"/>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trPr>
              <w:tc>
                <w:tcPr>
                  <w:tcW w:w="493"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352"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4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产生量（t/a）</w:t>
                  </w:r>
                </w:p>
              </w:tc>
              <w:tc>
                <w:tcPr>
                  <w:tcW w:w="5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产生速率（kg/h）</w:t>
                  </w:r>
                </w:p>
              </w:tc>
              <w:tc>
                <w:tcPr>
                  <w:tcW w:w="59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68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4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排放量（t/a）</w:t>
                  </w:r>
                </w:p>
              </w:tc>
              <w:tc>
                <w:tcPr>
                  <w:tcW w:w="69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排放浓度（mg/m</w:t>
                  </w:r>
                  <w:r>
                    <w:rPr>
                      <w:rFonts w:hint="default" w:ascii="Times New Roman" w:hAnsi="Times New Roman" w:eastAsia="宋体" w:cs="Times New Roman"/>
                      <w:i w:val="0"/>
                      <w:iCs w:val="0"/>
                      <w:color w:val="FF0000"/>
                      <w:kern w:val="0"/>
                      <w:sz w:val="21"/>
                      <w:szCs w:val="21"/>
                      <w:u w:val="none"/>
                      <w:vertAlign w:val="superscript"/>
                      <w:lang w:val="en-US" w:eastAsia="zh-CN" w:bidi="ar"/>
                    </w:rPr>
                    <w:t>3</w:t>
                  </w:r>
                  <w:r>
                    <w:rPr>
                      <w:rFonts w:hint="default" w:ascii="Times New Roman" w:hAnsi="Times New Roman" w:eastAsia="宋体" w:cs="Times New Roman"/>
                      <w:i w:val="0"/>
                      <w:iCs w:val="0"/>
                      <w:color w:val="FF0000"/>
                      <w:kern w:val="0"/>
                      <w:sz w:val="21"/>
                      <w:szCs w:val="21"/>
                      <w:u w:val="none"/>
                      <w:lang w:val="en-US" w:eastAsia="zh-CN" w:bidi="ar"/>
                    </w:rPr>
                    <w:t>）</w:t>
                  </w:r>
                </w:p>
              </w:tc>
              <w:tc>
                <w:tcPr>
                  <w:tcW w:w="5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6" w:hRule="atLeast"/>
              </w:trPr>
              <w:tc>
                <w:tcPr>
                  <w:tcW w:w="49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破碎、筛分、球磨</w:t>
                  </w:r>
                </w:p>
              </w:tc>
              <w:tc>
                <w:tcPr>
                  <w:tcW w:w="352"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颗粒物</w:t>
                  </w:r>
                </w:p>
              </w:tc>
              <w:tc>
                <w:tcPr>
                  <w:tcW w:w="4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762.5</w:t>
                  </w:r>
                </w:p>
              </w:tc>
              <w:tc>
                <w:tcPr>
                  <w:tcW w:w="5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152.5</w:t>
                  </w:r>
                </w:p>
              </w:tc>
              <w:tc>
                <w:tcPr>
                  <w:tcW w:w="59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全密闭100%</w:t>
                  </w:r>
                </w:p>
              </w:tc>
              <w:tc>
                <w:tcPr>
                  <w:tcW w:w="688"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脉冲布袋除尘器（99.5%）+DA002排气筒</w:t>
                  </w:r>
                </w:p>
              </w:tc>
              <w:tc>
                <w:tcPr>
                  <w:tcW w:w="4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3.81</w:t>
                  </w:r>
                </w:p>
              </w:tc>
              <w:tc>
                <w:tcPr>
                  <w:tcW w:w="69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19.06</w:t>
                  </w:r>
                </w:p>
              </w:tc>
              <w:tc>
                <w:tcPr>
                  <w:tcW w:w="5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6" w:hRule="atLeast"/>
              </w:trPr>
              <w:tc>
                <w:tcPr>
                  <w:tcW w:w="49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投料、运输</w:t>
                  </w:r>
                </w:p>
              </w:tc>
              <w:tc>
                <w:tcPr>
                  <w:tcW w:w="352"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4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32.5</w:t>
                  </w:r>
                </w:p>
              </w:tc>
              <w:tc>
                <w:tcPr>
                  <w:tcW w:w="5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6.5</w:t>
                  </w:r>
                </w:p>
              </w:tc>
              <w:tc>
                <w:tcPr>
                  <w:tcW w:w="59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半封闭+集气罩（95%）</w:t>
                  </w:r>
                </w:p>
              </w:tc>
              <w:tc>
                <w:tcPr>
                  <w:tcW w:w="68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4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0.15</w:t>
                  </w:r>
                </w:p>
              </w:tc>
              <w:tc>
                <w:tcPr>
                  <w:tcW w:w="69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0.77</w:t>
                  </w:r>
                </w:p>
              </w:tc>
              <w:tc>
                <w:tcPr>
                  <w:tcW w:w="5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846"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合计</w:t>
                  </w:r>
                </w:p>
              </w:tc>
              <w:tc>
                <w:tcPr>
                  <w:tcW w:w="4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795</w:t>
                  </w:r>
                </w:p>
              </w:tc>
              <w:tc>
                <w:tcPr>
                  <w:tcW w:w="5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159</w:t>
                  </w:r>
                </w:p>
              </w:tc>
              <w:tc>
                <w:tcPr>
                  <w:tcW w:w="59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w:t>
                  </w:r>
                </w:p>
              </w:tc>
              <w:tc>
                <w:tcPr>
                  <w:tcW w:w="68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49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3.96</w:t>
                  </w:r>
                </w:p>
              </w:tc>
              <w:tc>
                <w:tcPr>
                  <w:tcW w:w="698"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19.83</w:t>
                  </w:r>
                </w:p>
              </w:tc>
              <w:tc>
                <w:tcPr>
                  <w:tcW w:w="5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0.79</w:t>
                  </w:r>
                </w:p>
              </w:tc>
            </w:tr>
          </w:tbl>
          <w:p>
            <w:pPr>
              <w:pStyle w:val="2"/>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（3）石灰石制砂生产线</w:t>
            </w:r>
          </w:p>
          <w:p>
            <w:pPr>
              <w:numPr>
                <w:ilvl w:val="0"/>
                <w:numId w:val="0"/>
              </w:numPr>
              <w:bidi w:val="0"/>
              <w:ind w:firstLine="480" w:firstLineChars="200"/>
              <w:rPr>
                <w:rFonts w:hint="default" w:ascii="Times New Roman" w:hAnsi="Times New Roman" w:eastAsia="宋体" w:cs="Times New Roman"/>
                <w:color w:val="FF0000"/>
                <w:kern w:val="0"/>
                <w:sz w:val="24"/>
                <w:szCs w:val="24"/>
                <w:lang w:val="en-US" w:eastAsia="zh-CN" w:bidi="ar"/>
              </w:rPr>
            </w:pPr>
            <w:r>
              <w:rPr>
                <w:rFonts w:hint="default" w:ascii="Times New Roman" w:hAnsi="Times New Roman" w:eastAsia="宋体" w:cs="Times New Roman"/>
                <w:color w:val="FF0000"/>
                <w:kern w:val="0"/>
                <w:sz w:val="24"/>
                <w:szCs w:val="24"/>
                <w:lang w:val="en-US" w:eastAsia="zh-CN" w:bidi="ar"/>
              </w:rPr>
              <w:t>①投料粉尘</w:t>
            </w:r>
          </w:p>
          <w:p>
            <w:pPr>
              <w:keepNext w:val="0"/>
              <w:keepLines w:val="0"/>
              <w:widowControl/>
              <w:suppressLineNumbers w:val="0"/>
              <w:jc w:val="left"/>
              <w:rPr>
                <w:rFonts w:hint="default" w:ascii="Times New Roman" w:hAnsi="Times New Roman" w:eastAsia="宋体" w:cs="Times New Roman"/>
                <w:color w:val="FF0000"/>
                <w:kern w:val="0"/>
                <w:sz w:val="24"/>
                <w:szCs w:val="24"/>
                <w:lang w:val="en-US" w:eastAsia="zh-CN" w:bidi="ar"/>
              </w:rPr>
            </w:pPr>
            <w:r>
              <w:rPr>
                <w:rFonts w:hint="default" w:ascii="Times New Roman" w:hAnsi="Times New Roman" w:eastAsia="宋体" w:cs="Times New Roman"/>
                <w:color w:val="FF0000"/>
                <w:kern w:val="0"/>
                <w:sz w:val="24"/>
                <w:szCs w:val="24"/>
                <w:lang w:val="en-US" w:eastAsia="zh-CN" w:bidi="ar"/>
              </w:rPr>
              <w:t>石灰石采用皮带输送至给料机，在投料过程中会产生一定量的扬尘，参考《逸散性工业粉尘控制技术》第二十二章混凝土分批搅拌厂逸散尘排放因子：装水泥、砂和粒料入称量斗粉尘产生系数为 0.02kg/t，本项目石灰石用量约为400000t/a，则投料工序粉尘产生量约为8.0t/a。</w:t>
            </w:r>
            <w:r>
              <w:rPr>
                <w:rFonts w:hint="default" w:ascii="Times New Roman" w:hAnsi="Times New Roman" w:cs="Times New Roman"/>
                <w:color w:val="FF0000"/>
                <w:kern w:val="0"/>
                <w:sz w:val="24"/>
                <w:szCs w:val="24"/>
                <w:lang w:val="en-US" w:eastAsia="zh-CN" w:bidi="ar"/>
              </w:rPr>
              <w:t>投料选粉采用微负压，粉尘收集效率按95%计算，则粉尘产生量为7.6t/a，未被收集无组织排放量为0.4t/a。</w:t>
            </w:r>
          </w:p>
          <w:p>
            <w:pPr>
              <w:pStyle w:val="2"/>
              <w:rPr>
                <w:rFonts w:hint="default" w:ascii="Times New Roman" w:hAnsi="Times New Roman" w:eastAsia="宋体" w:cs="Times New Roman"/>
                <w:color w:val="FF0000"/>
                <w:kern w:val="0"/>
                <w:sz w:val="24"/>
                <w:szCs w:val="24"/>
                <w:lang w:val="en-US" w:eastAsia="zh-CN" w:bidi="ar"/>
              </w:rPr>
            </w:pPr>
            <w:r>
              <w:rPr>
                <w:rFonts w:hint="default" w:ascii="Times New Roman" w:hAnsi="Times New Roman" w:eastAsia="宋体" w:cs="Times New Roman"/>
                <w:color w:val="FF0000"/>
                <w:kern w:val="0"/>
                <w:sz w:val="24"/>
                <w:szCs w:val="24"/>
                <w:lang w:val="en-US" w:eastAsia="zh-CN" w:bidi="ar"/>
              </w:rPr>
              <w:t>②制砂、筛分粉尘</w:t>
            </w:r>
          </w:p>
          <w:p>
            <w:pPr>
              <w:keepNext w:val="0"/>
              <w:keepLines w:val="0"/>
              <w:widowControl/>
              <w:suppressLineNumbers w:val="0"/>
              <w:jc w:val="left"/>
              <w:rPr>
                <w:rFonts w:hint="default" w:ascii="Times New Roman" w:hAnsi="Times New Roman" w:cs="Times New Roman"/>
                <w:color w:val="FF0000"/>
                <w:lang w:val="en-US" w:eastAsia="zh-CN"/>
              </w:rPr>
            </w:pPr>
            <w:r>
              <w:rPr>
                <w:rFonts w:hint="default" w:ascii="Times New Roman" w:hAnsi="Times New Roman" w:eastAsia="宋体" w:cs="Times New Roman"/>
                <w:color w:val="FF0000"/>
                <w:kern w:val="0"/>
                <w:sz w:val="24"/>
                <w:szCs w:val="24"/>
                <w:lang w:val="en-US" w:eastAsia="zh-CN" w:bidi="ar"/>
              </w:rPr>
              <w:t>石灰石经过给料机进入制砂设备进行</w:t>
            </w:r>
            <w:r>
              <w:rPr>
                <w:rFonts w:hint="default" w:ascii="Times New Roman" w:hAnsi="Times New Roman" w:cs="Times New Roman"/>
                <w:color w:val="FF0000"/>
                <w:kern w:val="0"/>
                <w:sz w:val="24"/>
                <w:szCs w:val="24"/>
                <w:lang w:val="en-US" w:eastAsia="zh-CN" w:bidi="ar"/>
              </w:rPr>
              <w:t>粉碎</w:t>
            </w:r>
            <w:r>
              <w:rPr>
                <w:rFonts w:hint="default" w:ascii="Times New Roman" w:hAnsi="Times New Roman" w:eastAsia="宋体" w:cs="Times New Roman"/>
                <w:color w:val="FF0000"/>
                <w:kern w:val="0"/>
                <w:sz w:val="24"/>
                <w:szCs w:val="24"/>
                <w:lang w:val="en-US" w:eastAsia="zh-CN" w:bidi="ar"/>
              </w:rPr>
              <w:t>，制砂设备全密闭，污染物产生情况参考根据《排放源统计调查产排污核算方法和系数手册》（2021年6月）中 3099其他废金属矿物制品制造行业产排污系数，</w:t>
            </w:r>
            <w:r>
              <w:rPr>
                <w:rFonts w:hint="default" w:ascii="Times New Roman" w:hAnsi="Times New Roman" w:cs="Times New Roman"/>
                <w:color w:val="FF0000"/>
                <w:kern w:val="0"/>
                <w:sz w:val="24"/>
                <w:szCs w:val="24"/>
                <w:lang w:val="en-US" w:eastAsia="zh-CN" w:bidi="ar"/>
              </w:rPr>
              <w:t>破碎</w:t>
            </w:r>
            <w:r>
              <w:rPr>
                <w:rFonts w:hint="default" w:ascii="Times New Roman" w:hAnsi="Times New Roman" w:eastAsia="宋体" w:cs="Times New Roman"/>
                <w:color w:val="FF0000"/>
                <w:kern w:val="0"/>
                <w:sz w:val="24"/>
                <w:szCs w:val="24"/>
                <w:lang w:val="en-US" w:eastAsia="zh-CN" w:bidi="ar"/>
              </w:rPr>
              <w:t>、筛分颗粒物产污系数</w:t>
            </w:r>
            <w:r>
              <w:rPr>
                <w:rFonts w:hint="default" w:ascii="Times New Roman" w:hAnsi="Times New Roman" w:cs="Times New Roman"/>
                <w:color w:val="FF0000"/>
                <w:kern w:val="0"/>
                <w:sz w:val="24"/>
                <w:szCs w:val="24"/>
                <w:lang w:val="en-US" w:eastAsia="zh-CN" w:bidi="ar"/>
              </w:rPr>
              <w:t>均</w:t>
            </w:r>
            <w:r>
              <w:rPr>
                <w:rFonts w:hint="default" w:ascii="Times New Roman" w:hAnsi="Times New Roman" w:eastAsia="宋体" w:cs="Times New Roman"/>
                <w:color w:val="FF0000"/>
                <w:kern w:val="0"/>
                <w:sz w:val="24"/>
                <w:szCs w:val="24"/>
                <w:lang w:val="en-US" w:eastAsia="zh-CN" w:bidi="ar"/>
              </w:rPr>
              <w:t>为1.13kg/t-产品，本项目石灰石用量约为400000t/a，则粉尘产生量</w:t>
            </w:r>
            <w:r>
              <w:rPr>
                <w:rFonts w:hint="default" w:ascii="Times New Roman" w:hAnsi="Times New Roman" w:cs="Times New Roman"/>
                <w:color w:val="FF0000"/>
                <w:kern w:val="0"/>
                <w:sz w:val="24"/>
                <w:szCs w:val="24"/>
                <w:lang w:val="en-US" w:eastAsia="zh-CN" w:bidi="ar"/>
              </w:rPr>
              <w:t>均</w:t>
            </w:r>
            <w:r>
              <w:rPr>
                <w:rFonts w:hint="default" w:ascii="Times New Roman" w:hAnsi="Times New Roman" w:eastAsia="宋体" w:cs="Times New Roman"/>
                <w:color w:val="FF0000"/>
                <w:kern w:val="0"/>
                <w:sz w:val="24"/>
                <w:szCs w:val="24"/>
                <w:lang w:val="en-US" w:eastAsia="zh-CN" w:bidi="ar"/>
              </w:rPr>
              <w:t>为452t/a</w:t>
            </w:r>
            <w:r>
              <w:rPr>
                <w:rFonts w:hint="default" w:ascii="Times New Roman" w:hAnsi="Times New Roman" w:cs="Times New Roman"/>
                <w:color w:val="FF0000"/>
                <w:kern w:val="0"/>
                <w:sz w:val="24"/>
                <w:szCs w:val="24"/>
                <w:lang w:val="en-US" w:eastAsia="zh-CN" w:bidi="ar"/>
              </w:rPr>
              <w:t>，粉尘产生量共计904t/a</w:t>
            </w:r>
            <w:r>
              <w:rPr>
                <w:rFonts w:hint="default" w:ascii="Times New Roman" w:hAnsi="Times New Roman" w:eastAsia="宋体" w:cs="Times New Roman"/>
                <w:color w:val="FF0000"/>
                <w:kern w:val="0"/>
                <w:sz w:val="24"/>
                <w:szCs w:val="24"/>
                <w:lang w:val="en-US" w:eastAsia="zh-CN" w:bidi="ar"/>
              </w:rPr>
              <w:t>。</w:t>
            </w:r>
            <w:r>
              <w:rPr>
                <w:rFonts w:hint="default" w:ascii="Times New Roman" w:hAnsi="Times New Roman" w:cs="Times New Roman"/>
                <w:color w:val="FF0000"/>
                <w:lang w:val="en-US" w:eastAsia="zh-CN"/>
              </w:rPr>
              <w:t>制砂、筛分等设备全密闭，粉尘收集效率为100%。</w:t>
            </w:r>
          </w:p>
          <w:p>
            <w:pPr>
              <w:pStyle w:val="2"/>
              <w:numPr>
                <w:ilvl w:val="0"/>
                <w:numId w:val="0"/>
              </w:numPr>
              <w:ind w:leftChars="200"/>
              <w:rPr>
                <w:rFonts w:hint="default" w:ascii="Times New Roman" w:hAnsi="Times New Roman" w:eastAsia="宋体" w:cs="Times New Roman"/>
                <w:color w:val="FF0000"/>
                <w:lang w:val="en-US" w:eastAsia="zh-CN"/>
              </w:rPr>
            </w:pPr>
            <w:r>
              <w:rPr>
                <w:rFonts w:hint="default" w:ascii="Times New Roman" w:hAnsi="Times New Roman" w:cs="Times New Roman"/>
                <w:color w:val="FF0000"/>
                <w:lang w:val="en-US" w:eastAsia="zh-CN"/>
              </w:rPr>
              <w:t>③运输粉尘</w:t>
            </w:r>
          </w:p>
          <w:p>
            <w:pPr>
              <w:pStyle w:val="2"/>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FF0000"/>
                <w:lang w:val="en-US" w:eastAsia="zh-CN"/>
              </w:rPr>
            </w:pPr>
            <w:r>
              <w:rPr>
                <w:rFonts w:hint="default" w:ascii="Times New Roman" w:hAnsi="Times New Roman" w:cs="Times New Roman"/>
                <w:color w:val="FF0000"/>
                <w:lang w:val="en-US" w:eastAsia="zh-CN"/>
              </w:rPr>
              <w:t>本项目石灰石在输送过程中能够密闭输送采取密闭输送，不能密闭输送的采用半封闭式输送，</w:t>
            </w:r>
            <w:r>
              <w:rPr>
                <w:rFonts w:hint="default" w:ascii="Times New Roman" w:hAnsi="Times New Roman" w:eastAsia="宋体" w:cs="Times New Roman"/>
                <w:color w:val="FF0000"/>
                <w:kern w:val="0"/>
                <w:sz w:val="24"/>
                <w:szCs w:val="24"/>
                <w:lang w:val="en-US" w:eastAsia="zh-CN" w:bidi="ar"/>
              </w:rPr>
              <w:t>参考《排放源统计调查产排污核算方法和系数手册》（2021 年 6 月）中 3021、 3022、3029 水泥制品制造行业系数手册，物料输送储存过程中颗粒物产污系数0.12kg/t 产品。本项目石灰石用量约为400000t/a，则</w:t>
            </w:r>
            <w:r>
              <w:rPr>
                <w:rFonts w:hint="default" w:ascii="Times New Roman" w:hAnsi="Times New Roman" w:cs="Times New Roman"/>
                <w:color w:val="FF0000"/>
                <w:kern w:val="0"/>
                <w:sz w:val="24"/>
                <w:szCs w:val="24"/>
                <w:lang w:val="en-US" w:eastAsia="zh-CN" w:bidi="ar"/>
              </w:rPr>
              <w:t>运输</w:t>
            </w:r>
            <w:r>
              <w:rPr>
                <w:rFonts w:hint="default" w:ascii="Times New Roman" w:hAnsi="Times New Roman" w:eastAsia="宋体" w:cs="Times New Roman"/>
                <w:color w:val="FF0000"/>
                <w:kern w:val="0"/>
                <w:sz w:val="24"/>
                <w:szCs w:val="24"/>
                <w:lang w:val="en-US" w:eastAsia="zh-CN" w:bidi="ar"/>
              </w:rPr>
              <w:t>工序粉尘产生量约为48t/a。</w:t>
            </w:r>
            <w:r>
              <w:rPr>
                <w:rFonts w:hint="default" w:ascii="Times New Roman" w:hAnsi="Times New Roman" w:cs="Times New Roman"/>
                <w:color w:val="FF0000"/>
                <w:kern w:val="0"/>
                <w:sz w:val="24"/>
                <w:szCs w:val="24"/>
                <w:lang w:val="en-US" w:eastAsia="zh-CN" w:bidi="ar"/>
              </w:rPr>
              <w:t>粉尘收集效率按95%计算，则粉尘产生量为45.2t/a，未被收集粉尘量2.4t/a</w:t>
            </w:r>
            <w:r>
              <w:rPr>
                <w:rFonts w:hint="default" w:ascii="Times New Roman" w:hAnsi="Times New Roman" w:eastAsia="宋体" w:cs="Times New Roman"/>
                <w:color w:val="FF0000"/>
                <w:kern w:val="0"/>
                <w:sz w:val="24"/>
                <w:szCs w:val="24"/>
                <w:lang w:val="en-US" w:eastAsia="zh-CN" w:bidi="ar"/>
              </w:rPr>
              <w:t>。</w:t>
            </w:r>
          </w:p>
          <w:p>
            <w:pPr>
              <w:pStyle w:val="2"/>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FF0000"/>
                <w:highlight w:val="none"/>
                <w:lang w:val="en-US" w:eastAsia="zh-CN"/>
              </w:rPr>
            </w:pPr>
            <w:r>
              <w:rPr>
                <w:rFonts w:hint="default" w:ascii="Times New Roman" w:hAnsi="Times New Roman" w:cs="Times New Roman"/>
                <w:color w:val="FF0000"/>
                <w:lang w:val="en-US" w:eastAsia="zh-CN"/>
              </w:rPr>
              <w:t>本项目</w:t>
            </w:r>
            <w:r>
              <w:rPr>
                <w:rFonts w:hint="default" w:ascii="Times New Roman" w:hAnsi="Times New Roman" w:cs="Times New Roman"/>
                <w:color w:val="FF0000"/>
                <w:kern w:val="0"/>
                <w:sz w:val="24"/>
                <w:szCs w:val="24"/>
                <w:lang w:val="en-US" w:eastAsia="zh-CN" w:bidi="ar"/>
              </w:rPr>
              <w:t>制砂、筛分</w:t>
            </w:r>
            <w:r>
              <w:rPr>
                <w:rFonts w:hint="default" w:ascii="Times New Roman" w:hAnsi="Times New Roman" w:cs="Times New Roman"/>
                <w:color w:val="FF0000"/>
                <w:lang w:val="en-US" w:eastAsia="zh-CN"/>
              </w:rPr>
              <w:t>工序采用密闭式+脉冲布袋除尘处理，在各产尘点如输送、投料等无法全封闭的产尘点采用半封闭式或负压投料，采用集气罩+脉冲布袋除尘处理废气，各产尘点收集的粉尘经过脉冲布袋除尘器处理后与其他废气一起汇入52m高的DA003的排气筒排放。风机总风量为</w:t>
            </w:r>
            <w:r>
              <w:rPr>
                <w:rFonts w:hint="default" w:ascii="Times New Roman" w:hAnsi="Times New Roman" w:cs="Times New Roman"/>
                <w:color w:val="FF0000"/>
                <w:highlight w:val="none"/>
                <w:lang w:val="en-US" w:eastAsia="zh-CN"/>
              </w:rPr>
              <w:t>56000m</w:t>
            </w:r>
            <w:r>
              <w:rPr>
                <w:rFonts w:hint="default" w:ascii="Times New Roman" w:hAnsi="Times New Roman" w:cs="Times New Roman"/>
                <w:color w:val="FF0000"/>
                <w:highlight w:val="none"/>
                <w:vertAlign w:val="superscript"/>
                <w:lang w:val="en-US" w:eastAsia="zh-CN"/>
              </w:rPr>
              <w:t>3</w:t>
            </w:r>
            <w:r>
              <w:rPr>
                <w:rFonts w:hint="default" w:ascii="Times New Roman" w:hAnsi="Times New Roman" w:cs="Times New Roman"/>
                <w:color w:val="FF0000"/>
                <w:highlight w:val="none"/>
                <w:lang w:val="en-US" w:eastAsia="zh-CN"/>
              </w:rPr>
              <w:t>/h，年工作时间为5000h。</w:t>
            </w:r>
          </w:p>
          <w:p>
            <w:pPr>
              <w:pStyle w:val="2"/>
              <w:rPr>
                <w:rFonts w:hint="default" w:ascii="Times New Roman" w:hAnsi="Times New Roman" w:cs="Times New Roman"/>
                <w:color w:val="FF0000"/>
                <w:highlight w:val="none"/>
                <w:lang w:val="en-US" w:eastAsia="zh-CN"/>
              </w:rPr>
            </w:pPr>
            <w:r>
              <w:rPr>
                <w:rFonts w:hint="default" w:ascii="Times New Roman" w:hAnsi="Times New Roman" w:cs="Times New Roman"/>
                <w:color w:val="FF0000"/>
                <w:highlight w:val="none"/>
                <w:lang w:val="en-US" w:eastAsia="zh-CN"/>
              </w:rPr>
              <w:t>项目集气罩收集效率按95%计算，脉冲布袋除尘器设计处理效率为99.5%计算。则石灰石生产线废气产生及排放情况见下表。</w:t>
            </w:r>
          </w:p>
          <w:p>
            <w:pPr>
              <w:keepNext w:val="0"/>
              <w:keepLines w:val="0"/>
              <w:widowControl/>
              <w:suppressLineNumbers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表4-8 石灰石制砂生产线污染物产生和排放情况</w:t>
            </w:r>
          </w:p>
          <w:tbl>
            <w:tblPr>
              <w:tblStyle w:val="21"/>
              <w:tblW w:w="863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75"/>
              <w:gridCol w:w="664"/>
              <w:gridCol w:w="944"/>
              <w:gridCol w:w="1125"/>
              <w:gridCol w:w="1016"/>
              <w:gridCol w:w="1167"/>
              <w:gridCol w:w="849"/>
              <w:gridCol w:w="1182"/>
              <w:gridCol w:w="101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9" w:hRule="atLeast"/>
              </w:trPr>
              <w:tc>
                <w:tcPr>
                  <w:tcW w:w="391"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污染源</w:t>
                  </w:r>
                </w:p>
              </w:tc>
              <w:tc>
                <w:tcPr>
                  <w:tcW w:w="383" w:type="pct"/>
                  <w:vMerge w:val="restar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污染物</w:t>
                  </w:r>
                </w:p>
              </w:tc>
              <w:tc>
                <w:tcPr>
                  <w:tcW w:w="1197" w:type="pct"/>
                  <w:gridSpan w:val="2"/>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0"/>
                      <w:sz w:val="21"/>
                      <w:szCs w:val="21"/>
                      <w:u w:val="none"/>
                      <w:lang w:val="en-US" w:eastAsia="zh-CN" w:bidi="ar"/>
                    </w:rPr>
                  </w:pPr>
                  <w:r>
                    <w:rPr>
                      <w:rFonts w:hint="default" w:ascii="Times New Roman" w:hAnsi="Times New Roman" w:eastAsia="宋体" w:cs="Times New Roman"/>
                      <w:i w:val="0"/>
                      <w:iCs w:val="0"/>
                      <w:color w:val="FF0000"/>
                      <w:kern w:val="0"/>
                      <w:sz w:val="21"/>
                      <w:szCs w:val="21"/>
                      <w:u w:val="none"/>
                      <w:lang w:val="en-US" w:eastAsia="zh-CN" w:bidi="ar"/>
                    </w:rPr>
                    <w:t>产生情况</w:t>
                  </w:r>
                </w:p>
              </w:tc>
              <w:tc>
                <w:tcPr>
                  <w:tcW w:w="588" w:type="pct"/>
                  <w:vMerge w:val="restar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收集措施及效率</w:t>
                  </w:r>
                </w:p>
              </w:tc>
              <w:tc>
                <w:tcPr>
                  <w:tcW w:w="675" w:type="pct"/>
                  <w:vMerge w:val="restar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治理措施及效率</w:t>
                  </w:r>
                </w:p>
              </w:tc>
              <w:tc>
                <w:tcPr>
                  <w:tcW w:w="1762" w:type="pct"/>
                  <w:gridSpan w:val="3"/>
                  <w:tcBorders>
                    <w:top w:val="single" w:color="000000" w:sz="8" w:space="0"/>
                    <w:left w:val="nil"/>
                    <w:bottom w:val="nil"/>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排放情况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93" w:hRule="atLeast"/>
              </w:trPr>
              <w:tc>
                <w:tcPr>
                  <w:tcW w:w="391"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383" w:type="pct"/>
                  <w:vMerge w:val="continue"/>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546" w:type="pct"/>
                  <w:tcBorders>
                    <w:top w:val="nil"/>
                    <w:left w:val="nil"/>
                    <w:bottom w:val="single" w:color="000000" w:sz="8"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产生量（t/a）</w:t>
                  </w:r>
                </w:p>
              </w:tc>
              <w:tc>
                <w:tcPr>
                  <w:tcW w:w="651" w:type="pct"/>
                  <w:tcBorders>
                    <w:top w:val="nil"/>
                    <w:left w:val="single" w:color="auto" w:sz="4"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产生速率（kg/h）</w:t>
                  </w:r>
                </w:p>
              </w:tc>
              <w:tc>
                <w:tcPr>
                  <w:tcW w:w="588" w:type="pct"/>
                  <w:vMerge w:val="continue"/>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675" w:type="pct"/>
                  <w:vMerge w:val="continue"/>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491"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排放量（t/a）</w:t>
                  </w:r>
                </w:p>
              </w:tc>
              <w:tc>
                <w:tcPr>
                  <w:tcW w:w="684"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排放浓度（mg/m</w:t>
                  </w:r>
                  <w:r>
                    <w:rPr>
                      <w:rFonts w:hint="default" w:ascii="Times New Roman" w:hAnsi="Times New Roman" w:eastAsia="宋体" w:cs="Times New Roman"/>
                      <w:i w:val="0"/>
                      <w:iCs w:val="0"/>
                      <w:color w:val="FF0000"/>
                      <w:kern w:val="0"/>
                      <w:sz w:val="21"/>
                      <w:szCs w:val="21"/>
                      <w:u w:val="none"/>
                      <w:vertAlign w:val="superscript"/>
                      <w:lang w:val="en-US" w:eastAsia="zh-CN" w:bidi="ar"/>
                    </w:rPr>
                    <w:t>3</w:t>
                  </w:r>
                  <w:r>
                    <w:rPr>
                      <w:rFonts w:hint="default" w:ascii="Times New Roman" w:hAnsi="Times New Roman" w:eastAsia="宋体" w:cs="Times New Roman"/>
                      <w:i w:val="0"/>
                      <w:iCs w:val="0"/>
                      <w:color w:val="FF0000"/>
                      <w:kern w:val="0"/>
                      <w:sz w:val="21"/>
                      <w:szCs w:val="21"/>
                      <w:u w:val="none"/>
                      <w:lang w:val="en-US" w:eastAsia="zh-CN" w:bidi="ar"/>
                    </w:rPr>
                    <w:t>）</w:t>
                  </w:r>
                </w:p>
              </w:tc>
              <w:tc>
                <w:tcPr>
                  <w:tcW w:w="586" w:type="pct"/>
                  <w:tcBorders>
                    <w:top w:val="single" w:color="000000" w:sz="8" w:space="0"/>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排放速率（kg/h）</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17" w:hRule="atLeast"/>
              </w:trPr>
              <w:tc>
                <w:tcPr>
                  <w:tcW w:w="391"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制砂、筛分</w:t>
                  </w:r>
                </w:p>
              </w:tc>
              <w:tc>
                <w:tcPr>
                  <w:tcW w:w="383" w:type="pct"/>
                  <w:vMerge w:val="restart"/>
                  <w:tcBorders>
                    <w:top w:val="nil"/>
                    <w:left w:val="nil"/>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颗粒物</w:t>
                  </w:r>
                </w:p>
              </w:tc>
              <w:tc>
                <w:tcPr>
                  <w:tcW w:w="546" w:type="pc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904</w:t>
                  </w:r>
                </w:p>
              </w:tc>
              <w:tc>
                <w:tcPr>
                  <w:tcW w:w="651" w:type="pc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180.8</w:t>
                  </w:r>
                </w:p>
              </w:tc>
              <w:tc>
                <w:tcPr>
                  <w:tcW w:w="588" w:type="pc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密闭，100%</w:t>
                  </w:r>
                </w:p>
              </w:tc>
              <w:tc>
                <w:tcPr>
                  <w:tcW w:w="675" w:type="pct"/>
                  <w:vMerge w:val="restar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lang w:val="en-US"/>
                    </w:rPr>
                  </w:pPr>
                  <w:r>
                    <w:rPr>
                      <w:rFonts w:hint="default" w:ascii="Times New Roman" w:hAnsi="Times New Roman" w:eastAsia="宋体" w:cs="Times New Roman"/>
                      <w:i w:val="0"/>
                      <w:iCs w:val="0"/>
                      <w:color w:val="FF0000"/>
                      <w:kern w:val="0"/>
                      <w:sz w:val="21"/>
                      <w:szCs w:val="21"/>
                      <w:u w:val="none"/>
                      <w:lang w:val="en-US" w:eastAsia="zh-CN" w:bidi="ar"/>
                    </w:rPr>
                    <w:t>脉冲布袋除尘器（99.5%）</w:t>
                  </w:r>
                  <w:r>
                    <w:rPr>
                      <w:rFonts w:hint="default" w:ascii="Times New Roman" w:hAnsi="Times New Roman" w:cs="Times New Roman"/>
                      <w:i w:val="0"/>
                      <w:iCs w:val="0"/>
                      <w:color w:val="FF0000"/>
                      <w:kern w:val="0"/>
                      <w:sz w:val="21"/>
                      <w:szCs w:val="21"/>
                      <w:u w:val="none"/>
                      <w:lang w:val="en-US" w:eastAsia="zh-CN" w:bidi="ar"/>
                    </w:rPr>
                    <w:t>+DA003排气筒</w:t>
                  </w:r>
                </w:p>
              </w:tc>
              <w:tc>
                <w:tcPr>
                  <w:tcW w:w="491" w:type="pc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4.52</w:t>
                  </w:r>
                </w:p>
              </w:tc>
              <w:tc>
                <w:tcPr>
                  <w:tcW w:w="684" w:type="pc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16.14</w:t>
                  </w:r>
                </w:p>
              </w:tc>
              <w:tc>
                <w:tcPr>
                  <w:tcW w:w="586" w:type="pc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0.90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7" w:hRule="atLeast"/>
              </w:trPr>
              <w:tc>
                <w:tcPr>
                  <w:tcW w:w="391"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投料</w:t>
                  </w:r>
                </w:p>
              </w:tc>
              <w:tc>
                <w:tcPr>
                  <w:tcW w:w="383" w:type="pct"/>
                  <w:vMerge w:val="continue"/>
                  <w:tcBorders>
                    <w:left w:val="nil"/>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546" w:type="pc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8</w:t>
                  </w:r>
                </w:p>
              </w:tc>
              <w:tc>
                <w:tcPr>
                  <w:tcW w:w="651" w:type="pc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1.6</w:t>
                  </w:r>
                </w:p>
              </w:tc>
              <w:tc>
                <w:tcPr>
                  <w:tcW w:w="588" w:type="pct"/>
                  <w:vMerge w:val="restart"/>
                  <w:tcBorders>
                    <w:top w:val="nil"/>
                    <w:left w:val="nil"/>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集气罩（95%）</w:t>
                  </w:r>
                </w:p>
              </w:tc>
              <w:tc>
                <w:tcPr>
                  <w:tcW w:w="675"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491" w:type="pc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0.04</w:t>
                  </w:r>
                </w:p>
              </w:tc>
              <w:tc>
                <w:tcPr>
                  <w:tcW w:w="684" w:type="pc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0.14</w:t>
                  </w:r>
                </w:p>
              </w:tc>
              <w:tc>
                <w:tcPr>
                  <w:tcW w:w="586" w:type="pc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0.008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3" w:hRule="atLeast"/>
              </w:trPr>
              <w:tc>
                <w:tcPr>
                  <w:tcW w:w="391"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运输</w:t>
                  </w:r>
                </w:p>
              </w:tc>
              <w:tc>
                <w:tcPr>
                  <w:tcW w:w="383" w:type="pct"/>
                  <w:vMerge w:val="continue"/>
                  <w:tcBorders>
                    <w:left w:val="nil"/>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546" w:type="pc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48</w:t>
                  </w:r>
                </w:p>
              </w:tc>
              <w:tc>
                <w:tcPr>
                  <w:tcW w:w="651" w:type="pc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9.6</w:t>
                  </w:r>
                </w:p>
              </w:tc>
              <w:tc>
                <w:tcPr>
                  <w:tcW w:w="588" w:type="pct"/>
                  <w:vMerge w:val="continue"/>
                  <w:tcBorders>
                    <w:left w:val="nil"/>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675"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491" w:type="pc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0.24</w:t>
                  </w:r>
                </w:p>
              </w:tc>
              <w:tc>
                <w:tcPr>
                  <w:tcW w:w="684" w:type="pc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0.8</w:t>
                  </w:r>
                  <w:r>
                    <w:rPr>
                      <w:rFonts w:hint="default" w:ascii="Times New Roman" w:hAnsi="Times New Roman" w:cs="Times New Roman"/>
                      <w:i w:val="0"/>
                      <w:iCs w:val="0"/>
                      <w:color w:val="FF0000"/>
                      <w:kern w:val="0"/>
                      <w:sz w:val="21"/>
                      <w:szCs w:val="21"/>
                      <w:u w:val="none"/>
                      <w:lang w:val="en-US" w:eastAsia="zh-CN" w:bidi="ar"/>
                    </w:rPr>
                    <w:t>6</w:t>
                  </w:r>
                </w:p>
              </w:tc>
              <w:tc>
                <w:tcPr>
                  <w:tcW w:w="586" w:type="pc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0.0</w:t>
                  </w:r>
                  <w:r>
                    <w:rPr>
                      <w:rFonts w:hint="default" w:ascii="Times New Roman" w:hAnsi="Times New Roman" w:cs="Times New Roman"/>
                      <w:i w:val="0"/>
                      <w:iCs w:val="0"/>
                      <w:color w:val="FF0000"/>
                      <w:kern w:val="0"/>
                      <w:sz w:val="21"/>
                      <w:szCs w:val="21"/>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97" w:hRule="atLeast"/>
              </w:trPr>
              <w:tc>
                <w:tcPr>
                  <w:tcW w:w="775" w:type="pct"/>
                  <w:gridSpan w:val="2"/>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合计</w:t>
                  </w:r>
                </w:p>
              </w:tc>
              <w:tc>
                <w:tcPr>
                  <w:tcW w:w="546" w:type="pc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960</w:t>
                  </w:r>
                </w:p>
              </w:tc>
              <w:tc>
                <w:tcPr>
                  <w:tcW w:w="651" w:type="pc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192</w:t>
                  </w:r>
                </w:p>
              </w:tc>
              <w:tc>
                <w:tcPr>
                  <w:tcW w:w="588" w:type="pc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lang w:val="en-US" w:eastAsia="zh-CN"/>
                    </w:rPr>
                  </w:pPr>
                  <w:r>
                    <w:rPr>
                      <w:rFonts w:hint="default" w:ascii="Times New Roman" w:hAnsi="Times New Roman" w:cs="Times New Roman"/>
                      <w:i w:val="0"/>
                      <w:iCs w:val="0"/>
                      <w:color w:val="FF0000"/>
                      <w:sz w:val="21"/>
                      <w:szCs w:val="21"/>
                      <w:u w:val="none"/>
                      <w:lang w:val="en-US" w:eastAsia="zh-CN"/>
                    </w:rPr>
                    <w:t>/</w:t>
                  </w:r>
                </w:p>
              </w:tc>
              <w:tc>
                <w:tcPr>
                  <w:tcW w:w="675" w:type="pct"/>
                  <w:vMerge w:val="continue"/>
                  <w:tcBorders>
                    <w:top w:val="nil"/>
                    <w:left w:val="nil"/>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491" w:type="pc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4.8</w:t>
                  </w:r>
                </w:p>
              </w:tc>
              <w:tc>
                <w:tcPr>
                  <w:tcW w:w="684" w:type="pc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17.14</w:t>
                  </w:r>
                </w:p>
              </w:tc>
              <w:tc>
                <w:tcPr>
                  <w:tcW w:w="586" w:type="pct"/>
                  <w:tcBorders>
                    <w:top w:val="nil"/>
                    <w:left w:val="nil"/>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0.96</w:t>
                  </w:r>
                </w:p>
              </w:tc>
            </w:tr>
          </w:tbl>
          <w:p>
            <w:pPr>
              <w:numPr>
                <w:ilvl w:val="0"/>
                <w:numId w:val="0"/>
              </w:numPr>
              <w:bidi w:val="0"/>
              <w:ind w:firstLine="480" w:firstLineChars="200"/>
              <w:rPr>
                <w:rFonts w:hint="default" w:ascii="Times New Roman" w:hAnsi="Times New Roman" w:eastAsia="宋体" w:cs="Times New Roman"/>
                <w:color w:val="FF0000"/>
                <w:kern w:val="0"/>
                <w:sz w:val="24"/>
                <w:szCs w:val="24"/>
                <w:lang w:val="en-US" w:eastAsia="zh-CN" w:bidi="ar"/>
              </w:rPr>
            </w:pPr>
            <w:r>
              <w:rPr>
                <w:rFonts w:hint="default" w:ascii="Times New Roman" w:hAnsi="Times New Roman" w:eastAsia="宋体" w:cs="Times New Roman"/>
                <w:color w:val="FF0000"/>
                <w:kern w:val="0"/>
                <w:sz w:val="24"/>
                <w:szCs w:val="24"/>
                <w:lang w:val="en-US" w:eastAsia="zh-CN" w:bidi="ar"/>
              </w:rPr>
              <w:t>（</w:t>
            </w:r>
            <w:r>
              <w:rPr>
                <w:rFonts w:hint="default" w:ascii="Times New Roman" w:hAnsi="Times New Roman" w:cs="Times New Roman"/>
                <w:color w:val="FF0000"/>
                <w:kern w:val="0"/>
                <w:sz w:val="24"/>
                <w:szCs w:val="24"/>
                <w:lang w:val="en-US" w:eastAsia="zh-CN" w:bidi="ar"/>
              </w:rPr>
              <w:t>4</w:t>
            </w:r>
            <w:r>
              <w:rPr>
                <w:rFonts w:hint="default" w:ascii="Times New Roman" w:hAnsi="Times New Roman" w:eastAsia="宋体" w:cs="Times New Roman"/>
                <w:color w:val="FF0000"/>
                <w:kern w:val="0"/>
                <w:sz w:val="24"/>
                <w:szCs w:val="24"/>
                <w:lang w:val="en-US" w:eastAsia="zh-CN" w:bidi="ar"/>
              </w:rPr>
              <w:t>）</w:t>
            </w:r>
            <w:r>
              <w:rPr>
                <w:rFonts w:hint="default" w:ascii="Times New Roman" w:hAnsi="Times New Roman" w:cs="Times New Roman"/>
                <w:color w:val="FF0000"/>
                <w:kern w:val="0"/>
                <w:sz w:val="24"/>
                <w:szCs w:val="24"/>
                <w:lang w:val="en-US" w:eastAsia="zh-CN" w:bidi="ar"/>
              </w:rPr>
              <w:t>干粉砂浆</w:t>
            </w:r>
            <w:r>
              <w:rPr>
                <w:rFonts w:hint="default" w:ascii="Times New Roman" w:hAnsi="Times New Roman" w:eastAsia="宋体" w:cs="Times New Roman"/>
                <w:color w:val="FF0000"/>
                <w:kern w:val="0"/>
                <w:sz w:val="24"/>
                <w:szCs w:val="24"/>
                <w:lang w:val="en-US" w:eastAsia="zh-CN" w:bidi="ar"/>
              </w:rPr>
              <w:t>线</w:t>
            </w:r>
          </w:p>
          <w:p>
            <w:pPr>
              <w:pStyle w:val="2"/>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①投料粉尘</w:t>
            </w:r>
          </w:p>
          <w:p>
            <w:pPr>
              <w:keepNext w:val="0"/>
              <w:keepLines w:val="0"/>
              <w:widowControl/>
              <w:suppressLineNumbers w:val="0"/>
              <w:jc w:val="left"/>
              <w:rPr>
                <w:rFonts w:hint="default" w:ascii="Times New Roman" w:hAnsi="Times New Roman" w:cs="Times New Roman"/>
                <w:color w:val="FF0000"/>
              </w:rPr>
            </w:pPr>
            <w:r>
              <w:rPr>
                <w:rFonts w:hint="default" w:ascii="Times New Roman" w:hAnsi="Times New Roman" w:eastAsia="宋体" w:cs="Times New Roman"/>
                <w:color w:val="FF0000"/>
                <w:kern w:val="0"/>
                <w:sz w:val="24"/>
                <w:szCs w:val="24"/>
                <w:lang w:val="en-US" w:eastAsia="zh-CN" w:bidi="ar"/>
              </w:rPr>
              <w:t>采用皮带输送至给料机，在投料过程中会产生一定量的扬尘，采用负压投料，减少粉尘产生。参考《逸散性工业粉尘控制技术》第二十二章混凝土分批搅拌厂逸散尘排放因子：装水泥、砂和粒料入称量斗粉尘产生系数为 0.02kg/t，本项目普通</w:t>
            </w:r>
            <w:r>
              <w:rPr>
                <w:rFonts w:hint="default" w:ascii="Times New Roman" w:hAnsi="Times New Roman" w:cs="Times New Roman"/>
                <w:color w:val="FF0000"/>
                <w:kern w:val="0"/>
                <w:sz w:val="24"/>
                <w:szCs w:val="24"/>
                <w:lang w:val="en-US" w:eastAsia="zh-CN" w:bidi="ar"/>
              </w:rPr>
              <w:t>干粉砂浆</w:t>
            </w:r>
            <w:r>
              <w:rPr>
                <w:rFonts w:hint="default" w:ascii="Times New Roman" w:hAnsi="Times New Roman" w:eastAsia="宋体" w:cs="Times New Roman"/>
                <w:color w:val="FF0000"/>
                <w:kern w:val="0"/>
                <w:sz w:val="24"/>
                <w:szCs w:val="24"/>
                <w:lang w:val="en-US" w:eastAsia="zh-CN" w:bidi="ar"/>
              </w:rPr>
              <w:t>原料用量约为98</w:t>
            </w:r>
            <w:r>
              <w:rPr>
                <w:rFonts w:hint="default" w:ascii="Times New Roman" w:hAnsi="Times New Roman" w:cs="Times New Roman"/>
                <w:color w:val="FF0000"/>
                <w:kern w:val="0"/>
                <w:sz w:val="24"/>
                <w:szCs w:val="24"/>
                <w:lang w:val="en-US" w:eastAsia="zh-CN" w:bidi="ar"/>
              </w:rPr>
              <w:t>万</w:t>
            </w:r>
            <w:r>
              <w:rPr>
                <w:rFonts w:hint="default" w:ascii="Times New Roman" w:hAnsi="Times New Roman" w:eastAsia="宋体" w:cs="Times New Roman"/>
                <w:color w:val="FF0000"/>
                <w:kern w:val="0"/>
                <w:sz w:val="24"/>
                <w:szCs w:val="24"/>
                <w:lang w:val="en-US" w:eastAsia="zh-CN" w:bidi="ar"/>
              </w:rPr>
              <w:t>t/a，彩色特种砂浆原料用量8.01</w:t>
            </w:r>
            <w:r>
              <w:rPr>
                <w:rFonts w:hint="default" w:ascii="Times New Roman" w:hAnsi="Times New Roman" w:cs="Times New Roman"/>
                <w:color w:val="FF0000"/>
                <w:kern w:val="0"/>
                <w:sz w:val="24"/>
                <w:szCs w:val="24"/>
                <w:lang w:val="en-US" w:eastAsia="zh-CN" w:bidi="ar"/>
              </w:rPr>
              <w:t>万</w:t>
            </w:r>
            <w:r>
              <w:rPr>
                <w:rFonts w:hint="default" w:ascii="Times New Roman" w:hAnsi="Times New Roman" w:eastAsia="宋体" w:cs="Times New Roman"/>
                <w:color w:val="FF0000"/>
                <w:kern w:val="0"/>
                <w:sz w:val="24"/>
                <w:szCs w:val="24"/>
                <w:lang w:val="en-US" w:eastAsia="zh-CN" w:bidi="ar"/>
              </w:rPr>
              <w:t>t/a，特种砂浆原料用量25.22</w:t>
            </w:r>
            <w:r>
              <w:rPr>
                <w:rFonts w:hint="default" w:ascii="Times New Roman" w:hAnsi="Times New Roman" w:cs="Times New Roman"/>
                <w:color w:val="FF0000"/>
                <w:kern w:val="0"/>
                <w:sz w:val="24"/>
                <w:szCs w:val="24"/>
                <w:lang w:val="en-US" w:eastAsia="zh-CN" w:bidi="ar"/>
              </w:rPr>
              <w:t>万</w:t>
            </w:r>
            <w:r>
              <w:rPr>
                <w:rFonts w:hint="default" w:ascii="Times New Roman" w:hAnsi="Times New Roman" w:eastAsia="宋体" w:cs="Times New Roman"/>
                <w:color w:val="FF0000"/>
                <w:kern w:val="0"/>
                <w:sz w:val="24"/>
                <w:szCs w:val="24"/>
                <w:lang w:val="en-US" w:eastAsia="zh-CN" w:bidi="ar"/>
              </w:rPr>
              <w:t>t/a，则投料工序粉尘分别产生量为19.6t/a、</w:t>
            </w:r>
            <w:r>
              <w:rPr>
                <w:rFonts w:hint="default" w:ascii="Times New Roman" w:hAnsi="Times New Roman" w:cs="Times New Roman"/>
                <w:color w:val="FF0000"/>
                <w:kern w:val="0"/>
                <w:sz w:val="24"/>
                <w:szCs w:val="24"/>
                <w:lang w:val="en-US" w:eastAsia="zh-CN" w:bidi="ar"/>
              </w:rPr>
              <w:t>1.602</w:t>
            </w:r>
            <w:r>
              <w:rPr>
                <w:rFonts w:hint="default" w:ascii="Times New Roman" w:hAnsi="Times New Roman" w:eastAsia="宋体" w:cs="Times New Roman"/>
                <w:color w:val="FF0000"/>
                <w:kern w:val="0"/>
                <w:sz w:val="24"/>
                <w:szCs w:val="24"/>
                <w:lang w:val="en-US" w:eastAsia="zh-CN" w:bidi="ar"/>
              </w:rPr>
              <w:t>t/a、</w:t>
            </w:r>
            <w:r>
              <w:rPr>
                <w:rFonts w:hint="default" w:ascii="Times New Roman" w:hAnsi="Times New Roman" w:cs="Times New Roman"/>
                <w:color w:val="FF0000"/>
                <w:kern w:val="0"/>
                <w:sz w:val="24"/>
                <w:szCs w:val="24"/>
                <w:lang w:val="en-US" w:eastAsia="zh-CN" w:bidi="ar"/>
              </w:rPr>
              <w:t>5.044</w:t>
            </w:r>
            <w:r>
              <w:rPr>
                <w:rFonts w:hint="default" w:ascii="Times New Roman" w:hAnsi="Times New Roman" w:eastAsia="宋体" w:cs="Times New Roman"/>
                <w:color w:val="FF0000"/>
                <w:kern w:val="0"/>
                <w:sz w:val="24"/>
                <w:szCs w:val="24"/>
                <w:lang w:val="en-US" w:eastAsia="zh-CN" w:bidi="ar"/>
              </w:rPr>
              <w:t>t/a。</w:t>
            </w:r>
            <w:r>
              <w:rPr>
                <w:rFonts w:hint="default" w:ascii="Times New Roman" w:hAnsi="Times New Roman" w:cs="Times New Roman"/>
                <w:color w:val="FF0000"/>
                <w:kern w:val="0"/>
                <w:sz w:val="24"/>
                <w:szCs w:val="24"/>
                <w:lang w:val="en-US" w:eastAsia="zh-CN" w:bidi="ar"/>
              </w:rPr>
              <w:t>投料选粉采用微负压，粉尘收集效率按95%计算，则粉尘产生量为18.62t/a、1.52t/a、4.79t/a，未被收集无组织排放量为0.98t/a、0.08t/a、0.25t/a。</w:t>
            </w:r>
          </w:p>
          <w:p>
            <w:pPr>
              <w:pStyle w:val="2"/>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②混合搅拌粉尘</w:t>
            </w:r>
          </w:p>
          <w:p>
            <w:pPr>
              <w:keepNext w:val="0"/>
              <w:keepLines w:val="0"/>
              <w:widowControl/>
              <w:suppressLineNumbers w:val="0"/>
              <w:jc w:val="left"/>
              <w:rPr>
                <w:rFonts w:hint="default" w:ascii="Times New Roman" w:hAnsi="Times New Roman" w:eastAsia="宋体" w:cs="Times New Roman"/>
                <w:color w:val="FF0000"/>
                <w:kern w:val="0"/>
                <w:sz w:val="24"/>
                <w:szCs w:val="24"/>
                <w:lang w:val="en-US" w:eastAsia="zh-CN" w:bidi="ar"/>
              </w:rPr>
            </w:pPr>
            <w:r>
              <w:rPr>
                <w:rFonts w:hint="default" w:ascii="Times New Roman" w:hAnsi="Times New Roman" w:cs="Times New Roman"/>
                <w:color w:val="FF0000"/>
                <w:kern w:val="0"/>
                <w:sz w:val="24"/>
                <w:szCs w:val="24"/>
                <w:lang w:val="en-US" w:eastAsia="zh-CN" w:bidi="ar"/>
              </w:rPr>
              <w:t>干粉砂浆</w:t>
            </w:r>
            <w:r>
              <w:rPr>
                <w:rFonts w:hint="default" w:ascii="Times New Roman" w:hAnsi="Times New Roman" w:eastAsia="宋体" w:cs="Times New Roman"/>
                <w:color w:val="FF0000"/>
                <w:kern w:val="0"/>
                <w:sz w:val="24"/>
                <w:szCs w:val="24"/>
                <w:lang w:val="en-US" w:eastAsia="zh-CN" w:bidi="ar"/>
              </w:rPr>
              <w:t>生产线原料的</w:t>
            </w:r>
            <w:r>
              <w:rPr>
                <w:rFonts w:hint="default" w:ascii="Times New Roman" w:hAnsi="Times New Roman" w:cs="Times New Roman"/>
                <w:color w:val="FF0000"/>
                <w:kern w:val="0"/>
                <w:sz w:val="24"/>
                <w:szCs w:val="24"/>
                <w:lang w:val="en-US" w:eastAsia="zh-CN" w:bidi="ar"/>
              </w:rPr>
              <w:t>混合</w:t>
            </w:r>
            <w:r>
              <w:rPr>
                <w:rFonts w:hint="default" w:ascii="Times New Roman" w:hAnsi="Times New Roman" w:eastAsia="宋体" w:cs="Times New Roman"/>
                <w:color w:val="FF0000"/>
                <w:kern w:val="0"/>
                <w:sz w:val="24"/>
                <w:szCs w:val="24"/>
                <w:lang w:val="en-US" w:eastAsia="zh-CN" w:bidi="ar"/>
              </w:rPr>
              <w:t>搅拌采用泵压提升和螺旋输送相结合的封闭方式，物料在称量完毕后向搅拌机内卸料时形成正压，搅拌机设有排气口以保证通风降压，各物料入秤进搅拌机时，排气孔会排出一定量的粉尘。根据《排放源统计调查产排污核算方法和系数手册》（2021年6月）中 3021、3022、3029水泥制品制造行业系数手册，物料混合搅拌过程中颗粒物产污系数 0.13kg/t 产品。本项目普通</w:t>
            </w:r>
            <w:r>
              <w:rPr>
                <w:rFonts w:hint="default" w:ascii="Times New Roman" w:hAnsi="Times New Roman" w:cs="Times New Roman"/>
                <w:color w:val="FF0000"/>
                <w:kern w:val="0"/>
                <w:sz w:val="24"/>
                <w:szCs w:val="24"/>
                <w:lang w:val="en-US" w:eastAsia="zh-CN" w:bidi="ar"/>
              </w:rPr>
              <w:t>干粉砂浆</w:t>
            </w:r>
            <w:r>
              <w:rPr>
                <w:rFonts w:hint="default" w:ascii="Times New Roman" w:hAnsi="Times New Roman" w:eastAsia="宋体" w:cs="Times New Roman"/>
                <w:color w:val="FF0000"/>
                <w:kern w:val="0"/>
                <w:sz w:val="24"/>
                <w:szCs w:val="24"/>
                <w:lang w:val="en-US" w:eastAsia="zh-CN" w:bidi="ar"/>
              </w:rPr>
              <w:t>原料用量约为98</w:t>
            </w:r>
            <w:r>
              <w:rPr>
                <w:rFonts w:hint="default" w:ascii="Times New Roman" w:hAnsi="Times New Roman" w:cs="Times New Roman"/>
                <w:color w:val="FF0000"/>
                <w:kern w:val="0"/>
                <w:sz w:val="24"/>
                <w:szCs w:val="24"/>
                <w:lang w:val="en-US" w:eastAsia="zh-CN" w:bidi="ar"/>
              </w:rPr>
              <w:t>万</w:t>
            </w:r>
            <w:r>
              <w:rPr>
                <w:rFonts w:hint="default" w:ascii="Times New Roman" w:hAnsi="Times New Roman" w:eastAsia="宋体" w:cs="Times New Roman"/>
                <w:color w:val="FF0000"/>
                <w:kern w:val="0"/>
                <w:sz w:val="24"/>
                <w:szCs w:val="24"/>
                <w:lang w:val="en-US" w:eastAsia="zh-CN" w:bidi="ar"/>
              </w:rPr>
              <w:t>t/a，彩色特种砂浆原料用量8.01</w:t>
            </w:r>
            <w:r>
              <w:rPr>
                <w:rFonts w:hint="default" w:ascii="Times New Roman" w:hAnsi="Times New Roman" w:cs="Times New Roman"/>
                <w:color w:val="FF0000"/>
                <w:kern w:val="0"/>
                <w:sz w:val="24"/>
                <w:szCs w:val="24"/>
                <w:lang w:val="en-US" w:eastAsia="zh-CN" w:bidi="ar"/>
              </w:rPr>
              <w:t>万</w:t>
            </w:r>
            <w:r>
              <w:rPr>
                <w:rFonts w:hint="default" w:ascii="Times New Roman" w:hAnsi="Times New Roman" w:eastAsia="宋体" w:cs="Times New Roman"/>
                <w:color w:val="FF0000"/>
                <w:kern w:val="0"/>
                <w:sz w:val="24"/>
                <w:szCs w:val="24"/>
                <w:lang w:val="en-US" w:eastAsia="zh-CN" w:bidi="ar"/>
              </w:rPr>
              <w:t>t/a，特种砂浆原料用量25.22</w:t>
            </w:r>
            <w:r>
              <w:rPr>
                <w:rFonts w:hint="default" w:ascii="Times New Roman" w:hAnsi="Times New Roman" w:cs="Times New Roman"/>
                <w:color w:val="FF0000"/>
                <w:kern w:val="0"/>
                <w:sz w:val="24"/>
                <w:szCs w:val="24"/>
                <w:lang w:val="en-US" w:eastAsia="zh-CN" w:bidi="ar"/>
              </w:rPr>
              <w:t>万</w:t>
            </w:r>
            <w:r>
              <w:rPr>
                <w:rFonts w:hint="default" w:ascii="Times New Roman" w:hAnsi="Times New Roman" w:eastAsia="宋体" w:cs="Times New Roman"/>
                <w:color w:val="FF0000"/>
                <w:kern w:val="0"/>
                <w:sz w:val="24"/>
                <w:szCs w:val="24"/>
                <w:lang w:val="en-US" w:eastAsia="zh-CN" w:bidi="ar"/>
              </w:rPr>
              <w:t>t/a，则混合搅拌工序粉尘分别产生量为</w:t>
            </w:r>
            <w:r>
              <w:rPr>
                <w:rFonts w:hint="default" w:ascii="Times New Roman" w:hAnsi="Times New Roman" w:cs="Times New Roman"/>
                <w:color w:val="FF0000"/>
                <w:kern w:val="0"/>
                <w:sz w:val="24"/>
                <w:szCs w:val="24"/>
                <w:lang w:val="en-US" w:eastAsia="zh-CN" w:bidi="ar"/>
              </w:rPr>
              <w:t>129.36</w:t>
            </w:r>
            <w:r>
              <w:rPr>
                <w:rFonts w:hint="default" w:ascii="Times New Roman" w:hAnsi="Times New Roman" w:eastAsia="宋体" w:cs="Times New Roman"/>
                <w:color w:val="FF0000"/>
                <w:kern w:val="0"/>
                <w:sz w:val="24"/>
                <w:szCs w:val="24"/>
                <w:lang w:val="en-US" w:eastAsia="zh-CN" w:bidi="ar"/>
              </w:rPr>
              <w:t>t/a、</w:t>
            </w:r>
            <w:r>
              <w:rPr>
                <w:rFonts w:hint="default" w:ascii="Times New Roman" w:hAnsi="Times New Roman" w:cs="Times New Roman"/>
                <w:color w:val="FF0000"/>
                <w:kern w:val="0"/>
                <w:sz w:val="24"/>
                <w:szCs w:val="24"/>
                <w:lang w:val="en-US" w:eastAsia="zh-CN" w:bidi="ar"/>
              </w:rPr>
              <w:t>10.41</w:t>
            </w:r>
            <w:r>
              <w:rPr>
                <w:rFonts w:hint="default" w:ascii="Times New Roman" w:hAnsi="Times New Roman" w:eastAsia="宋体" w:cs="Times New Roman"/>
                <w:color w:val="FF0000"/>
                <w:kern w:val="0"/>
                <w:sz w:val="24"/>
                <w:szCs w:val="24"/>
                <w:lang w:val="en-US" w:eastAsia="zh-CN" w:bidi="ar"/>
              </w:rPr>
              <w:t>/a、</w:t>
            </w:r>
            <w:r>
              <w:rPr>
                <w:rFonts w:hint="default" w:ascii="Times New Roman" w:hAnsi="Times New Roman" w:cs="Times New Roman"/>
                <w:color w:val="FF0000"/>
                <w:kern w:val="0"/>
                <w:sz w:val="24"/>
                <w:szCs w:val="24"/>
                <w:lang w:val="en-US" w:eastAsia="zh-CN" w:bidi="ar"/>
              </w:rPr>
              <w:t>32.79</w:t>
            </w:r>
            <w:r>
              <w:rPr>
                <w:rFonts w:hint="default" w:ascii="Times New Roman" w:hAnsi="Times New Roman" w:eastAsia="宋体" w:cs="Times New Roman"/>
                <w:color w:val="FF0000"/>
                <w:kern w:val="0"/>
                <w:sz w:val="24"/>
                <w:szCs w:val="24"/>
                <w:lang w:val="en-US" w:eastAsia="zh-CN" w:bidi="ar"/>
              </w:rPr>
              <w:t>t/a。</w:t>
            </w:r>
            <w:r>
              <w:rPr>
                <w:rFonts w:hint="default" w:ascii="Times New Roman" w:hAnsi="Times New Roman" w:cs="Times New Roman"/>
                <w:color w:val="FF0000"/>
                <w:kern w:val="0"/>
                <w:sz w:val="24"/>
                <w:szCs w:val="24"/>
                <w:lang w:val="en-US" w:eastAsia="zh-CN" w:bidi="ar"/>
              </w:rPr>
              <w:t>混合搅拌全密闭，粉尘全部收集至脉冲布袋除尘器处理，经过处理后的废气与其他废气一起经排气筒排放。</w:t>
            </w:r>
          </w:p>
          <w:p>
            <w:pPr>
              <w:pStyle w:val="2"/>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③运输和包装粉尘</w:t>
            </w:r>
          </w:p>
          <w:p>
            <w:pPr>
              <w:keepNext w:val="0"/>
              <w:keepLines w:val="0"/>
              <w:widowControl/>
              <w:suppressLineNumbers w:val="0"/>
              <w:ind w:left="0" w:leftChars="0" w:firstLine="480" w:firstLineChars="200"/>
              <w:jc w:val="left"/>
              <w:rPr>
                <w:rFonts w:hint="default" w:ascii="Times New Roman" w:hAnsi="Times New Roman" w:eastAsia="宋体" w:cs="Times New Roman"/>
                <w:color w:val="FF0000"/>
                <w:kern w:val="0"/>
                <w:sz w:val="24"/>
                <w:szCs w:val="24"/>
                <w:lang w:val="en-US" w:eastAsia="zh-CN" w:bidi="ar"/>
              </w:rPr>
            </w:pPr>
            <w:r>
              <w:rPr>
                <w:rFonts w:hint="default" w:ascii="Times New Roman" w:hAnsi="Times New Roman" w:eastAsia="宋体" w:cs="Times New Roman"/>
                <w:color w:val="FF0000"/>
                <w:kern w:val="0"/>
                <w:sz w:val="24"/>
                <w:szCs w:val="24"/>
                <w:lang w:val="en-US" w:eastAsia="zh-CN" w:bidi="ar"/>
              </w:rPr>
              <w:t>本项目运输和包装过程将产生粉尘。参考《排放源统计调查产排污核算方法和系数手册》（2021 年 6 月）中 3021、 3022、3029 水泥制品制造行业系数手册，物料输送储存过程中颗粒物产污系数0.12kg/t 产品。普通</w:t>
            </w:r>
            <w:r>
              <w:rPr>
                <w:rFonts w:hint="default" w:ascii="Times New Roman" w:hAnsi="Times New Roman" w:cs="Times New Roman"/>
                <w:color w:val="FF0000"/>
                <w:kern w:val="0"/>
                <w:sz w:val="24"/>
                <w:szCs w:val="24"/>
                <w:lang w:val="en-US" w:eastAsia="zh-CN" w:bidi="ar"/>
              </w:rPr>
              <w:t>干粉砂浆</w:t>
            </w:r>
            <w:r>
              <w:rPr>
                <w:rFonts w:hint="default" w:ascii="Times New Roman" w:hAnsi="Times New Roman" w:eastAsia="宋体" w:cs="Times New Roman"/>
                <w:color w:val="FF0000"/>
                <w:kern w:val="0"/>
                <w:sz w:val="24"/>
                <w:szCs w:val="24"/>
                <w:lang w:val="en-US" w:eastAsia="zh-CN" w:bidi="ar"/>
              </w:rPr>
              <w:t>、彩色特种砂浆以及特种砂浆各粉尘产生量为117.6t/a、</w:t>
            </w:r>
            <w:r>
              <w:rPr>
                <w:rFonts w:hint="default" w:ascii="Times New Roman" w:hAnsi="Times New Roman" w:cs="Times New Roman"/>
                <w:color w:val="FF0000"/>
                <w:kern w:val="0"/>
                <w:sz w:val="24"/>
                <w:szCs w:val="24"/>
                <w:lang w:val="en-US" w:eastAsia="zh-CN" w:bidi="ar"/>
              </w:rPr>
              <w:t>9.61</w:t>
            </w:r>
            <w:r>
              <w:rPr>
                <w:rFonts w:hint="default" w:ascii="Times New Roman" w:hAnsi="Times New Roman" w:eastAsia="宋体" w:cs="Times New Roman"/>
                <w:color w:val="FF0000"/>
                <w:kern w:val="0"/>
                <w:sz w:val="24"/>
                <w:szCs w:val="24"/>
                <w:lang w:val="en-US" w:eastAsia="zh-CN" w:bidi="ar"/>
              </w:rPr>
              <w:t>/a、</w:t>
            </w:r>
            <w:r>
              <w:rPr>
                <w:rFonts w:hint="default" w:ascii="Times New Roman" w:hAnsi="Times New Roman" w:cs="Times New Roman"/>
                <w:color w:val="FF0000"/>
                <w:kern w:val="0"/>
                <w:sz w:val="24"/>
                <w:szCs w:val="24"/>
                <w:lang w:val="en-US" w:eastAsia="zh-CN" w:bidi="ar"/>
              </w:rPr>
              <w:t>30.26</w:t>
            </w:r>
            <w:r>
              <w:rPr>
                <w:rFonts w:hint="default" w:ascii="Times New Roman" w:hAnsi="Times New Roman" w:eastAsia="宋体" w:cs="Times New Roman"/>
                <w:color w:val="FF0000"/>
                <w:kern w:val="0"/>
                <w:sz w:val="24"/>
                <w:szCs w:val="24"/>
                <w:lang w:val="en-US" w:eastAsia="zh-CN" w:bidi="ar"/>
              </w:rPr>
              <w:t>t/a。</w:t>
            </w:r>
            <w:r>
              <w:rPr>
                <w:rFonts w:hint="default" w:ascii="Times New Roman" w:hAnsi="Times New Roman" w:cs="Times New Roman"/>
                <w:color w:val="FF0000"/>
                <w:kern w:val="0"/>
                <w:sz w:val="24"/>
                <w:szCs w:val="24"/>
                <w:lang w:val="en-US" w:eastAsia="zh-CN" w:bidi="ar"/>
              </w:rPr>
              <w:t>运输和包装工序采用微负压，粉尘收集效率按95%计算，则粉尘产生量为111.72t/a、9.13t/a、28.75t/a，未被收集无组织排放量为5.88t/a、0.48t/a、1.51t/a。</w:t>
            </w:r>
          </w:p>
          <w:p>
            <w:pPr>
              <w:keepNext w:val="0"/>
              <w:keepLines w:val="0"/>
              <w:widowControl/>
              <w:suppressLineNumbers w:val="0"/>
              <w:ind w:left="0" w:leftChars="0" w:firstLine="480" w:firstLineChars="200"/>
              <w:jc w:val="left"/>
              <w:rPr>
                <w:rFonts w:hint="default" w:ascii="Times New Roman" w:hAnsi="Times New Roman" w:cs="Times New Roman"/>
                <w:color w:val="FF0000"/>
                <w:lang w:val="en-US"/>
              </w:rPr>
            </w:pPr>
            <w:r>
              <w:rPr>
                <w:rFonts w:hint="default" w:ascii="Times New Roman" w:hAnsi="Times New Roman" w:eastAsia="宋体" w:cs="Times New Roman"/>
                <w:color w:val="FF0000"/>
                <w:kern w:val="0"/>
                <w:sz w:val="24"/>
                <w:szCs w:val="24"/>
                <w:lang w:val="en-US" w:eastAsia="zh-CN" w:bidi="ar"/>
              </w:rPr>
              <w:t>本项目拟在普通</w:t>
            </w:r>
            <w:r>
              <w:rPr>
                <w:rFonts w:hint="default" w:ascii="Times New Roman" w:hAnsi="Times New Roman" w:cs="Times New Roman"/>
                <w:color w:val="FF0000"/>
                <w:kern w:val="0"/>
                <w:sz w:val="24"/>
                <w:szCs w:val="24"/>
                <w:lang w:val="en-US" w:eastAsia="zh-CN" w:bidi="ar"/>
              </w:rPr>
              <w:t>干粉砂浆</w:t>
            </w:r>
            <w:r>
              <w:rPr>
                <w:rFonts w:hint="default" w:ascii="Times New Roman" w:hAnsi="Times New Roman" w:eastAsia="宋体" w:cs="Times New Roman"/>
                <w:color w:val="FF0000"/>
                <w:kern w:val="0"/>
                <w:sz w:val="24"/>
                <w:szCs w:val="24"/>
                <w:lang w:val="en-US" w:eastAsia="zh-CN" w:bidi="ar"/>
              </w:rPr>
              <w:t>、彩色特种砂浆以及特种砂浆生产线各设一套除尘装置。项目拟在各搅拌排气孔设置封闭管道收集</w:t>
            </w:r>
            <w:r>
              <w:rPr>
                <w:rFonts w:hint="default" w:ascii="Times New Roman" w:hAnsi="Times New Roman" w:cs="Times New Roman"/>
                <w:color w:val="FF0000"/>
                <w:kern w:val="0"/>
                <w:sz w:val="24"/>
                <w:szCs w:val="24"/>
                <w:lang w:val="en-US" w:eastAsia="zh-CN" w:bidi="ar"/>
              </w:rPr>
              <w:t>粉尘+脉冲布袋除尘器处理</w:t>
            </w:r>
            <w:r>
              <w:rPr>
                <w:rFonts w:hint="default" w:ascii="Times New Roman" w:hAnsi="Times New Roman" w:eastAsia="宋体" w:cs="Times New Roman"/>
                <w:color w:val="FF0000"/>
                <w:kern w:val="0"/>
                <w:sz w:val="24"/>
                <w:szCs w:val="24"/>
                <w:lang w:val="en-US" w:eastAsia="zh-CN" w:bidi="ar"/>
              </w:rPr>
              <w:t>，其他运输、包装等工序能密闭的尽量密闭，无法密闭的采用半封闭式，</w:t>
            </w:r>
            <w:r>
              <w:rPr>
                <w:rFonts w:hint="default" w:ascii="Times New Roman" w:hAnsi="Times New Roman" w:cs="Times New Roman"/>
                <w:color w:val="FF0000"/>
                <w:kern w:val="0"/>
                <w:sz w:val="24"/>
                <w:szCs w:val="24"/>
                <w:lang w:val="en-US" w:eastAsia="zh-CN" w:bidi="ar"/>
              </w:rPr>
              <w:t>各</w:t>
            </w:r>
            <w:r>
              <w:rPr>
                <w:rFonts w:hint="default" w:ascii="Times New Roman" w:hAnsi="Times New Roman" w:eastAsia="宋体" w:cs="Times New Roman"/>
                <w:color w:val="FF0000"/>
                <w:kern w:val="0"/>
                <w:sz w:val="24"/>
                <w:szCs w:val="24"/>
                <w:lang w:val="en-US" w:eastAsia="zh-CN" w:bidi="ar"/>
              </w:rPr>
              <w:t>粉尘设集气罩收集后</w:t>
            </w:r>
            <w:r>
              <w:rPr>
                <w:rFonts w:hint="default" w:ascii="Times New Roman" w:hAnsi="Times New Roman" w:cs="Times New Roman"/>
                <w:color w:val="FF0000"/>
                <w:kern w:val="0"/>
                <w:sz w:val="24"/>
                <w:szCs w:val="24"/>
                <w:lang w:val="en-US" w:eastAsia="zh-CN" w:bidi="ar"/>
              </w:rPr>
              <w:t>排入</w:t>
            </w:r>
            <w:r>
              <w:rPr>
                <w:rFonts w:hint="default" w:ascii="Times New Roman" w:hAnsi="Times New Roman" w:eastAsia="宋体" w:cs="Times New Roman"/>
                <w:color w:val="FF0000"/>
                <w:kern w:val="0"/>
                <w:sz w:val="24"/>
                <w:szCs w:val="24"/>
                <w:lang w:val="en-US" w:eastAsia="zh-CN" w:bidi="ar"/>
              </w:rPr>
              <w:t>脉冲除尘器处理，除尘效率99</w:t>
            </w:r>
            <w:r>
              <w:rPr>
                <w:rFonts w:hint="default" w:ascii="Times New Roman" w:hAnsi="Times New Roman" w:cs="Times New Roman"/>
                <w:color w:val="FF0000"/>
                <w:kern w:val="0"/>
                <w:sz w:val="24"/>
                <w:szCs w:val="24"/>
                <w:lang w:val="en-US" w:eastAsia="zh-CN" w:bidi="ar"/>
              </w:rPr>
              <w:t>.5</w:t>
            </w:r>
            <w:r>
              <w:rPr>
                <w:rFonts w:hint="default" w:ascii="Times New Roman" w:hAnsi="Times New Roman" w:eastAsia="宋体" w:cs="Times New Roman"/>
                <w:color w:val="FF0000"/>
                <w:kern w:val="0"/>
                <w:sz w:val="24"/>
                <w:szCs w:val="24"/>
                <w:lang w:val="en-US" w:eastAsia="zh-CN" w:bidi="ar"/>
              </w:rPr>
              <w:t>%，风机风量分别均为30000m</w:t>
            </w:r>
            <w:r>
              <w:rPr>
                <w:rFonts w:hint="default" w:ascii="Times New Roman" w:hAnsi="Times New Roman" w:eastAsia="宋体" w:cs="Times New Roman"/>
                <w:color w:val="FF0000"/>
                <w:kern w:val="0"/>
                <w:sz w:val="24"/>
                <w:szCs w:val="24"/>
                <w:vertAlign w:val="superscript"/>
                <w:lang w:val="en-US" w:eastAsia="zh-CN" w:bidi="ar"/>
              </w:rPr>
              <w:t>3</w:t>
            </w:r>
            <w:r>
              <w:rPr>
                <w:rFonts w:hint="default" w:ascii="Times New Roman" w:hAnsi="Times New Roman" w:eastAsia="宋体" w:cs="Times New Roman"/>
                <w:color w:val="FF0000"/>
                <w:kern w:val="0"/>
                <w:sz w:val="24"/>
                <w:szCs w:val="24"/>
                <w:lang w:val="en-US" w:eastAsia="zh-CN" w:bidi="ar"/>
              </w:rPr>
              <w:t>/h，</w:t>
            </w:r>
            <w:r>
              <w:rPr>
                <w:rFonts w:hint="default" w:ascii="Times New Roman" w:hAnsi="Times New Roman" w:cs="Times New Roman"/>
                <w:color w:val="FF0000"/>
                <w:kern w:val="0"/>
                <w:sz w:val="24"/>
                <w:szCs w:val="24"/>
                <w:lang w:val="en-US" w:eastAsia="zh-CN" w:bidi="ar"/>
              </w:rPr>
              <w:t>所有</w:t>
            </w:r>
            <w:r>
              <w:rPr>
                <w:rFonts w:hint="default" w:ascii="Times New Roman" w:hAnsi="Times New Roman" w:eastAsia="宋体" w:cs="Times New Roman"/>
                <w:color w:val="FF0000"/>
                <w:kern w:val="0"/>
                <w:sz w:val="24"/>
                <w:szCs w:val="24"/>
                <w:lang w:val="en-US" w:eastAsia="zh-CN" w:bidi="ar"/>
              </w:rPr>
              <w:t>经过处理后的废气</w:t>
            </w:r>
            <w:r>
              <w:rPr>
                <w:rFonts w:hint="default" w:ascii="Times New Roman" w:hAnsi="Times New Roman" w:cs="Times New Roman"/>
                <w:color w:val="FF0000"/>
                <w:kern w:val="0"/>
                <w:sz w:val="24"/>
                <w:szCs w:val="24"/>
                <w:lang w:val="en-US" w:eastAsia="zh-CN" w:bidi="ar"/>
              </w:rPr>
              <w:t>汇入</w:t>
            </w:r>
            <w:r>
              <w:rPr>
                <w:rFonts w:hint="default" w:ascii="Times New Roman" w:hAnsi="Times New Roman" w:eastAsia="宋体" w:cs="Times New Roman"/>
                <w:color w:val="FF0000"/>
                <w:kern w:val="0"/>
                <w:sz w:val="24"/>
                <w:szCs w:val="24"/>
                <w:lang w:val="en-US" w:eastAsia="zh-CN" w:bidi="ar"/>
              </w:rPr>
              <w:t>52m高的DA004、DA005和DA006排气筒排放。</w:t>
            </w:r>
          </w:p>
          <w:p>
            <w:pPr>
              <w:pStyle w:val="2"/>
              <w:rPr>
                <w:rFonts w:hint="default" w:ascii="Times New Roman" w:hAnsi="Times New Roman" w:cs="Times New Roman"/>
                <w:color w:val="FF0000"/>
                <w:highlight w:val="none"/>
                <w:lang w:val="en-US" w:eastAsia="zh-CN"/>
              </w:rPr>
            </w:pPr>
            <w:r>
              <w:rPr>
                <w:rFonts w:hint="default" w:ascii="Times New Roman" w:hAnsi="Times New Roman" w:cs="Times New Roman"/>
                <w:color w:val="FF0000"/>
                <w:highlight w:val="none"/>
                <w:lang w:val="en-US" w:eastAsia="zh-CN"/>
              </w:rPr>
              <w:t>项目集气罩收集效率为95%，脉冲布袋除尘器设计处理效率为99.5%。则废气产生及排放情况见下表。</w:t>
            </w:r>
          </w:p>
          <w:p>
            <w:pPr>
              <w:keepNext w:val="0"/>
              <w:keepLines w:val="0"/>
              <w:widowControl/>
              <w:suppressLineNumbers w:val="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表4-9 干粉砂浆生产线污染物产生和排放情况</w:t>
            </w:r>
          </w:p>
          <w:tbl>
            <w:tblPr>
              <w:tblStyle w:val="21"/>
              <w:tblW w:w="492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408"/>
              <w:gridCol w:w="816"/>
              <w:gridCol w:w="656"/>
              <w:gridCol w:w="1038"/>
              <w:gridCol w:w="1002"/>
              <w:gridCol w:w="717"/>
              <w:gridCol w:w="1304"/>
              <w:gridCol w:w="897"/>
              <w:gridCol w:w="804"/>
              <w:gridCol w:w="8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722" w:type="pct"/>
                  <w:gridSpan w:val="2"/>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污染源</w:t>
                  </w:r>
                </w:p>
              </w:tc>
              <w:tc>
                <w:tcPr>
                  <w:tcW w:w="386"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污染物</w:t>
                  </w:r>
                </w:p>
              </w:tc>
              <w:tc>
                <w:tcPr>
                  <w:tcW w:w="1203"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产生情况</w:t>
                  </w:r>
                </w:p>
              </w:tc>
              <w:tc>
                <w:tcPr>
                  <w:tcW w:w="423"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收集措施及效率</w:t>
                  </w:r>
                </w:p>
              </w:tc>
              <w:tc>
                <w:tcPr>
                  <w:tcW w:w="769"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治理措施及效率</w:t>
                  </w:r>
                </w:p>
              </w:tc>
              <w:tc>
                <w:tcPr>
                  <w:tcW w:w="1494" w:type="pct"/>
                  <w:gridSpan w:val="3"/>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排放情况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171" w:hRule="atLeast"/>
              </w:trPr>
              <w:tc>
                <w:tcPr>
                  <w:tcW w:w="722" w:type="pct"/>
                  <w:gridSpan w:val="2"/>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38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6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产生量（t/a）</w:t>
                  </w:r>
                </w:p>
              </w:tc>
              <w:tc>
                <w:tcPr>
                  <w:tcW w:w="5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产生速率（kg/h）</w:t>
                  </w:r>
                </w:p>
              </w:tc>
              <w:tc>
                <w:tcPr>
                  <w:tcW w:w="423"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76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52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排放量（t/a）</w:t>
                  </w:r>
                </w:p>
              </w:tc>
              <w:tc>
                <w:tcPr>
                  <w:tcW w:w="47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排放速率（kg/h）</w:t>
                  </w:r>
                </w:p>
              </w:tc>
              <w:tc>
                <w:tcPr>
                  <w:tcW w:w="4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排放浓度（mg/m</w:t>
                  </w:r>
                  <w:r>
                    <w:rPr>
                      <w:rFonts w:hint="default" w:ascii="Times New Roman" w:hAnsi="Times New Roman" w:eastAsia="宋体" w:cs="Times New Roman"/>
                      <w:i w:val="0"/>
                      <w:iCs w:val="0"/>
                      <w:color w:val="FF0000"/>
                      <w:kern w:val="0"/>
                      <w:sz w:val="21"/>
                      <w:szCs w:val="21"/>
                      <w:u w:val="none"/>
                      <w:vertAlign w:val="superscript"/>
                      <w:lang w:val="en-US" w:eastAsia="zh-CN" w:bidi="ar"/>
                    </w:rPr>
                    <w:t>3</w:t>
                  </w:r>
                  <w:r>
                    <w:rPr>
                      <w:rFonts w:hint="default" w:ascii="Times New Roman" w:hAnsi="Times New Roman" w:eastAsia="宋体" w:cs="Times New Roman"/>
                      <w:i w:val="0"/>
                      <w:iCs w:val="0"/>
                      <w:color w:val="FF0000"/>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90" w:hRule="atLeast"/>
              </w:trPr>
              <w:tc>
                <w:tcPr>
                  <w:tcW w:w="241"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普通砂浆</w:t>
                  </w:r>
                </w:p>
              </w:tc>
              <w:tc>
                <w:tcPr>
                  <w:tcW w:w="481"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混合搅拌</w:t>
                  </w:r>
                </w:p>
              </w:tc>
              <w:tc>
                <w:tcPr>
                  <w:tcW w:w="386"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颗粒物</w:t>
                  </w:r>
                </w:p>
              </w:tc>
              <w:tc>
                <w:tcPr>
                  <w:tcW w:w="6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129.36</w:t>
                  </w:r>
                </w:p>
              </w:tc>
              <w:tc>
                <w:tcPr>
                  <w:tcW w:w="5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25.87</w:t>
                  </w:r>
                </w:p>
              </w:tc>
              <w:tc>
                <w:tcPr>
                  <w:tcW w:w="423"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混合密闭粉尘收集效率100%，其他95%</w:t>
                  </w:r>
                </w:p>
              </w:tc>
              <w:tc>
                <w:tcPr>
                  <w:tcW w:w="769"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脉冲布袋除尘器（99.5%）+DA004</w:t>
                  </w:r>
                </w:p>
              </w:tc>
              <w:tc>
                <w:tcPr>
                  <w:tcW w:w="52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0.65</w:t>
                  </w:r>
                </w:p>
              </w:tc>
              <w:tc>
                <w:tcPr>
                  <w:tcW w:w="47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0.13</w:t>
                  </w:r>
                </w:p>
              </w:tc>
              <w:tc>
                <w:tcPr>
                  <w:tcW w:w="4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4.31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trPr>
              <w:tc>
                <w:tcPr>
                  <w:tcW w:w="241"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481"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其他工序</w:t>
                  </w:r>
                </w:p>
              </w:tc>
              <w:tc>
                <w:tcPr>
                  <w:tcW w:w="38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6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137.20</w:t>
                  </w:r>
                </w:p>
              </w:tc>
              <w:tc>
                <w:tcPr>
                  <w:tcW w:w="5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27.44</w:t>
                  </w:r>
                </w:p>
              </w:tc>
              <w:tc>
                <w:tcPr>
                  <w:tcW w:w="423"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76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52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0.65</w:t>
                  </w:r>
                </w:p>
              </w:tc>
              <w:tc>
                <w:tcPr>
                  <w:tcW w:w="47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0.13</w:t>
                  </w:r>
                </w:p>
              </w:tc>
              <w:tc>
                <w:tcPr>
                  <w:tcW w:w="4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4.34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74" w:hRule="atLeast"/>
              </w:trPr>
              <w:tc>
                <w:tcPr>
                  <w:tcW w:w="241"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481"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合计</w:t>
                  </w:r>
                </w:p>
              </w:tc>
              <w:tc>
                <w:tcPr>
                  <w:tcW w:w="38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6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266.56</w:t>
                  </w:r>
                </w:p>
              </w:tc>
              <w:tc>
                <w:tcPr>
                  <w:tcW w:w="5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53.31</w:t>
                  </w:r>
                </w:p>
              </w:tc>
              <w:tc>
                <w:tcPr>
                  <w:tcW w:w="423"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76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52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1.30</w:t>
                  </w:r>
                </w:p>
              </w:tc>
              <w:tc>
                <w:tcPr>
                  <w:tcW w:w="47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0.26</w:t>
                  </w:r>
                </w:p>
              </w:tc>
              <w:tc>
                <w:tcPr>
                  <w:tcW w:w="4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8.66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90" w:hRule="atLeast"/>
              </w:trPr>
              <w:tc>
                <w:tcPr>
                  <w:tcW w:w="241"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彩色砂浆</w:t>
                  </w:r>
                </w:p>
              </w:tc>
              <w:tc>
                <w:tcPr>
                  <w:tcW w:w="481"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混合搅拌</w:t>
                  </w:r>
                </w:p>
              </w:tc>
              <w:tc>
                <w:tcPr>
                  <w:tcW w:w="38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6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10.41</w:t>
                  </w:r>
                </w:p>
              </w:tc>
              <w:tc>
                <w:tcPr>
                  <w:tcW w:w="5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2.08</w:t>
                  </w:r>
                </w:p>
              </w:tc>
              <w:tc>
                <w:tcPr>
                  <w:tcW w:w="423"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769"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脉冲布袋除尘器（99.5%）+DA005</w:t>
                  </w:r>
                </w:p>
              </w:tc>
              <w:tc>
                <w:tcPr>
                  <w:tcW w:w="52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0.05</w:t>
                  </w:r>
                </w:p>
              </w:tc>
              <w:tc>
                <w:tcPr>
                  <w:tcW w:w="47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0.01</w:t>
                  </w:r>
                </w:p>
              </w:tc>
              <w:tc>
                <w:tcPr>
                  <w:tcW w:w="4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trPr>
              <w:tc>
                <w:tcPr>
                  <w:tcW w:w="241"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481"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其他工序</w:t>
                  </w:r>
                </w:p>
              </w:tc>
              <w:tc>
                <w:tcPr>
                  <w:tcW w:w="38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6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11.21</w:t>
                  </w:r>
                </w:p>
              </w:tc>
              <w:tc>
                <w:tcPr>
                  <w:tcW w:w="5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2.24</w:t>
                  </w:r>
                </w:p>
              </w:tc>
              <w:tc>
                <w:tcPr>
                  <w:tcW w:w="423"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76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52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0.05</w:t>
                  </w:r>
                </w:p>
              </w:tc>
              <w:tc>
                <w:tcPr>
                  <w:tcW w:w="47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0.01</w:t>
                  </w:r>
                </w:p>
              </w:tc>
              <w:tc>
                <w:tcPr>
                  <w:tcW w:w="4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37" w:hRule="atLeast"/>
              </w:trPr>
              <w:tc>
                <w:tcPr>
                  <w:tcW w:w="241"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481"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合计</w:t>
                  </w:r>
                </w:p>
              </w:tc>
              <w:tc>
                <w:tcPr>
                  <w:tcW w:w="38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6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21.62</w:t>
                  </w:r>
                </w:p>
              </w:tc>
              <w:tc>
                <w:tcPr>
                  <w:tcW w:w="5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4.32</w:t>
                  </w:r>
                </w:p>
              </w:tc>
              <w:tc>
                <w:tcPr>
                  <w:tcW w:w="423"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76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52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0.11</w:t>
                  </w:r>
                </w:p>
              </w:tc>
              <w:tc>
                <w:tcPr>
                  <w:tcW w:w="47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0.02</w:t>
                  </w:r>
                </w:p>
              </w:tc>
              <w:tc>
                <w:tcPr>
                  <w:tcW w:w="4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trPr>
              <w:tc>
                <w:tcPr>
                  <w:tcW w:w="241"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特种砂浆</w:t>
                  </w:r>
                </w:p>
              </w:tc>
              <w:tc>
                <w:tcPr>
                  <w:tcW w:w="481"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混合搅拌</w:t>
                  </w:r>
                </w:p>
              </w:tc>
              <w:tc>
                <w:tcPr>
                  <w:tcW w:w="38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6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32.79</w:t>
                  </w:r>
                </w:p>
              </w:tc>
              <w:tc>
                <w:tcPr>
                  <w:tcW w:w="5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6.56</w:t>
                  </w:r>
                </w:p>
              </w:tc>
              <w:tc>
                <w:tcPr>
                  <w:tcW w:w="423"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769"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脉冲布袋除尘器（99.5%）+DA006</w:t>
                  </w:r>
                </w:p>
              </w:tc>
              <w:tc>
                <w:tcPr>
                  <w:tcW w:w="52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0.16</w:t>
                  </w:r>
                </w:p>
              </w:tc>
              <w:tc>
                <w:tcPr>
                  <w:tcW w:w="47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0.03</w:t>
                  </w:r>
                </w:p>
              </w:tc>
              <w:tc>
                <w:tcPr>
                  <w:tcW w:w="4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1.09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90" w:hRule="atLeast"/>
              </w:trPr>
              <w:tc>
                <w:tcPr>
                  <w:tcW w:w="241"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481" w:type="pc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其他工序</w:t>
                  </w:r>
                </w:p>
              </w:tc>
              <w:tc>
                <w:tcPr>
                  <w:tcW w:w="38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6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35.30</w:t>
                  </w:r>
                </w:p>
              </w:tc>
              <w:tc>
                <w:tcPr>
                  <w:tcW w:w="5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7.06</w:t>
                  </w:r>
                </w:p>
              </w:tc>
              <w:tc>
                <w:tcPr>
                  <w:tcW w:w="423"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76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52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0.17</w:t>
                  </w:r>
                </w:p>
              </w:tc>
              <w:tc>
                <w:tcPr>
                  <w:tcW w:w="47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0.03</w:t>
                  </w:r>
                </w:p>
              </w:tc>
              <w:tc>
                <w:tcPr>
                  <w:tcW w:w="4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0" w:hRule="atLeast"/>
              </w:trPr>
              <w:tc>
                <w:tcPr>
                  <w:tcW w:w="241"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868" w:type="pct"/>
                  <w:gridSpan w:val="2"/>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合计</w:t>
                  </w:r>
                </w:p>
              </w:tc>
              <w:tc>
                <w:tcPr>
                  <w:tcW w:w="6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68.09</w:t>
                  </w:r>
                </w:p>
              </w:tc>
              <w:tc>
                <w:tcPr>
                  <w:tcW w:w="5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13.62</w:t>
                  </w:r>
                </w:p>
              </w:tc>
              <w:tc>
                <w:tcPr>
                  <w:tcW w:w="423"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76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FF0000"/>
                      <w:sz w:val="21"/>
                      <w:szCs w:val="21"/>
                      <w:u w:val="none"/>
                    </w:rPr>
                  </w:pPr>
                </w:p>
              </w:tc>
              <w:tc>
                <w:tcPr>
                  <w:tcW w:w="52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0.33</w:t>
                  </w:r>
                </w:p>
              </w:tc>
              <w:tc>
                <w:tcPr>
                  <w:tcW w:w="47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0.07</w:t>
                  </w:r>
                </w:p>
              </w:tc>
              <w:tc>
                <w:tcPr>
                  <w:tcW w:w="4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2.21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00" w:hRule="atLeast"/>
              </w:trPr>
              <w:tc>
                <w:tcPr>
                  <w:tcW w:w="1109" w:type="pct"/>
                  <w:gridSpan w:val="3"/>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总计</w:t>
                  </w:r>
                </w:p>
              </w:tc>
              <w:tc>
                <w:tcPr>
                  <w:tcW w:w="61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356.27</w:t>
                  </w:r>
                </w:p>
              </w:tc>
              <w:tc>
                <w:tcPr>
                  <w:tcW w:w="5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71.26</w:t>
                  </w:r>
                </w:p>
              </w:tc>
              <w:tc>
                <w:tcPr>
                  <w:tcW w:w="42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w:t>
                  </w:r>
                </w:p>
              </w:tc>
              <w:tc>
                <w:tcPr>
                  <w:tcW w:w="76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w:t>
                  </w:r>
                </w:p>
              </w:tc>
              <w:tc>
                <w:tcPr>
                  <w:tcW w:w="52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1.74</w:t>
                  </w:r>
                </w:p>
              </w:tc>
              <w:tc>
                <w:tcPr>
                  <w:tcW w:w="47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0.35</w:t>
                  </w:r>
                </w:p>
              </w:tc>
              <w:tc>
                <w:tcPr>
                  <w:tcW w:w="49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1.16</w:t>
                  </w:r>
                </w:p>
              </w:tc>
            </w:tr>
          </w:tbl>
          <w:p>
            <w:pPr>
              <w:pStyle w:val="2"/>
              <w:rPr>
                <w:rFonts w:hint="default" w:ascii="Times New Roman" w:hAnsi="Times New Roman" w:cs="Times New Roman"/>
                <w:b/>
                <w:bCs/>
                <w:lang w:val="en-US" w:eastAsia="zh-CN"/>
              </w:rPr>
            </w:pPr>
            <w:r>
              <w:rPr>
                <w:rFonts w:hint="default" w:ascii="Times New Roman" w:hAnsi="Times New Roman" w:cs="Times New Roman"/>
                <w:b/>
                <w:bCs/>
                <w:lang w:val="en-US" w:eastAsia="zh-CN"/>
              </w:rPr>
              <w:t>2、无组织废气</w:t>
            </w:r>
          </w:p>
          <w:p>
            <w:pPr>
              <w:pStyle w:val="2"/>
              <w:rPr>
                <w:rFonts w:hint="default" w:ascii="Times New Roman" w:hAnsi="Times New Roman" w:cs="Times New Roman"/>
                <w:lang w:val="en-US" w:eastAsia="zh-CN"/>
              </w:rPr>
            </w:pPr>
            <w:r>
              <w:rPr>
                <w:rFonts w:hint="default" w:ascii="Times New Roman" w:hAnsi="Times New Roman" w:cs="Times New Roman"/>
                <w:lang w:val="en-US" w:eastAsia="zh-CN"/>
              </w:rPr>
              <w:t>根据以上分析，项目无组织废气产生及排放情况如下。</w:t>
            </w:r>
          </w:p>
          <w:p>
            <w:pPr>
              <w:pStyle w:val="2"/>
              <w:numPr>
                <w:ilvl w:val="0"/>
                <w:numId w:val="7"/>
              </w:numPr>
              <w:rPr>
                <w:rFonts w:hint="default" w:ascii="Times New Roman" w:hAnsi="Times New Roman" w:cs="Times New Roman"/>
                <w:lang w:val="en-US" w:eastAsia="zh-CN"/>
              </w:rPr>
            </w:pPr>
            <w:r>
              <w:rPr>
                <w:rFonts w:hint="default" w:ascii="Times New Roman" w:hAnsi="Times New Roman" w:cs="Times New Roman"/>
                <w:lang w:val="en-US" w:eastAsia="zh-CN"/>
              </w:rPr>
              <w:t>生产车间无组织废气排放</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本项目河砂/鹅卵石制砂、石灰石制砂以及干粉砂浆生产线设备均密闭，其他无法密闭的产尘点如投料、输送等工序采用半封闭式，同时各产尘点设置集气罩收集，收集效率95%，剩余5%无组织排放。</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根据以上分析，各车间无组织废气排放情况如下：</w:t>
            </w:r>
          </w:p>
          <w:p>
            <w:pPr>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表4-10 生产车间各生产线无组织废气排放情况</w:t>
            </w:r>
          </w:p>
          <w:tbl>
            <w:tblPr>
              <w:tblStyle w:val="21"/>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002"/>
              <w:gridCol w:w="1004"/>
              <w:gridCol w:w="1004"/>
              <w:gridCol w:w="1004"/>
              <w:gridCol w:w="1129"/>
              <w:gridCol w:w="1129"/>
              <w:gridCol w:w="1004"/>
              <w:gridCol w:w="13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5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污染源</w:t>
                  </w: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污染物</w:t>
                  </w: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产生量（t/a）</w:t>
                  </w: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未被收集量</w:t>
                  </w:r>
                </w:p>
              </w:tc>
              <w:tc>
                <w:tcPr>
                  <w:tcW w:w="6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无组织废气产生量</w:t>
                  </w:r>
                </w:p>
              </w:tc>
              <w:tc>
                <w:tcPr>
                  <w:tcW w:w="6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采取措施及处理效率</w:t>
                  </w: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排放量（t/a）</w:t>
                  </w:r>
                </w:p>
              </w:tc>
              <w:tc>
                <w:tcPr>
                  <w:tcW w:w="7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排放速率（t/h）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i w:val="0"/>
                      <w:iCs w:val="0"/>
                      <w:color w:val="FF0000"/>
                      <w:kern w:val="0"/>
                      <w:sz w:val="21"/>
                      <w:szCs w:val="21"/>
                      <w:u w:val="none"/>
                      <w:lang w:val="en-US" w:eastAsia="zh-CN" w:bidi="ar"/>
                    </w:rPr>
                    <w:t>河砂</w:t>
                  </w:r>
                  <w:r>
                    <w:rPr>
                      <w:rFonts w:hint="default" w:ascii="Times New Roman" w:hAnsi="Times New Roman" w:eastAsia="宋体" w:cs="Times New Roman"/>
                      <w:i w:val="0"/>
                      <w:iCs w:val="0"/>
                      <w:color w:val="FF0000"/>
                      <w:kern w:val="0"/>
                      <w:sz w:val="21"/>
                      <w:szCs w:val="21"/>
                      <w:u w:val="none"/>
                      <w:lang w:val="en-US" w:eastAsia="zh-CN" w:bidi="ar"/>
                    </w:rPr>
                    <w:t>生产线</w:t>
                  </w: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i w:val="0"/>
                      <w:iCs w:val="0"/>
                      <w:color w:val="FF0000"/>
                      <w:sz w:val="21"/>
                      <w:szCs w:val="21"/>
                      <w:u w:val="none"/>
                      <w:lang w:val="en-US" w:eastAsia="zh-CN"/>
                    </w:rPr>
                    <w:t>颗粒物</w:t>
                  </w: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i w:val="0"/>
                      <w:iCs w:val="0"/>
                      <w:color w:val="000000"/>
                      <w:kern w:val="0"/>
                      <w:sz w:val="21"/>
                      <w:szCs w:val="21"/>
                      <w:u w:val="none"/>
                      <w:lang w:val="en-US" w:eastAsia="zh-CN" w:bidi="ar"/>
                    </w:rPr>
                    <w:t>19.5</w:t>
                  </w: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i w:val="0"/>
                      <w:iCs w:val="0"/>
                      <w:color w:val="FF0000"/>
                      <w:sz w:val="21"/>
                      <w:szCs w:val="21"/>
                      <w:u w:val="none"/>
                      <w:lang w:val="en-US" w:eastAsia="zh-CN"/>
                    </w:rPr>
                    <w:t>5%</w:t>
                  </w:r>
                </w:p>
              </w:tc>
              <w:tc>
                <w:tcPr>
                  <w:tcW w:w="6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i w:val="0"/>
                      <w:iCs w:val="0"/>
                      <w:color w:val="000000"/>
                      <w:kern w:val="0"/>
                      <w:sz w:val="21"/>
                      <w:szCs w:val="21"/>
                      <w:u w:val="none"/>
                      <w:lang w:val="en-US" w:eastAsia="zh-CN" w:bidi="ar"/>
                    </w:rPr>
                    <w:t>0.98</w:t>
                  </w:r>
                </w:p>
              </w:tc>
              <w:tc>
                <w:tcPr>
                  <w:tcW w:w="656"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车间密闭，减少无组织排放，各产尘点加强密闭，车间地面洒水抑尘可减少80%粉尘排放</w:t>
                  </w: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i w:val="0"/>
                      <w:iCs w:val="0"/>
                      <w:color w:val="000000"/>
                      <w:kern w:val="0"/>
                      <w:sz w:val="21"/>
                      <w:szCs w:val="21"/>
                      <w:u w:val="none"/>
                      <w:lang w:val="en-US" w:eastAsia="zh-CN" w:bidi="ar"/>
                    </w:rPr>
                    <w:t>0.20</w:t>
                  </w:r>
                </w:p>
              </w:tc>
              <w:tc>
                <w:tcPr>
                  <w:tcW w:w="7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i w:val="0"/>
                      <w:iCs w:val="0"/>
                      <w:color w:val="000000"/>
                      <w:kern w:val="0"/>
                      <w:sz w:val="21"/>
                      <w:szCs w:val="21"/>
                      <w:u w:val="none"/>
                      <w:lang w:val="en-US" w:eastAsia="zh-CN" w:bidi="ar"/>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rPr>
                  </w:pPr>
                  <w:r>
                    <w:rPr>
                      <w:rFonts w:hint="default" w:ascii="Times New Roman" w:hAnsi="Times New Roman" w:eastAsia="宋体" w:cs="Times New Roman"/>
                      <w:i w:val="0"/>
                      <w:iCs w:val="0"/>
                      <w:color w:val="FF0000"/>
                      <w:kern w:val="0"/>
                      <w:sz w:val="21"/>
                      <w:szCs w:val="21"/>
                      <w:u w:val="none"/>
                      <w:lang w:val="en-US" w:eastAsia="zh-CN" w:bidi="ar"/>
                    </w:rPr>
                    <w:t>鹅卵石烘干线</w:t>
                  </w: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lang w:val="en-US" w:eastAsia="zh-CN"/>
                    </w:rPr>
                  </w:pPr>
                  <w:r>
                    <w:rPr>
                      <w:rFonts w:hint="default" w:ascii="Times New Roman" w:hAnsi="Times New Roman" w:cs="Times New Roman"/>
                      <w:i w:val="0"/>
                      <w:iCs w:val="0"/>
                      <w:color w:val="FF0000"/>
                      <w:sz w:val="21"/>
                      <w:szCs w:val="21"/>
                      <w:u w:val="none"/>
                      <w:lang w:val="en-US" w:eastAsia="zh-CN"/>
                    </w:rPr>
                    <w:t>颗粒物</w:t>
                  </w: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FF0000"/>
                      <w:sz w:val="21"/>
                      <w:szCs w:val="21"/>
                      <w:u w:val="none"/>
                      <w:lang w:val="en-US" w:eastAsia="zh-CN"/>
                    </w:rPr>
                  </w:pPr>
                  <w:r>
                    <w:rPr>
                      <w:rFonts w:hint="default" w:ascii="Times New Roman" w:hAnsi="Times New Roman" w:cs="Times New Roman"/>
                      <w:i w:val="0"/>
                      <w:iCs w:val="0"/>
                      <w:color w:val="FF0000"/>
                      <w:sz w:val="21"/>
                      <w:szCs w:val="21"/>
                      <w:u w:val="none"/>
                      <w:lang w:val="en-US" w:eastAsia="zh-CN"/>
                    </w:rPr>
                    <w:t>32.5</w:t>
                  </w: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lang w:val="en-US" w:eastAsia="zh-CN"/>
                    </w:rPr>
                  </w:pPr>
                  <w:r>
                    <w:rPr>
                      <w:rFonts w:hint="default" w:ascii="Times New Roman" w:hAnsi="Times New Roman" w:cs="Times New Roman"/>
                      <w:i w:val="0"/>
                      <w:iCs w:val="0"/>
                      <w:color w:val="FF0000"/>
                      <w:sz w:val="21"/>
                      <w:szCs w:val="21"/>
                      <w:u w:val="none"/>
                      <w:lang w:val="en-US" w:eastAsia="zh-CN"/>
                    </w:rPr>
                    <w:t>5%</w:t>
                  </w:r>
                </w:p>
              </w:tc>
              <w:tc>
                <w:tcPr>
                  <w:tcW w:w="6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lang w:val="en-US" w:eastAsia="zh-CN"/>
                    </w:rPr>
                  </w:pPr>
                  <w:r>
                    <w:rPr>
                      <w:rFonts w:hint="default" w:ascii="Times New Roman" w:hAnsi="Times New Roman" w:cs="Times New Roman"/>
                      <w:i w:val="0"/>
                      <w:iCs w:val="0"/>
                      <w:color w:val="FF0000"/>
                      <w:sz w:val="21"/>
                      <w:szCs w:val="21"/>
                      <w:u w:val="none"/>
                      <w:lang w:val="en-US" w:eastAsia="zh-CN"/>
                    </w:rPr>
                    <w:t>1.63</w:t>
                  </w:r>
                </w:p>
              </w:tc>
              <w:tc>
                <w:tcPr>
                  <w:tcW w:w="656"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lang w:val="en-US" w:eastAsia="zh-CN"/>
                    </w:rPr>
                  </w:pPr>
                  <w:r>
                    <w:rPr>
                      <w:rFonts w:hint="default" w:ascii="Times New Roman" w:hAnsi="Times New Roman" w:cs="Times New Roman"/>
                      <w:i w:val="0"/>
                      <w:iCs w:val="0"/>
                      <w:color w:val="FF0000"/>
                      <w:sz w:val="21"/>
                      <w:szCs w:val="21"/>
                      <w:u w:val="none"/>
                      <w:lang w:val="en-US" w:eastAsia="zh-CN"/>
                    </w:rPr>
                    <w:t>0.33</w:t>
                  </w:r>
                </w:p>
              </w:tc>
              <w:tc>
                <w:tcPr>
                  <w:tcW w:w="7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sz w:val="21"/>
                      <w:szCs w:val="21"/>
                      <w:u w:val="none"/>
                      <w:lang w:val="en-US" w:eastAsia="zh-CN"/>
                    </w:rPr>
                  </w:pPr>
                  <w:r>
                    <w:rPr>
                      <w:rFonts w:hint="default" w:ascii="Times New Roman" w:hAnsi="Times New Roman" w:cs="Times New Roman"/>
                      <w:i w:val="0"/>
                      <w:iCs w:val="0"/>
                      <w:color w:val="FF0000"/>
                      <w:sz w:val="21"/>
                      <w:szCs w:val="21"/>
                      <w:u w:val="none"/>
                      <w:lang w:val="en-US" w:eastAsia="zh-CN"/>
                    </w:rPr>
                    <w:t>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5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石灰石</w:t>
                  </w: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颗粒物</w:t>
                  </w: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56</w:t>
                  </w:r>
                  <w:r>
                    <w:rPr>
                      <w:rFonts w:hint="default" w:ascii="Times New Roman" w:hAnsi="Times New Roman" w:cs="Times New Roman"/>
                      <w:i w:val="0"/>
                      <w:iCs w:val="0"/>
                      <w:color w:val="000000"/>
                      <w:kern w:val="0"/>
                      <w:sz w:val="21"/>
                      <w:szCs w:val="21"/>
                      <w:u w:val="none"/>
                      <w:lang w:val="en-US" w:eastAsia="zh-CN" w:bidi="ar"/>
                    </w:rPr>
                    <w:t>.0</w:t>
                  </w: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6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2.80</w:t>
                  </w:r>
                </w:p>
              </w:tc>
              <w:tc>
                <w:tcPr>
                  <w:tcW w:w="65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0.56</w:t>
                  </w:r>
                </w:p>
              </w:tc>
              <w:tc>
                <w:tcPr>
                  <w:tcW w:w="7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普通</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砂浆</w:t>
                  </w: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颗粒物</w:t>
                  </w: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137.2</w:t>
                  </w:r>
                  <w:r>
                    <w:rPr>
                      <w:rFonts w:hint="default" w:ascii="Times New Roman" w:hAnsi="Times New Roman" w:cs="Times New Roman"/>
                      <w:i w:val="0"/>
                      <w:iCs w:val="0"/>
                      <w:color w:val="000000"/>
                      <w:kern w:val="0"/>
                      <w:sz w:val="21"/>
                      <w:szCs w:val="21"/>
                      <w:u w:val="none"/>
                      <w:lang w:val="en-US" w:eastAsia="zh-CN" w:bidi="ar"/>
                    </w:rPr>
                    <w:t>0</w:t>
                  </w: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6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6.86</w:t>
                  </w:r>
                </w:p>
              </w:tc>
              <w:tc>
                <w:tcPr>
                  <w:tcW w:w="65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1.37</w:t>
                  </w:r>
                </w:p>
              </w:tc>
              <w:tc>
                <w:tcPr>
                  <w:tcW w:w="7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彩色</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砂浆</w:t>
                  </w: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颗粒物</w:t>
                  </w: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11.21</w:t>
                  </w: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6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0.56</w:t>
                  </w:r>
                </w:p>
              </w:tc>
              <w:tc>
                <w:tcPr>
                  <w:tcW w:w="65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0.11</w:t>
                  </w:r>
                </w:p>
              </w:tc>
              <w:tc>
                <w:tcPr>
                  <w:tcW w:w="7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8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特种</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砂浆</w:t>
                  </w: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颗粒物</w:t>
                  </w: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35.30</w:t>
                  </w: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6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1.7</w:t>
                  </w:r>
                  <w:r>
                    <w:rPr>
                      <w:rFonts w:hint="default" w:ascii="Times New Roman" w:hAnsi="Times New Roman" w:cs="Times New Roman"/>
                      <w:i w:val="0"/>
                      <w:iCs w:val="0"/>
                      <w:color w:val="000000"/>
                      <w:kern w:val="0"/>
                      <w:sz w:val="21"/>
                      <w:szCs w:val="21"/>
                      <w:u w:val="none"/>
                      <w:lang w:val="en-US" w:eastAsia="zh-CN" w:bidi="ar"/>
                    </w:rPr>
                    <w:t>7</w:t>
                  </w:r>
                </w:p>
              </w:tc>
              <w:tc>
                <w:tcPr>
                  <w:tcW w:w="65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0.35</w:t>
                  </w:r>
                </w:p>
              </w:tc>
              <w:tc>
                <w:tcPr>
                  <w:tcW w:w="7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165"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合计</w:t>
                  </w: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lang w:val="en-US" w:eastAsia="zh-CN"/>
                    </w:rPr>
                  </w:pPr>
                  <w:r>
                    <w:rPr>
                      <w:rFonts w:hint="default" w:ascii="Times New Roman" w:hAnsi="Times New Roman" w:cs="Times New Roman"/>
                      <w:i w:val="0"/>
                      <w:iCs w:val="0"/>
                      <w:color w:val="000000"/>
                      <w:sz w:val="21"/>
                      <w:szCs w:val="21"/>
                      <w:u w:val="none"/>
                      <w:lang w:val="en-US" w:eastAsia="zh-CN"/>
                    </w:rPr>
                    <w:t>291.71</w:t>
                  </w: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6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cs="Times New Roman"/>
                      <w:i w:val="0"/>
                      <w:iCs w:val="0"/>
                      <w:color w:val="000000"/>
                      <w:kern w:val="0"/>
                      <w:sz w:val="21"/>
                      <w:szCs w:val="21"/>
                      <w:u w:val="none"/>
                      <w:lang w:val="en-US" w:eastAsia="zh-CN" w:bidi="ar"/>
                    </w:rPr>
                    <w:t>14.6</w:t>
                  </w:r>
                </w:p>
              </w:tc>
              <w:tc>
                <w:tcPr>
                  <w:tcW w:w="65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58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cs="Times New Roman"/>
                      <w:i w:val="0"/>
                      <w:iCs w:val="0"/>
                      <w:color w:val="000000"/>
                      <w:kern w:val="0"/>
                      <w:sz w:val="21"/>
                      <w:szCs w:val="21"/>
                      <w:u w:val="none"/>
                      <w:lang w:val="en-US" w:eastAsia="zh-CN" w:bidi="ar"/>
                    </w:rPr>
                    <w:t>2.92</w:t>
                  </w:r>
                </w:p>
              </w:tc>
              <w:tc>
                <w:tcPr>
                  <w:tcW w:w="77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cs="Times New Roman"/>
                      <w:i w:val="0"/>
                      <w:iCs w:val="0"/>
                      <w:color w:val="000000"/>
                      <w:kern w:val="0"/>
                      <w:sz w:val="21"/>
                      <w:szCs w:val="21"/>
                      <w:u w:val="none"/>
                      <w:lang w:val="en-US" w:eastAsia="zh-CN" w:bidi="ar"/>
                    </w:rPr>
                    <w:t>0.58</w:t>
                  </w:r>
                </w:p>
              </w:tc>
            </w:tr>
          </w:tbl>
          <w:p>
            <w:pPr>
              <w:pStyle w:val="2"/>
              <w:numPr>
                <w:ilvl w:val="0"/>
                <w:numId w:val="7"/>
              </w:numPr>
              <w:rPr>
                <w:rFonts w:hint="default" w:ascii="Times New Roman" w:hAnsi="Times New Roman" w:cs="Times New Roman"/>
                <w:lang w:val="en-US" w:eastAsia="zh-CN"/>
              </w:rPr>
            </w:pPr>
            <w:r>
              <w:rPr>
                <w:rFonts w:hint="default" w:ascii="Times New Roman" w:hAnsi="Times New Roman" w:cs="Times New Roman"/>
                <w:lang w:val="en-US" w:eastAsia="zh-CN"/>
              </w:rPr>
              <w:t>堆场无组织废气排放</w:t>
            </w:r>
          </w:p>
          <w:p>
            <w:pPr>
              <w:numPr>
                <w:ilvl w:val="0"/>
                <w:numId w:val="0"/>
              </w:numPr>
              <w:bidi w:val="0"/>
              <w:ind w:firstLine="480" w:firstLineChars="20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cs="Times New Roman"/>
                <w:lang w:val="en-US" w:eastAsia="zh-CN"/>
              </w:rPr>
              <w:t>本项目原料在装卸和堆存过程中将产生粉尘。根据规划设计方案及业主沟通得知，为减少扬尘在堆场内</w:t>
            </w:r>
            <w:r>
              <w:rPr>
                <w:rFonts w:hint="default" w:ascii="Times New Roman" w:hAnsi="Times New Roman" w:eastAsia="宋体" w:cs="Times New Roman"/>
                <w:color w:val="000000"/>
                <w:kern w:val="0"/>
                <w:sz w:val="24"/>
                <w:szCs w:val="24"/>
                <w:lang w:val="en-US" w:eastAsia="zh-CN" w:bidi="ar"/>
              </w:rPr>
              <w:t>安装雾化喷淋设施，定时喷淋洒水降尘，加上原料来源于河砂和鹅卵石，含水率约10%，因此装卸和堆存过程粉尘将得到较好的抑制。</w:t>
            </w:r>
            <w:r>
              <w:rPr>
                <w:rFonts w:hint="default" w:ascii="Times New Roman" w:hAnsi="Times New Roman" w:cs="Times New Roman"/>
                <w:color w:val="000000"/>
                <w:sz w:val="24"/>
              </w:rPr>
              <w:t>根据《逸散性工业粉尘控制技术》第三章、物料的装卸运输中表1-12卸料的排放因子，原料卸料时粉尘产尘系数为0.01kg/t（卸料）</w:t>
            </w:r>
            <w:r>
              <w:rPr>
                <w:rFonts w:hint="default" w:ascii="Times New Roman" w:hAnsi="Times New Roman" w:cs="Times New Roman"/>
                <w:color w:val="000000"/>
                <w:sz w:val="24"/>
                <w:lang w:eastAsia="zh-CN"/>
              </w:rPr>
              <w:t>，</w:t>
            </w:r>
            <w:r>
              <w:rPr>
                <w:rFonts w:hint="default" w:ascii="Times New Roman" w:hAnsi="Times New Roman" w:eastAsia="宋体" w:cs="Times New Roman"/>
                <w:color w:val="000000"/>
                <w:kern w:val="0"/>
                <w:sz w:val="24"/>
                <w:szCs w:val="24"/>
                <w:lang w:val="en-US" w:eastAsia="zh-CN" w:bidi="ar"/>
              </w:rPr>
              <w:t>项目砂石料原料共计80万</w:t>
            </w:r>
            <w:r>
              <w:rPr>
                <w:rFonts w:hint="default" w:ascii="Times New Roman" w:hAnsi="Times New Roman" w:cs="Times New Roman"/>
                <w:color w:val="000000"/>
                <w:kern w:val="0"/>
                <w:sz w:val="24"/>
                <w:szCs w:val="24"/>
                <w:lang w:val="en-US" w:eastAsia="zh-CN" w:bidi="ar"/>
              </w:rPr>
              <w:t>t</w:t>
            </w:r>
            <w:r>
              <w:rPr>
                <w:rFonts w:hint="default" w:ascii="Times New Roman" w:hAnsi="Times New Roman" w:eastAsia="宋体" w:cs="Times New Roman"/>
                <w:color w:val="000000"/>
                <w:kern w:val="0"/>
                <w:sz w:val="24"/>
                <w:szCs w:val="24"/>
                <w:lang w:val="en-US" w:eastAsia="zh-CN" w:bidi="ar"/>
              </w:rPr>
              <w:t>，则粉尘产生量</w:t>
            </w:r>
            <w:r>
              <w:rPr>
                <w:rFonts w:hint="default" w:ascii="Times New Roman" w:hAnsi="Times New Roman" w:cs="Times New Roman"/>
                <w:color w:val="000000"/>
                <w:kern w:val="0"/>
                <w:sz w:val="24"/>
                <w:szCs w:val="24"/>
                <w:lang w:val="en-US" w:eastAsia="zh-CN" w:bidi="ar"/>
              </w:rPr>
              <w:t>8t</w:t>
            </w:r>
            <w:r>
              <w:rPr>
                <w:rFonts w:hint="default" w:ascii="Times New Roman" w:hAnsi="Times New Roman" w:eastAsia="宋体" w:cs="Times New Roman"/>
                <w:color w:val="000000"/>
                <w:kern w:val="0"/>
                <w:sz w:val="24"/>
                <w:szCs w:val="24"/>
                <w:lang w:val="en-US" w:eastAsia="zh-CN" w:bidi="ar"/>
              </w:rPr>
              <w:t>，考虑</w:t>
            </w:r>
            <w:r>
              <w:rPr>
                <w:rFonts w:hint="default" w:ascii="Times New Roman" w:hAnsi="Times New Roman" w:cs="Times New Roman"/>
                <w:color w:val="000000"/>
                <w:kern w:val="0"/>
                <w:sz w:val="24"/>
                <w:szCs w:val="24"/>
                <w:lang w:val="en-US" w:eastAsia="zh-CN" w:bidi="ar"/>
              </w:rPr>
              <w:t>原料含水、</w:t>
            </w:r>
            <w:r>
              <w:rPr>
                <w:rFonts w:hint="default" w:ascii="Times New Roman" w:hAnsi="Times New Roman" w:eastAsia="宋体" w:cs="Times New Roman"/>
                <w:color w:val="000000"/>
                <w:kern w:val="0"/>
                <w:sz w:val="24"/>
                <w:szCs w:val="24"/>
                <w:lang w:val="en-US" w:eastAsia="zh-CN" w:bidi="ar"/>
              </w:rPr>
              <w:t>堆场设置喷淋装置，</w:t>
            </w:r>
            <w:r>
              <w:rPr>
                <w:rFonts w:hint="default" w:ascii="Times New Roman" w:hAnsi="Times New Roman" w:cs="Times New Roman"/>
                <w:color w:val="000000"/>
                <w:sz w:val="24"/>
              </w:rPr>
              <w:t>大部分粉尘沉降于堆场内，</w:t>
            </w:r>
            <w:r>
              <w:rPr>
                <w:rFonts w:hint="default" w:ascii="Times New Roman" w:hAnsi="Times New Roman" w:cs="Times New Roman"/>
                <w:color w:val="000000"/>
                <w:kern w:val="0"/>
                <w:sz w:val="24"/>
                <w:szCs w:val="24"/>
                <w:lang w:val="en-US" w:eastAsia="zh-CN" w:bidi="ar"/>
              </w:rPr>
              <w:t>粉尘去除率为95%，其余5%无组织排放</w:t>
            </w:r>
            <w:r>
              <w:rPr>
                <w:rFonts w:hint="default" w:ascii="Times New Roman" w:hAnsi="Times New Roman" w:eastAsia="宋体" w:cs="Times New Roman"/>
                <w:color w:val="000000"/>
                <w:kern w:val="0"/>
                <w:sz w:val="24"/>
                <w:szCs w:val="24"/>
                <w:lang w:val="en-US" w:eastAsia="zh-CN" w:bidi="ar"/>
              </w:rPr>
              <w:t>，因此堆场产生粉尘量为</w:t>
            </w:r>
            <w:r>
              <w:rPr>
                <w:rFonts w:hint="default" w:ascii="Times New Roman" w:hAnsi="Times New Roman" w:cs="Times New Roman"/>
                <w:color w:val="000000"/>
                <w:kern w:val="0"/>
                <w:sz w:val="24"/>
                <w:szCs w:val="24"/>
                <w:lang w:val="en-US" w:eastAsia="zh-CN" w:bidi="ar"/>
              </w:rPr>
              <w:t>0.4</w:t>
            </w:r>
            <w:r>
              <w:rPr>
                <w:rFonts w:hint="default" w:ascii="Times New Roman" w:hAnsi="Times New Roman" w:eastAsia="宋体" w:cs="Times New Roman"/>
                <w:color w:val="000000"/>
                <w:kern w:val="0"/>
                <w:sz w:val="24"/>
                <w:szCs w:val="24"/>
                <w:lang w:val="en-US" w:eastAsia="zh-CN" w:bidi="ar"/>
              </w:rPr>
              <w:t>t/a</w:t>
            </w:r>
            <w:r>
              <w:rPr>
                <w:rFonts w:hint="default" w:ascii="Times New Roman" w:hAnsi="Times New Roman" w:cs="Times New Roman"/>
                <w:color w:val="000000"/>
                <w:kern w:val="0"/>
                <w:sz w:val="24"/>
                <w:szCs w:val="24"/>
                <w:lang w:val="en-US" w:eastAsia="zh-CN" w:bidi="ar"/>
              </w:rPr>
              <w:t>，排放速率为0.08kg/h</w:t>
            </w:r>
            <w:r>
              <w:rPr>
                <w:rFonts w:hint="default" w:ascii="Times New Roman" w:hAnsi="Times New Roman" w:eastAsia="宋体" w:cs="Times New Roman"/>
                <w:color w:val="000000"/>
                <w:kern w:val="0"/>
                <w:sz w:val="24"/>
                <w:szCs w:val="24"/>
                <w:lang w:val="en-US" w:eastAsia="zh-CN" w:bidi="ar"/>
              </w:rPr>
              <w:t>。</w:t>
            </w:r>
          </w:p>
          <w:p>
            <w:pPr>
              <w:pStyle w:val="2"/>
              <w:numPr>
                <w:ilvl w:val="0"/>
                <w:numId w:val="7"/>
              </w:numPr>
              <w:ind w:left="0" w:leftChars="0" w:firstLine="480" w:firstLineChars="20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筒仓呼吸废气</w:t>
            </w:r>
          </w:p>
          <w:p>
            <w:pPr>
              <w:keepNext w:val="0"/>
              <w:keepLines w:val="0"/>
              <w:widowControl/>
              <w:suppressLineNumbers w:val="0"/>
              <w:jc w:val="left"/>
              <w:rPr>
                <w:rFonts w:hint="default" w:ascii="Times New Roman" w:hAnsi="Times New Roman" w:cs="Times New Roman"/>
              </w:rPr>
            </w:pPr>
            <w:r>
              <w:rPr>
                <w:rFonts w:hint="default" w:ascii="Times New Roman" w:hAnsi="Times New Roman" w:eastAsia="宋体" w:cs="Times New Roman"/>
                <w:color w:val="000000"/>
                <w:kern w:val="0"/>
                <w:sz w:val="24"/>
                <w:szCs w:val="24"/>
                <w:lang w:val="en-US" w:eastAsia="zh-CN" w:bidi="ar"/>
              </w:rPr>
              <w:t>本项目干粉砂浆生产线中水泥、机制砂</w:t>
            </w:r>
            <w:r>
              <w:rPr>
                <w:rFonts w:hint="default" w:ascii="Times New Roman" w:hAnsi="Times New Roman" w:cs="Times New Roman"/>
                <w:color w:val="000000"/>
                <w:kern w:val="0"/>
                <w:sz w:val="24"/>
                <w:szCs w:val="24"/>
                <w:lang w:val="en-US" w:eastAsia="zh-CN" w:bidi="ar"/>
              </w:rPr>
              <w:t>、石粉、胶粉、石英砂等</w:t>
            </w:r>
            <w:r>
              <w:rPr>
                <w:rFonts w:hint="default" w:ascii="Times New Roman" w:hAnsi="Times New Roman" w:eastAsia="宋体" w:cs="Times New Roman"/>
                <w:color w:val="000000"/>
                <w:kern w:val="0"/>
                <w:sz w:val="24"/>
                <w:szCs w:val="24"/>
                <w:lang w:val="en-US" w:eastAsia="zh-CN" w:bidi="ar"/>
              </w:rPr>
              <w:t xml:space="preserve">由筒仓储存，储罐进料时，由专用运输车的输送管路与储罐的进料管路连接，通过气体压力将罐内物料输送到储罐内，气力输送过程中粉罐排气将带走大量的粉尘，必须经除尘设施除尘后，方可排放，属间断排放。 </w:t>
            </w:r>
          </w:p>
          <w:p>
            <w:pPr>
              <w:keepNext w:val="0"/>
              <w:keepLines w:val="0"/>
              <w:widowControl/>
              <w:suppressLineNumbers w:val="0"/>
              <w:jc w:val="left"/>
              <w:rPr>
                <w:rFonts w:hint="default" w:ascii="Times New Roman" w:hAnsi="Times New Roman" w:cs="Times New Roman"/>
              </w:rPr>
            </w:pPr>
            <w:r>
              <w:rPr>
                <w:rFonts w:hint="default" w:ascii="Times New Roman" w:hAnsi="Times New Roman" w:eastAsia="宋体" w:cs="Times New Roman"/>
                <w:color w:val="000000"/>
                <w:kern w:val="0"/>
                <w:sz w:val="24"/>
                <w:szCs w:val="24"/>
                <w:lang w:val="en-US" w:eastAsia="zh-CN" w:bidi="ar"/>
              </w:rPr>
              <w:t>本项目在水泥筒仓、机制砂筒仓仓顶呼吸孔安装有一体化仓顶收尘装置（脉冲袋式除尘器），上部桶体与大气相连通，在向罐内风送物料时，由于罐内气压大于罐外气压，滤芯内外产生气压差、由脉冲仪及电磁阀的作用对滤芯进行间歇喷吹，以不断清除滤芯表面附着的粉尘。粉尘在除尘器内沿负压气道向前，一部分尘粒因重力作用沉降于水泥罐内；另一部分通过滤袋时，粉尘就被阻留在滤袋内，净化后粉尘经引风机向外排放。该除尘器具有较高的除尘能力据同类生产企业设备的产品资料，该除尘器的除尘效率可以达到 99.</w:t>
            </w:r>
            <w:r>
              <w:rPr>
                <w:rFonts w:hint="default" w:ascii="Times New Roman" w:hAnsi="Times New Roman" w:cs="Times New Roman"/>
                <w:color w:val="000000"/>
                <w:kern w:val="0"/>
                <w:sz w:val="24"/>
                <w:szCs w:val="24"/>
                <w:lang w:val="en-US" w:eastAsia="zh-CN" w:bidi="ar"/>
              </w:rPr>
              <w:t>5</w:t>
            </w:r>
            <w:r>
              <w:rPr>
                <w:rFonts w:hint="default" w:ascii="Times New Roman" w:hAnsi="Times New Roman" w:eastAsia="宋体" w:cs="Times New Roman"/>
                <w:color w:val="000000"/>
                <w:kern w:val="0"/>
                <w:sz w:val="24"/>
                <w:szCs w:val="24"/>
                <w:lang w:val="en-US" w:eastAsia="zh-CN" w:bidi="ar"/>
              </w:rPr>
              <w:t xml:space="preserve">%以上，废气经筒仓顶部设备的排气口排出。 </w:t>
            </w:r>
          </w:p>
          <w:p>
            <w:pPr>
              <w:keepNext w:val="0"/>
              <w:keepLines w:val="0"/>
              <w:widowControl/>
              <w:suppressLineNumbers w:val="0"/>
              <w:jc w:val="left"/>
              <w:rPr>
                <w:rFonts w:hint="default" w:ascii="Times New Roman" w:hAnsi="Times New Roman" w:cs="Times New Roman"/>
              </w:rPr>
            </w:pPr>
            <w:r>
              <w:rPr>
                <w:rFonts w:hint="default" w:ascii="Times New Roman" w:hAnsi="Times New Roman" w:eastAsia="宋体" w:cs="Times New Roman"/>
                <w:color w:val="000000"/>
                <w:kern w:val="0"/>
                <w:sz w:val="24"/>
                <w:szCs w:val="24"/>
                <w:lang w:val="en-US" w:eastAsia="zh-CN" w:bidi="ar"/>
              </w:rPr>
              <w:t xml:space="preserve">根据《排放源统计调查产排污核算方法和系数手册》（2021年6月）中3021、 </w:t>
            </w:r>
          </w:p>
          <w:p>
            <w:pPr>
              <w:keepNext w:val="0"/>
              <w:keepLines w:val="0"/>
              <w:widowControl/>
              <w:suppressLineNumbers w:val="0"/>
              <w:ind w:left="0" w:leftChars="0" w:firstLine="0" w:firstLineChars="0"/>
              <w:jc w:val="left"/>
              <w:rPr>
                <w:rFonts w:hint="default" w:ascii="Times New Roman" w:hAnsi="Times New Roman" w:cs="Times New Roman"/>
              </w:rPr>
            </w:pPr>
            <w:r>
              <w:rPr>
                <w:rFonts w:hint="default" w:ascii="Times New Roman" w:hAnsi="Times New Roman" w:eastAsia="宋体" w:cs="Times New Roman"/>
                <w:color w:val="000000"/>
                <w:kern w:val="0"/>
                <w:sz w:val="24"/>
                <w:szCs w:val="24"/>
                <w:lang w:val="en-US" w:eastAsia="zh-CN" w:bidi="ar"/>
              </w:rPr>
              <w:t>3022、3029 水泥制品制造行业系数手册，物料输送储存过程中颗粒物产污系数0.12kg/t 产品。本项目水泥、砂料原料用量共计128万t/a，则筒仓呼吸口粉尘产生量153.6t/a，采用脉冲除尘器处理，除尘效率达 99.</w:t>
            </w:r>
            <w:r>
              <w:rPr>
                <w:rFonts w:hint="default" w:ascii="Times New Roman" w:hAnsi="Times New Roman" w:cs="Times New Roman"/>
                <w:color w:val="000000"/>
                <w:kern w:val="0"/>
                <w:sz w:val="24"/>
                <w:szCs w:val="24"/>
                <w:lang w:val="en-US" w:eastAsia="zh-CN" w:bidi="ar"/>
              </w:rPr>
              <w:t>5</w:t>
            </w:r>
            <w:r>
              <w:rPr>
                <w:rFonts w:hint="default" w:ascii="Times New Roman" w:hAnsi="Times New Roman" w:eastAsia="宋体" w:cs="Times New Roman"/>
                <w:color w:val="000000"/>
                <w:kern w:val="0"/>
                <w:sz w:val="24"/>
                <w:szCs w:val="24"/>
                <w:lang w:val="en-US" w:eastAsia="zh-CN" w:bidi="ar"/>
              </w:rPr>
              <w:t>%，则筒仓呼吸口粉尘排放量约0.</w:t>
            </w:r>
            <w:r>
              <w:rPr>
                <w:rFonts w:hint="default" w:ascii="Times New Roman" w:hAnsi="Times New Roman" w:cs="Times New Roman"/>
                <w:color w:val="000000"/>
                <w:kern w:val="0"/>
                <w:sz w:val="24"/>
                <w:szCs w:val="24"/>
                <w:lang w:val="en-US" w:eastAsia="zh-CN" w:bidi="ar"/>
              </w:rPr>
              <w:t>64</w:t>
            </w:r>
            <w:r>
              <w:rPr>
                <w:rFonts w:hint="default" w:ascii="Times New Roman" w:hAnsi="Times New Roman" w:eastAsia="宋体" w:cs="Times New Roman"/>
                <w:color w:val="000000"/>
                <w:kern w:val="0"/>
                <w:sz w:val="24"/>
                <w:szCs w:val="24"/>
                <w:lang w:val="en-US" w:eastAsia="zh-CN" w:bidi="ar"/>
              </w:rPr>
              <w:t xml:space="preserve">t/a。 </w:t>
            </w:r>
          </w:p>
          <w:p>
            <w:pPr>
              <w:numPr>
                <w:ilvl w:val="0"/>
                <w:numId w:val="7"/>
              </w:numPr>
              <w:bidi w:val="0"/>
              <w:ind w:left="0" w:leftChars="0" w:firstLine="480" w:firstLineChars="20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喷码废气</w:t>
            </w:r>
          </w:p>
          <w:p>
            <w:pPr>
              <w:bidi w:val="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lang w:val="en-US" w:eastAsia="zh-CN"/>
              </w:rPr>
              <w:t>本项目外包装喷码采用水性油墨，</w:t>
            </w:r>
            <w:r>
              <w:rPr>
                <w:rFonts w:hint="default" w:ascii="Times New Roman" w:hAnsi="Times New Roman" w:cs="Times New Roman"/>
                <w:color w:val="000000" w:themeColor="text1"/>
                <w:lang w:val="en-US" w:eastAsia="zh-CN"/>
                <w14:textFill>
                  <w14:solidFill>
                    <w14:schemeClr w14:val="tx1"/>
                  </w14:solidFill>
                </w14:textFill>
              </w:rPr>
              <w:t>根据水性油墨MSDS文件，本项目使用水性油墨主要成分35%~45%聚乙烯乙酸酯、10%颜料、1%~3%三乙醇胺、45%水，属于低（无）VOCs原辅材料。</w:t>
            </w:r>
          </w:p>
          <w:p>
            <w:pPr>
              <w:pStyle w:val="2"/>
              <w:numPr>
                <w:ilvl w:val="0"/>
                <w:numId w:val="0"/>
              </w:numPr>
              <w:ind w:firstLine="480" w:firstLineChars="20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本项目油墨使用量为50kg/a，按挥发分10%计算，则有机废气产生量为5kg/a，喷码机工作时间按300h计算，则有机废气产生速率为0.02kg/h。</w:t>
            </w:r>
          </w:p>
          <w:p>
            <w:pPr>
              <w:pStyle w:val="2"/>
              <w:numPr>
                <w:ilvl w:val="0"/>
                <w:numId w:val="0"/>
              </w:numPr>
              <w:ind w:firstLine="480" w:firstLineChars="20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根据生态环境部发布的《重点行业挥发性有机物综合治理方案》（环大气[2019]53号）规定：“企业采用符合国家有关低VOCs含量产品规定的涂料、油墨、胶粘剂等，排放浓度稳定达标且排放速率、排放绩效等满足相关规定的，相应生产工序可不要求建设末端治理设施。使用的原辅材料VOCs含量（质量比）低于10%的工序，可不要求采取无组织排放收集措施”。</w:t>
            </w:r>
          </w:p>
          <w:p>
            <w:pPr>
              <w:pStyle w:val="2"/>
              <w:numPr>
                <w:ilvl w:val="0"/>
                <w:numId w:val="0"/>
              </w:numPr>
              <w:ind w:firstLine="480" w:firstLineChars="20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本项目采用油墨为水性油墨，VOCs含量低于10%，因此不要求采取收集措施，喷码废气无组织排放。</w:t>
            </w:r>
          </w:p>
          <w:p>
            <w:pPr>
              <w:pStyle w:val="2"/>
              <w:numPr>
                <w:ilvl w:val="0"/>
                <w:numId w:val="0"/>
              </w:numPr>
              <w:ind w:firstLine="480" w:firstLineChars="200"/>
              <w:rPr>
                <w:rFonts w:hint="default" w:ascii="Times New Roman" w:hAnsi="Times New Roman" w:cs="Times New Roman"/>
                <w:color w:val="000000"/>
                <w:sz w:val="24"/>
              </w:rPr>
            </w:pPr>
            <w:r>
              <w:rPr>
                <w:rFonts w:hint="default" w:ascii="Times New Roman" w:hAnsi="Times New Roman" w:cs="Times New Roman"/>
                <w:color w:val="000000" w:themeColor="text1"/>
                <w:lang w:val="en-US" w:eastAsia="zh-CN"/>
                <w14:textFill>
                  <w14:solidFill>
                    <w14:schemeClr w14:val="tx1"/>
                  </w14:solidFill>
                </w14:textFill>
              </w:rPr>
              <w:t>（5）</w:t>
            </w:r>
            <w:r>
              <w:rPr>
                <w:rFonts w:hint="default" w:ascii="Times New Roman" w:hAnsi="Times New Roman" w:cs="Times New Roman"/>
                <w:color w:val="000000"/>
                <w:sz w:val="24"/>
              </w:rPr>
              <w:t>车辆扬尘</w:t>
            </w:r>
          </w:p>
          <w:p>
            <w:pPr>
              <w:pStyle w:val="2"/>
              <w:numPr>
                <w:ilvl w:val="0"/>
                <w:numId w:val="0"/>
              </w:numPr>
              <w:ind w:firstLine="480" w:firstLineChars="20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sz w:val="24"/>
              </w:rPr>
              <w:t>项目原料、产品运输车辆进出产生粉尘，为减少车辆运输过程粉尘产生量，企业规范场内运输通道及运输车辆的管理，及时清扫路面，车辆进出场地出入口设</w:t>
            </w:r>
            <w:r>
              <w:rPr>
                <w:rFonts w:hint="default" w:ascii="Times New Roman" w:hAnsi="Times New Roman" w:cs="Times New Roman"/>
                <w:sz w:val="24"/>
                <w:lang w:val="en-US" w:eastAsia="zh-CN"/>
              </w:rPr>
              <w:t>车辆</w:t>
            </w:r>
            <w:r>
              <w:rPr>
                <w:rFonts w:hint="default" w:ascii="Times New Roman" w:hAnsi="Times New Roman" w:cs="Times New Roman"/>
                <w:sz w:val="24"/>
              </w:rPr>
              <w:t>轮胎冲洗设施，保证干净轮胎进出厂区，并定期对运输通道洒水抑尘，运输物料时进行覆盖防止撒落。采取上述措施后，车辆运输产生的粉尘量很小，基本不会对周围环境产生影响</w:t>
            </w:r>
            <w:r>
              <w:rPr>
                <w:rFonts w:hint="default" w:ascii="Times New Roman" w:hAnsi="Times New Roman" w:cs="Times New Roman"/>
                <w:color w:val="000000" w:themeColor="text1"/>
                <w:lang w:val="en-US" w:eastAsia="zh-CN"/>
                <w14:textFill>
                  <w14:solidFill>
                    <w14:schemeClr w14:val="tx1"/>
                  </w14:solidFill>
                </w14:textFill>
              </w:rPr>
              <w:t>。</w:t>
            </w:r>
          </w:p>
          <w:p>
            <w:pPr>
              <w:numPr>
                <w:ilvl w:val="0"/>
                <w:numId w:val="0"/>
              </w:numPr>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4.6.2项目废气排放汇总</w:t>
            </w:r>
          </w:p>
          <w:p>
            <w:pPr>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1、有组织废气排放情况及达标分析</w:t>
            </w:r>
          </w:p>
          <w:p>
            <w:pPr>
              <w:pStyle w:val="2"/>
              <w:rPr>
                <w:rFonts w:hint="default" w:ascii="Times New Roman" w:hAnsi="Times New Roman" w:cs="Times New Roman"/>
                <w:lang w:val="en-US" w:eastAsia="zh-CN"/>
              </w:rPr>
            </w:pPr>
            <w:r>
              <w:rPr>
                <w:rFonts w:hint="default" w:ascii="Times New Roman" w:hAnsi="Times New Roman" w:cs="Times New Roman"/>
                <w:lang w:val="en-US" w:eastAsia="zh-CN"/>
              </w:rPr>
              <w:t>根据表4-9可知，本项目有组织废气产生及排放情况见表4-11。</w:t>
            </w:r>
          </w:p>
          <w:p>
            <w:pPr>
              <w:pStyle w:val="2"/>
              <w:numPr>
                <w:ilvl w:val="0"/>
                <w:numId w:val="0"/>
              </w:numPr>
              <w:ind w:leftChars="400"/>
              <w:jc w:val="center"/>
              <w:rPr>
                <w:rFonts w:hint="default" w:ascii="Times New Roman" w:hAnsi="Times New Roman" w:cs="Times New Roman"/>
                <w:lang w:val="en-US" w:eastAsia="zh-CN"/>
              </w:rPr>
            </w:pPr>
            <w:r>
              <w:rPr>
                <w:rFonts w:hint="default" w:ascii="Times New Roman" w:hAnsi="Times New Roman" w:cs="Times New Roman"/>
                <w:lang w:val="en-US" w:eastAsia="zh-CN"/>
              </w:rPr>
              <w:t>表4-11 有组织废气排污汇总及达标分析</w:t>
            </w:r>
          </w:p>
          <w:tbl>
            <w:tblPr>
              <w:tblStyle w:val="21"/>
              <w:tblW w:w="4997"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768"/>
              <w:gridCol w:w="780"/>
              <w:gridCol w:w="701"/>
              <w:gridCol w:w="828"/>
              <w:gridCol w:w="593"/>
              <w:gridCol w:w="634"/>
              <w:gridCol w:w="701"/>
              <w:gridCol w:w="827"/>
              <w:gridCol w:w="973"/>
              <w:gridCol w:w="1135"/>
              <w:gridCol w:w="6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trPr>
              <w:tc>
                <w:tcPr>
                  <w:tcW w:w="446" w:type="pct"/>
                  <w:vMerge w:val="restar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污染源</w:t>
                  </w:r>
                </w:p>
              </w:tc>
              <w:tc>
                <w:tcPr>
                  <w:tcW w:w="453" w:type="pct"/>
                  <w:vMerge w:val="restar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污染物</w:t>
                  </w:r>
                </w:p>
              </w:tc>
              <w:tc>
                <w:tcPr>
                  <w:tcW w:w="888" w:type="pct"/>
                  <w:gridSpan w:val="2"/>
                  <w:shd w:val="clear" w:color="auto" w:fill="auto"/>
                  <w:vAlign w:val="center"/>
                </w:tcPr>
                <w:p>
                  <w:pPr>
                    <w:pStyle w:val="33"/>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产生量</w:t>
                  </w:r>
                </w:p>
              </w:tc>
              <w:tc>
                <w:tcPr>
                  <w:tcW w:w="344" w:type="pct"/>
                  <w:vMerge w:val="restar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收集措施及效率</w:t>
                  </w:r>
                </w:p>
              </w:tc>
              <w:tc>
                <w:tcPr>
                  <w:tcW w:w="368" w:type="pct"/>
                  <w:vMerge w:val="restar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处理措施及处理效率</w:t>
                  </w:r>
                </w:p>
              </w:tc>
              <w:tc>
                <w:tcPr>
                  <w:tcW w:w="1452" w:type="pct"/>
                  <w:gridSpan w:val="3"/>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排放量</w:t>
                  </w:r>
                </w:p>
              </w:tc>
              <w:tc>
                <w:tcPr>
                  <w:tcW w:w="1044" w:type="pct"/>
                  <w:gridSpan w:val="2"/>
                  <w:shd w:val="clear" w:color="auto" w:fill="auto"/>
                  <w:noWrap/>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89" w:hRule="atLeast"/>
              </w:trPr>
              <w:tc>
                <w:tcPr>
                  <w:tcW w:w="446" w:type="pct"/>
                  <w:vMerge w:val="continue"/>
                  <w:shd w:val="clear" w:color="auto" w:fill="auto"/>
                  <w:vAlign w:val="center"/>
                </w:tcPr>
                <w:p>
                  <w:pPr>
                    <w:pStyle w:val="33"/>
                    <w:jc w:val="center"/>
                    <w:rPr>
                      <w:rFonts w:hint="default" w:ascii="Times New Roman" w:hAnsi="Times New Roman" w:cs="Times New Roman"/>
                      <w:sz w:val="18"/>
                      <w:szCs w:val="18"/>
                    </w:rPr>
                  </w:pPr>
                </w:p>
              </w:tc>
              <w:tc>
                <w:tcPr>
                  <w:tcW w:w="453" w:type="pct"/>
                  <w:vMerge w:val="continue"/>
                  <w:shd w:val="clear" w:color="auto" w:fill="auto"/>
                  <w:vAlign w:val="center"/>
                </w:tcPr>
                <w:p>
                  <w:pPr>
                    <w:pStyle w:val="33"/>
                    <w:jc w:val="center"/>
                    <w:rPr>
                      <w:rFonts w:hint="default" w:ascii="Times New Roman" w:hAnsi="Times New Roman" w:cs="Times New Roman"/>
                      <w:sz w:val="18"/>
                      <w:szCs w:val="18"/>
                    </w:rPr>
                  </w:pPr>
                </w:p>
              </w:tc>
              <w:tc>
                <w:tcPr>
                  <w:tcW w:w="407"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产生量（t/a）</w:t>
                  </w:r>
                </w:p>
              </w:tc>
              <w:tc>
                <w:tcPr>
                  <w:tcW w:w="481"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产生速率（kg/h）</w:t>
                  </w:r>
                </w:p>
              </w:tc>
              <w:tc>
                <w:tcPr>
                  <w:tcW w:w="344" w:type="pct"/>
                  <w:vMerge w:val="continue"/>
                  <w:shd w:val="clear" w:color="auto" w:fill="auto"/>
                  <w:vAlign w:val="center"/>
                </w:tcPr>
                <w:p>
                  <w:pPr>
                    <w:pStyle w:val="33"/>
                    <w:jc w:val="center"/>
                    <w:rPr>
                      <w:rFonts w:hint="default" w:ascii="Times New Roman" w:hAnsi="Times New Roman" w:cs="Times New Roman"/>
                      <w:sz w:val="18"/>
                      <w:szCs w:val="18"/>
                    </w:rPr>
                  </w:pPr>
                </w:p>
              </w:tc>
              <w:tc>
                <w:tcPr>
                  <w:tcW w:w="368" w:type="pct"/>
                  <w:vMerge w:val="continue"/>
                  <w:shd w:val="clear" w:color="auto" w:fill="auto"/>
                  <w:vAlign w:val="center"/>
                </w:tcPr>
                <w:p>
                  <w:pPr>
                    <w:pStyle w:val="33"/>
                    <w:jc w:val="center"/>
                    <w:rPr>
                      <w:rFonts w:hint="default" w:ascii="Times New Roman" w:hAnsi="Times New Roman" w:cs="Times New Roman"/>
                      <w:sz w:val="18"/>
                      <w:szCs w:val="18"/>
                    </w:rPr>
                  </w:pPr>
                </w:p>
              </w:tc>
              <w:tc>
                <w:tcPr>
                  <w:tcW w:w="407"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排放量（t/a）</w:t>
                  </w:r>
                </w:p>
              </w:tc>
              <w:tc>
                <w:tcPr>
                  <w:tcW w:w="480"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速率（kg/h）</w:t>
                  </w:r>
                </w:p>
              </w:tc>
              <w:tc>
                <w:tcPr>
                  <w:tcW w:w="565"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排放浓度（mg/m</w:t>
                  </w:r>
                  <w:r>
                    <w:rPr>
                      <w:rFonts w:hint="default" w:ascii="Times New Roman" w:hAnsi="Times New Roman" w:cs="Times New Roman"/>
                      <w:sz w:val="18"/>
                      <w:szCs w:val="18"/>
                      <w:vertAlign w:val="superscript"/>
                      <w:lang w:val="en-US" w:eastAsia="zh-CN"/>
                    </w:rPr>
                    <w:t>3</w:t>
                  </w:r>
                  <w:r>
                    <w:rPr>
                      <w:rFonts w:hint="default" w:ascii="Times New Roman" w:hAnsi="Times New Roman" w:cs="Times New Roman"/>
                      <w:sz w:val="18"/>
                      <w:szCs w:val="18"/>
                      <w:lang w:val="en-US" w:eastAsia="zh-CN"/>
                    </w:rPr>
                    <w:t>）</w:t>
                  </w:r>
                </w:p>
              </w:tc>
              <w:tc>
                <w:tcPr>
                  <w:tcW w:w="659"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排放浓度（mg/m</w:t>
                  </w:r>
                  <w:r>
                    <w:rPr>
                      <w:rFonts w:hint="default" w:ascii="Times New Roman" w:hAnsi="Times New Roman" w:cs="Times New Roman"/>
                      <w:sz w:val="18"/>
                      <w:szCs w:val="18"/>
                      <w:vertAlign w:val="superscript"/>
                      <w:lang w:val="en-US" w:eastAsia="zh-CN"/>
                    </w:rPr>
                    <w:t>3</w:t>
                  </w:r>
                  <w:r>
                    <w:rPr>
                      <w:rFonts w:hint="default" w:ascii="Times New Roman" w:hAnsi="Times New Roman" w:cs="Times New Roman"/>
                      <w:sz w:val="18"/>
                      <w:szCs w:val="18"/>
                      <w:lang w:val="en-US" w:eastAsia="zh-CN"/>
                    </w:rPr>
                    <w:t>）</w:t>
                  </w:r>
                </w:p>
              </w:tc>
              <w:tc>
                <w:tcPr>
                  <w:tcW w:w="385"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82" w:hRule="atLeast"/>
              </w:trPr>
              <w:tc>
                <w:tcPr>
                  <w:tcW w:w="446" w:type="pct"/>
                  <w:vMerge w:val="restart"/>
                  <w:shd w:val="clear" w:color="auto" w:fill="auto"/>
                  <w:noWrap/>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DA001</w:t>
                  </w:r>
                </w:p>
              </w:tc>
              <w:tc>
                <w:tcPr>
                  <w:tcW w:w="453"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颗粒物</w:t>
                  </w:r>
                </w:p>
              </w:tc>
              <w:tc>
                <w:tcPr>
                  <w:tcW w:w="407" w:type="pct"/>
                  <w:shd w:val="clear" w:color="auto" w:fill="auto"/>
                  <w:vAlign w:val="center"/>
                </w:tcPr>
                <w:p>
                  <w:pPr>
                    <w:pStyle w:val="33"/>
                    <w:jc w:val="center"/>
                    <w:rPr>
                      <w:rFonts w:hint="default" w:ascii="Times New Roman" w:hAnsi="Times New Roman" w:cs="Times New Roman"/>
                      <w:sz w:val="18"/>
                      <w:szCs w:val="18"/>
                      <w:lang w:val="en-US"/>
                    </w:rPr>
                  </w:pPr>
                  <w:r>
                    <w:rPr>
                      <w:rFonts w:hint="default" w:ascii="Times New Roman" w:hAnsi="Times New Roman" w:cs="Times New Roman"/>
                      <w:sz w:val="18"/>
                      <w:szCs w:val="18"/>
                      <w:lang w:val="en-US" w:eastAsia="zh-CN"/>
                    </w:rPr>
                    <w:t>31.09</w:t>
                  </w:r>
                </w:p>
              </w:tc>
              <w:tc>
                <w:tcPr>
                  <w:tcW w:w="4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18"/>
                      <w:szCs w:val="18"/>
                      <w:u w:val="none"/>
                      <w:lang w:val="en-US" w:eastAsia="zh-CN" w:bidi="ar-SA"/>
                    </w:rPr>
                  </w:pPr>
                  <w:r>
                    <w:rPr>
                      <w:rFonts w:hint="default" w:ascii="Times New Roman" w:hAnsi="Times New Roman" w:cs="Times New Roman"/>
                      <w:i w:val="0"/>
                      <w:iCs w:val="0"/>
                      <w:color w:val="FF0000"/>
                      <w:kern w:val="0"/>
                      <w:sz w:val="18"/>
                      <w:szCs w:val="18"/>
                      <w:u w:val="none"/>
                      <w:lang w:val="en-US" w:eastAsia="zh-CN" w:bidi="ar"/>
                    </w:rPr>
                    <w:t>6.22</w:t>
                  </w:r>
                  <w:r>
                    <w:rPr>
                      <w:rFonts w:hint="default" w:ascii="Times New Roman" w:hAnsi="Times New Roman" w:eastAsia="宋体" w:cs="Times New Roman"/>
                      <w:i w:val="0"/>
                      <w:iCs w:val="0"/>
                      <w:color w:val="FF0000"/>
                      <w:kern w:val="0"/>
                      <w:sz w:val="18"/>
                      <w:szCs w:val="18"/>
                      <w:u w:val="none"/>
                      <w:lang w:val="en-US" w:eastAsia="zh-CN" w:bidi="ar"/>
                    </w:rPr>
                    <w:t xml:space="preserve"> </w:t>
                  </w:r>
                </w:p>
              </w:tc>
              <w:tc>
                <w:tcPr>
                  <w:tcW w:w="344" w:type="pct"/>
                  <w:vMerge w:val="restart"/>
                  <w:shd w:val="clear" w:color="auto" w:fill="auto"/>
                  <w:vAlign w:val="center"/>
                </w:tcPr>
                <w:p>
                  <w:pPr>
                    <w:pStyle w:val="33"/>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eastAsia="zh-CN"/>
                    </w:rPr>
                    <w:t>全密闭，收集效率</w:t>
                  </w:r>
                  <w:r>
                    <w:rPr>
                      <w:rFonts w:hint="default" w:ascii="Times New Roman" w:hAnsi="Times New Roman" w:cs="Times New Roman"/>
                      <w:sz w:val="18"/>
                      <w:szCs w:val="18"/>
                      <w:lang w:val="en-US" w:eastAsia="zh-CN"/>
                    </w:rPr>
                    <w:t>100%</w:t>
                  </w:r>
                </w:p>
              </w:tc>
              <w:tc>
                <w:tcPr>
                  <w:tcW w:w="368" w:type="pct"/>
                  <w:vMerge w:val="restar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eastAsia="宋体" w:cs="Times New Roman"/>
                      <w:i w:val="0"/>
                      <w:iCs w:val="0"/>
                      <w:color w:val="000000"/>
                      <w:kern w:val="0"/>
                      <w:sz w:val="18"/>
                      <w:szCs w:val="18"/>
                      <w:u w:val="none"/>
                      <w:lang w:val="en-US" w:eastAsia="zh-CN" w:bidi="ar"/>
                    </w:rPr>
                    <w:t>脉冲布袋除尘器</w:t>
                  </w:r>
                  <w:r>
                    <w:rPr>
                      <w:rFonts w:hint="default" w:ascii="Times New Roman" w:hAnsi="Times New Roman" w:cs="Times New Roman"/>
                      <w:i w:val="0"/>
                      <w:iCs w:val="0"/>
                      <w:color w:val="000000"/>
                      <w:kern w:val="0"/>
                      <w:sz w:val="18"/>
                      <w:szCs w:val="18"/>
                      <w:u w:val="none"/>
                      <w:lang w:val="en-US" w:eastAsia="zh-CN" w:bidi="ar"/>
                    </w:rPr>
                    <w:t>，</w:t>
                  </w:r>
                  <w:r>
                    <w:rPr>
                      <w:rFonts w:hint="default" w:ascii="Times New Roman" w:hAnsi="Times New Roman" w:cs="Times New Roman"/>
                      <w:sz w:val="18"/>
                      <w:szCs w:val="18"/>
                      <w:lang w:val="en-US" w:eastAsia="zh-CN"/>
                    </w:rPr>
                    <w:t>处理效率99.5%</w:t>
                  </w:r>
                </w:p>
              </w:tc>
              <w:tc>
                <w:tcPr>
                  <w:tcW w:w="40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18"/>
                      <w:szCs w:val="18"/>
                      <w:u w:val="none"/>
                      <w:lang w:val="en-US" w:eastAsia="zh-CN" w:bidi="ar-SA"/>
                    </w:rPr>
                  </w:pPr>
                  <w:r>
                    <w:rPr>
                      <w:rFonts w:hint="default" w:ascii="Times New Roman" w:hAnsi="Times New Roman" w:cs="Times New Roman"/>
                      <w:i w:val="0"/>
                      <w:iCs w:val="0"/>
                      <w:color w:val="FF0000"/>
                      <w:kern w:val="0"/>
                      <w:sz w:val="18"/>
                      <w:szCs w:val="18"/>
                      <w:u w:val="none"/>
                      <w:lang w:val="en-US" w:eastAsia="zh-CN" w:bidi="ar"/>
                    </w:rPr>
                    <w:t>0.16</w:t>
                  </w:r>
                </w:p>
              </w:tc>
              <w:tc>
                <w:tcPr>
                  <w:tcW w:w="48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18"/>
                      <w:szCs w:val="18"/>
                      <w:u w:val="none"/>
                      <w:lang w:val="en-US" w:eastAsia="zh-CN" w:bidi="ar-SA"/>
                    </w:rPr>
                  </w:pPr>
                  <w:r>
                    <w:rPr>
                      <w:rFonts w:hint="default" w:ascii="Times New Roman" w:hAnsi="Times New Roman" w:eastAsia="宋体" w:cs="Times New Roman"/>
                      <w:i w:val="0"/>
                      <w:iCs w:val="0"/>
                      <w:color w:val="FF0000"/>
                      <w:kern w:val="0"/>
                      <w:sz w:val="18"/>
                      <w:szCs w:val="18"/>
                      <w:u w:val="none"/>
                      <w:lang w:val="en-US" w:eastAsia="zh-CN" w:bidi="ar"/>
                    </w:rPr>
                    <w:t>0.0</w:t>
                  </w:r>
                  <w:r>
                    <w:rPr>
                      <w:rFonts w:hint="default" w:ascii="Times New Roman" w:hAnsi="Times New Roman" w:cs="Times New Roman"/>
                      <w:i w:val="0"/>
                      <w:iCs w:val="0"/>
                      <w:color w:val="FF0000"/>
                      <w:kern w:val="0"/>
                      <w:sz w:val="18"/>
                      <w:szCs w:val="18"/>
                      <w:u w:val="none"/>
                      <w:lang w:val="en-US" w:eastAsia="zh-CN" w:bidi="ar"/>
                    </w:rPr>
                    <w:t>3</w:t>
                  </w:r>
                  <w:r>
                    <w:rPr>
                      <w:rFonts w:hint="default" w:ascii="Times New Roman" w:hAnsi="Times New Roman" w:eastAsia="宋体" w:cs="Times New Roman"/>
                      <w:i w:val="0"/>
                      <w:iCs w:val="0"/>
                      <w:color w:val="FF0000"/>
                      <w:kern w:val="0"/>
                      <w:sz w:val="18"/>
                      <w:szCs w:val="18"/>
                      <w:u w:val="none"/>
                      <w:lang w:val="en-US" w:eastAsia="zh-CN" w:bidi="ar"/>
                    </w:rPr>
                    <w:t xml:space="preserve"> </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18"/>
                      <w:szCs w:val="18"/>
                      <w:u w:val="none"/>
                      <w:lang w:val="en-US" w:eastAsia="zh-CN" w:bidi="ar-SA"/>
                    </w:rPr>
                  </w:pPr>
                  <w:r>
                    <w:rPr>
                      <w:rFonts w:hint="default" w:ascii="Times New Roman" w:hAnsi="Times New Roman" w:cs="Times New Roman"/>
                      <w:i w:val="0"/>
                      <w:iCs w:val="0"/>
                      <w:color w:val="FF0000"/>
                      <w:kern w:val="0"/>
                      <w:sz w:val="18"/>
                      <w:szCs w:val="18"/>
                      <w:u w:val="none"/>
                      <w:lang w:val="en-US" w:eastAsia="zh-CN" w:bidi="ar"/>
                    </w:rPr>
                    <w:t>0.32</w:t>
                  </w:r>
                </w:p>
              </w:tc>
              <w:tc>
                <w:tcPr>
                  <w:tcW w:w="659" w:type="pct"/>
                  <w:shd w:val="clear" w:color="auto" w:fill="auto"/>
                  <w:noWrap/>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30</w:t>
                  </w:r>
                </w:p>
              </w:tc>
              <w:tc>
                <w:tcPr>
                  <w:tcW w:w="385" w:type="pct"/>
                  <w:shd w:val="clear" w:color="auto" w:fill="auto"/>
                  <w:noWrap/>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82" w:hRule="atLeast"/>
              </w:trPr>
              <w:tc>
                <w:tcPr>
                  <w:tcW w:w="446" w:type="pct"/>
                  <w:vMerge w:val="continue"/>
                  <w:shd w:val="clear" w:color="auto" w:fill="auto"/>
                  <w:noWrap/>
                  <w:vAlign w:val="center"/>
                </w:tcPr>
                <w:p>
                  <w:pPr>
                    <w:pStyle w:val="33"/>
                    <w:jc w:val="center"/>
                    <w:rPr>
                      <w:rFonts w:hint="default" w:ascii="Times New Roman" w:hAnsi="Times New Roman" w:cs="Times New Roman"/>
                      <w:sz w:val="18"/>
                      <w:szCs w:val="18"/>
                    </w:rPr>
                  </w:pPr>
                </w:p>
              </w:tc>
              <w:tc>
                <w:tcPr>
                  <w:tcW w:w="453"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二氧化硫</w:t>
                  </w:r>
                </w:p>
              </w:tc>
              <w:tc>
                <w:tcPr>
                  <w:tcW w:w="407" w:type="pct"/>
                  <w:shd w:val="clear" w:color="auto" w:fill="auto"/>
                  <w:vAlign w:val="center"/>
                </w:tcPr>
                <w:p>
                  <w:pPr>
                    <w:pStyle w:val="33"/>
                    <w:jc w:val="center"/>
                    <w:rPr>
                      <w:rFonts w:hint="default" w:ascii="Times New Roman" w:hAnsi="Times New Roman" w:cs="Times New Roman"/>
                      <w:sz w:val="18"/>
                      <w:szCs w:val="18"/>
                      <w:lang w:val="en-US"/>
                    </w:rPr>
                  </w:pPr>
                  <w:r>
                    <w:rPr>
                      <w:rFonts w:hint="default" w:ascii="Times New Roman" w:hAnsi="Times New Roman" w:cs="Times New Roman"/>
                      <w:sz w:val="18"/>
                      <w:szCs w:val="18"/>
                      <w:lang w:val="en-US" w:eastAsia="zh-CN"/>
                    </w:rPr>
                    <w:t>0.76</w:t>
                  </w:r>
                </w:p>
              </w:tc>
              <w:tc>
                <w:tcPr>
                  <w:tcW w:w="4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18"/>
                      <w:szCs w:val="18"/>
                      <w:u w:val="none"/>
                      <w:lang w:val="en-US" w:eastAsia="zh-CN" w:bidi="ar-SA"/>
                    </w:rPr>
                  </w:pPr>
                  <w:r>
                    <w:rPr>
                      <w:rFonts w:hint="default" w:ascii="Times New Roman" w:hAnsi="Times New Roman" w:eastAsia="宋体" w:cs="Times New Roman"/>
                      <w:i w:val="0"/>
                      <w:iCs w:val="0"/>
                      <w:color w:val="FF0000"/>
                      <w:kern w:val="0"/>
                      <w:sz w:val="18"/>
                      <w:szCs w:val="18"/>
                      <w:u w:val="none"/>
                      <w:lang w:val="en-US" w:eastAsia="zh-CN" w:bidi="ar"/>
                    </w:rPr>
                    <w:t xml:space="preserve">0.15 </w:t>
                  </w:r>
                </w:p>
              </w:tc>
              <w:tc>
                <w:tcPr>
                  <w:tcW w:w="344" w:type="pct"/>
                  <w:vMerge w:val="continue"/>
                  <w:shd w:val="clear" w:color="auto" w:fill="auto"/>
                  <w:vAlign w:val="center"/>
                </w:tcPr>
                <w:p>
                  <w:pPr>
                    <w:pStyle w:val="33"/>
                    <w:jc w:val="center"/>
                    <w:rPr>
                      <w:rFonts w:hint="default" w:ascii="Times New Roman" w:hAnsi="Times New Roman" w:cs="Times New Roman"/>
                      <w:sz w:val="18"/>
                      <w:szCs w:val="18"/>
                    </w:rPr>
                  </w:pPr>
                </w:p>
              </w:tc>
              <w:tc>
                <w:tcPr>
                  <w:tcW w:w="368" w:type="pct"/>
                  <w:vMerge w:val="continue"/>
                  <w:shd w:val="clear" w:color="auto" w:fill="auto"/>
                  <w:vAlign w:val="center"/>
                </w:tcPr>
                <w:p>
                  <w:pPr>
                    <w:pStyle w:val="33"/>
                    <w:jc w:val="center"/>
                    <w:rPr>
                      <w:rFonts w:hint="default" w:ascii="Times New Roman" w:hAnsi="Times New Roman" w:cs="Times New Roman"/>
                      <w:sz w:val="18"/>
                      <w:szCs w:val="18"/>
                    </w:rPr>
                  </w:pPr>
                </w:p>
              </w:tc>
              <w:tc>
                <w:tcPr>
                  <w:tcW w:w="40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18"/>
                      <w:szCs w:val="18"/>
                      <w:u w:val="none"/>
                      <w:lang w:val="en-US" w:eastAsia="zh-CN" w:bidi="ar-SA"/>
                    </w:rPr>
                  </w:pPr>
                  <w:r>
                    <w:rPr>
                      <w:rFonts w:hint="default" w:ascii="Times New Roman" w:hAnsi="Times New Roman" w:eastAsia="宋体" w:cs="Times New Roman"/>
                      <w:i w:val="0"/>
                      <w:iCs w:val="0"/>
                      <w:color w:val="FF0000"/>
                      <w:kern w:val="0"/>
                      <w:sz w:val="18"/>
                      <w:szCs w:val="18"/>
                      <w:u w:val="none"/>
                      <w:lang w:val="en-US" w:eastAsia="zh-CN" w:bidi="ar"/>
                    </w:rPr>
                    <w:t xml:space="preserve">0.76 </w:t>
                  </w:r>
                </w:p>
              </w:tc>
              <w:tc>
                <w:tcPr>
                  <w:tcW w:w="48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18"/>
                      <w:szCs w:val="18"/>
                      <w:u w:val="none"/>
                      <w:lang w:val="en-US" w:eastAsia="zh-CN" w:bidi="ar-SA"/>
                    </w:rPr>
                  </w:pPr>
                  <w:r>
                    <w:rPr>
                      <w:rFonts w:hint="default" w:ascii="Times New Roman" w:hAnsi="Times New Roman" w:eastAsia="宋体" w:cs="Times New Roman"/>
                      <w:i w:val="0"/>
                      <w:iCs w:val="0"/>
                      <w:color w:val="FF0000"/>
                      <w:kern w:val="0"/>
                      <w:sz w:val="18"/>
                      <w:szCs w:val="18"/>
                      <w:u w:val="none"/>
                      <w:lang w:val="en-US" w:eastAsia="zh-CN" w:bidi="ar"/>
                    </w:rPr>
                    <w:t xml:space="preserve">0.15 </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18"/>
                      <w:szCs w:val="18"/>
                      <w:u w:val="none"/>
                      <w:lang w:val="en-US" w:eastAsia="zh-CN" w:bidi="ar-SA"/>
                    </w:rPr>
                  </w:pPr>
                  <w:r>
                    <w:rPr>
                      <w:rFonts w:hint="default" w:ascii="Times New Roman" w:hAnsi="Times New Roman" w:eastAsia="宋体" w:cs="Times New Roman"/>
                      <w:i w:val="0"/>
                      <w:iCs w:val="0"/>
                      <w:color w:val="FF0000"/>
                      <w:kern w:val="0"/>
                      <w:sz w:val="18"/>
                      <w:szCs w:val="18"/>
                      <w:u w:val="none"/>
                      <w:lang w:val="en-US" w:eastAsia="zh-CN" w:bidi="ar"/>
                    </w:rPr>
                    <w:t>1.56</w:t>
                  </w:r>
                </w:p>
              </w:tc>
              <w:tc>
                <w:tcPr>
                  <w:tcW w:w="659" w:type="pct"/>
                  <w:shd w:val="clear" w:color="auto" w:fill="auto"/>
                  <w:noWrap/>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200</w:t>
                  </w:r>
                </w:p>
              </w:tc>
              <w:tc>
                <w:tcPr>
                  <w:tcW w:w="385" w:type="pct"/>
                  <w:shd w:val="clear" w:color="auto" w:fill="auto"/>
                  <w:noWrap/>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446" w:type="pct"/>
                  <w:vMerge w:val="continue"/>
                  <w:shd w:val="clear" w:color="auto" w:fill="auto"/>
                  <w:noWrap/>
                  <w:vAlign w:val="center"/>
                </w:tcPr>
                <w:p>
                  <w:pPr>
                    <w:pStyle w:val="33"/>
                    <w:jc w:val="center"/>
                    <w:rPr>
                      <w:rFonts w:hint="default" w:ascii="Times New Roman" w:hAnsi="Times New Roman" w:cs="Times New Roman"/>
                      <w:sz w:val="18"/>
                      <w:szCs w:val="18"/>
                    </w:rPr>
                  </w:pPr>
                </w:p>
              </w:tc>
              <w:tc>
                <w:tcPr>
                  <w:tcW w:w="453" w:type="pct"/>
                  <w:shd w:val="clear" w:color="auto" w:fill="auto"/>
                  <w:vAlign w:val="center"/>
                </w:tcPr>
                <w:p>
                  <w:pPr>
                    <w:pStyle w:val="33"/>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氮氧</w:t>
                  </w:r>
                </w:p>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化物</w:t>
                  </w:r>
                </w:p>
              </w:tc>
              <w:tc>
                <w:tcPr>
                  <w:tcW w:w="407"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7.11</w:t>
                  </w:r>
                </w:p>
              </w:tc>
              <w:tc>
                <w:tcPr>
                  <w:tcW w:w="4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18"/>
                      <w:szCs w:val="18"/>
                      <w:u w:val="none"/>
                      <w:lang w:val="en-US" w:eastAsia="zh-CN" w:bidi="ar-SA"/>
                    </w:rPr>
                  </w:pPr>
                  <w:r>
                    <w:rPr>
                      <w:rFonts w:hint="default" w:ascii="Times New Roman" w:hAnsi="Times New Roman" w:eastAsia="宋体" w:cs="Times New Roman"/>
                      <w:i w:val="0"/>
                      <w:iCs w:val="0"/>
                      <w:color w:val="FF0000"/>
                      <w:kern w:val="0"/>
                      <w:sz w:val="18"/>
                      <w:szCs w:val="18"/>
                      <w:u w:val="none"/>
                      <w:lang w:val="en-US" w:eastAsia="zh-CN" w:bidi="ar"/>
                    </w:rPr>
                    <w:t xml:space="preserve">1.42 </w:t>
                  </w:r>
                </w:p>
              </w:tc>
              <w:tc>
                <w:tcPr>
                  <w:tcW w:w="344" w:type="pct"/>
                  <w:vMerge w:val="continue"/>
                  <w:shd w:val="clear" w:color="auto" w:fill="auto"/>
                  <w:vAlign w:val="center"/>
                </w:tcPr>
                <w:p>
                  <w:pPr>
                    <w:pStyle w:val="33"/>
                    <w:jc w:val="center"/>
                    <w:rPr>
                      <w:rFonts w:hint="default" w:ascii="Times New Roman" w:hAnsi="Times New Roman" w:cs="Times New Roman"/>
                      <w:sz w:val="18"/>
                      <w:szCs w:val="18"/>
                    </w:rPr>
                  </w:pPr>
                </w:p>
              </w:tc>
              <w:tc>
                <w:tcPr>
                  <w:tcW w:w="368" w:type="pct"/>
                  <w:vMerge w:val="continue"/>
                  <w:shd w:val="clear" w:color="auto" w:fill="auto"/>
                  <w:vAlign w:val="center"/>
                </w:tcPr>
                <w:p>
                  <w:pPr>
                    <w:pStyle w:val="33"/>
                    <w:jc w:val="center"/>
                    <w:rPr>
                      <w:rFonts w:hint="default" w:ascii="Times New Roman" w:hAnsi="Times New Roman" w:cs="Times New Roman"/>
                      <w:sz w:val="18"/>
                      <w:szCs w:val="18"/>
                    </w:rPr>
                  </w:pPr>
                </w:p>
              </w:tc>
              <w:tc>
                <w:tcPr>
                  <w:tcW w:w="40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18"/>
                      <w:szCs w:val="18"/>
                      <w:u w:val="none"/>
                      <w:lang w:val="en-US" w:eastAsia="zh-CN" w:bidi="ar-SA"/>
                    </w:rPr>
                  </w:pPr>
                  <w:r>
                    <w:rPr>
                      <w:rFonts w:hint="default" w:ascii="Times New Roman" w:hAnsi="Times New Roman" w:eastAsia="宋体" w:cs="Times New Roman"/>
                      <w:i w:val="0"/>
                      <w:iCs w:val="0"/>
                      <w:color w:val="FF0000"/>
                      <w:kern w:val="0"/>
                      <w:sz w:val="18"/>
                      <w:szCs w:val="18"/>
                      <w:u w:val="none"/>
                      <w:lang w:val="en-US" w:eastAsia="zh-CN" w:bidi="ar"/>
                    </w:rPr>
                    <w:t xml:space="preserve">4.27 </w:t>
                  </w:r>
                </w:p>
              </w:tc>
              <w:tc>
                <w:tcPr>
                  <w:tcW w:w="48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18"/>
                      <w:szCs w:val="18"/>
                      <w:u w:val="none"/>
                      <w:lang w:val="en-US" w:eastAsia="zh-CN" w:bidi="ar-SA"/>
                    </w:rPr>
                  </w:pPr>
                  <w:r>
                    <w:rPr>
                      <w:rFonts w:hint="default" w:ascii="Times New Roman" w:hAnsi="Times New Roman" w:eastAsia="宋体" w:cs="Times New Roman"/>
                      <w:i w:val="0"/>
                      <w:iCs w:val="0"/>
                      <w:color w:val="FF0000"/>
                      <w:kern w:val="0"/>
                      <w:sz w:val="18"/>
                      <w:szCs w:val="18"/>
                      <w:u w:val="none"/>
                      <w:lang w:val="en-US" w:eastAsia="zh-CN" w:bidi="ar"/>
                    </w:rPr>
                    <w:t xml:space="preserve">0.85 </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18"/>
                      <w:szCs w:val="18"/>
                      <w:u w:val="none"/>
                      <w:lang w:val="en-US" w:eastAsia="zh-CN" w:bidi="ar-SA"/>
                    </w:rPr>
                  </w:pPr>
                  <w:r>
                    <w:rPr>
                      <w:rFonts w:hint="default" w:ascii="Times New Roman" w:hAnsi="Times New Roman" w:eastAsia="宋体" w:cs="Times New Roman"/>
                      <w:i w:val="0"/>
                      <w:iCs w:val="0"/>
                      <w:color w:val="FF0000"/>
                      <w:kern w:val="0"/>
                      <w:sz w:val="18"/>
                      <w:szCs w:val="18"/>
                      <w:u w:val="none"/>
                      <w:lang w:val="en-US" w:eastAsia="zh-CN" w:bidi="ar"/>
                    </w:rPr>
                    <w:t xml:space="preserve">8.89 </w:t>
                  </w:r>
                </w:p>
              </w:tc>
              <w:tc>
                <w:tcPr>
                  <w:tcW w:w="659" w:type="pct"/>
                  <w:shd w:val="clear" w:color="auto" w:fill="auto"/>
                  <w:noWrap/>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300</w:t>
                  </w:r>
                </w:p>
              </w:tc>
              <w:tc>
                <w:tcPr>
                  <w:tcW w:w="385" w:type="pct"/>
                  <w:shd w:val="clear" w:color="auto" w:fill="auto"/>
                  <w:noWrap/>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446" w:type="pct"/>
                  <w:shd w:val="clear" w:color="auto" w:fill="auto"/>
                  <w:noWrap/>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DA002</w:t>
                  </w:r>
                </w:p>
              </w:tc>
              <w:tc>
                <w:tcPr>
                  <w:tcW w:w="453"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颗粒物</w:t>
                  </w:r>
                </w:p>
              </w:tc>
              <w:tc>
                <w:tcPr>
                  <w:tcW w:w="40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000000"/>
                      <w:kern w:val="2"/>
                      <w:sz w:val="18"/>
                      <w:szCs w:val="18"/>
                      <w:u w:val="none"/>
                      <w:lang w:val="en-US" w:eastAsia="zh-CN" w:bidi="ar-SA"/>
                    </w:rPr>
                  </w:pPr>
                  <w:r>
                    <w:rPr>
                      <w:rFonts w:hint="default" w:ascii="Times New Roman" w:hAnsi="Times New Roman" w:cs="Times New Roman"/>
                      <w:i w:val="0"/>
                      <w:iCs w:val="0"/>
                      <w:color w:val="000000"/>
                      <w:kern w:val="2"/>
                      <w:sz w:val="18"/>
                      <w:szCs w:val="18"/>
                      <w:u w:val="none"/>
                      <w:lang w:val="en-US" w:eastAsia="zh-CN" w:bidi="ar-SA"/>
                    </w:rPr>
                    <w:t>914.5</w:t>
                  </w:r>
                </w:p>
              </w:tc>
              <w:tc>
                <w:tcPr>
                  <w:tcW w:w="48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000000"/>
                      <w:kern w:val="2"/>
                      <w:sz w:val="18"/>
                      <w:szCs w:val="18"/>
                      <w:u w:val="none"/>
                      <w:lang w:val="en-US" w:eastAsia="zh-CN" w:bidi="ar-SA"/>
                    </w:rPr>
                  </w:pPr>
                  <w:r>
                    <w:rPr>
                      <w:rFonts w:hint="default" w:ascii="Times New Roman" w:hAnsi="Times New Roman" w:cs="Times New Roman"/>
                      <w:i w:val="0"/>
                      <w:iCs w:val="0"/>
                      <w:color w:val="000000"/>
                      <w:kern w:val="2"/>
                      <w:sz w:val="18"/>
                      <w:szCs w:val="18"/>
                      <w:u w:val="none"/>
                      <w:lang w:val="en-US" w:eastAsia="zh-CN" w:bidi="ar-SA"/>
                    </w:rPr>
                    <w:t>162.9</w:t>
                  </w:r>
                </w:p>
              </w:tc>
              <w:tc>
                <w:tcPr>
                  <w:tcW w:w="344" w:type="pct"/>
                  <w:vMerge w:val="restart"/>
                  <w:shd w:val="clear" w:color="auto" w:fill="auto"/>
                  <w:vAlign w:val="center"/>
                </w:tcPr>
                <w:p>
                  <w:pPr>
                    <w:pStyle w:val="33"/>
                    <w:jc w:val="center"/>
                    <w:rPr>
                      <w:rFonts w:hint="default" w:ascii="Times New Roman" w:hAnsi="Times New Roman" w:cs="Times New Roman"/>
                      <w:sz w:val="18"/>
                      <w:szCs w:val="18"/>
                      <w:lang w:val="en-US"/>
                    </w:rPr>
                  </w:pPr>
                  <w:r>
                    <w:rPr>
                      <w:rFonts w:hint="default" w:ascii="Times New Roman" w:hAnsi="Times New Roman" w:cs="Times New Roman"/>
                      <w:sz w:val="18"/>
                      <w:szCs w:val="18"/>
                      <w:lang w:val="en-US" w:eastAsia="zh-CN"/>
                    </w:rPr>
                    <w:t>集气罩，收集效率95%</w:t>
                  </w:r>
                </w:p>
              </w:tc>
              <w:tc>
                <w:tcPr>
                  <w:tcW w:w="368" w:type="pct"/>
                  <w:vMerge w:val="restart"/>
                  <w:shd w:val="clear" w:color="auto" w:fill="auto"/>
                  <w:vAlign w:val="center"/>
                </w:tcPr>
                <w:p>
                  <w:pPr>
                    <w:pStyle w:val="33"/>
                    <w:jc w:val="center"/>
                    <w:rPr>
                      <w:rFonts w:hint="default" w:ascii="Times New Roman" w:hAnsi="Times New Roman" w:cs="Times New Roman"/>
                      <w:sz w:val="18"/>
                      <w:szCs w:val="18"/>
                      <w:lang w:val="en-US"/>
                    </w:rPr>
                  </w:pPr>
                  <w:r>
                    <w:rPr>
                      <w:rFonts w:hint="default" w:ascii="Times New Roman" w:hAnsi="Times New Roman" w:eastAsia="宋体" w:cs="Times New Roman"/>
                      <w:i w:val="0"/>
                      <w:iCs w:val="0"/>
                      <w:color w:val="000000"/>
                      <w:kern w:val="0"/>
                      <w:sz w:val="18"/>
                      <w:szCs w:val="18"/>
                      <w:u w:val="none"/>
                      <w:lang w:val="en-US" w:eastAsia="zh-CN" w:bidi="ar"/>
                    </w:rPr>
                    <w:t>脉冲布袋除尘器</w:t>
                  </w:r>
                  <w:r>
                    <w:rPr>
                      <w:rFonts w:hint="default" w:ascii="Times New Roman" w:hAnsi="Times New Roman" w:cs="Times New Roman"/>
                      <w:i w:val="0"/>
                      <w:iCs w:val="0"/>
                      <w:color w:val="000000"/>
                      <w:kern w:val="0"/>
                      <w:sz w:val="18"/>
                      <w:szCs w:val="18"/>
                      <w:u w:val="none"/>
                      <w:lang w:val="en-US" w:eastAsia="zh-CN" w:bidi="ar"/>
                    </w:rPr>
                    <w:t>，处理效率99%</w:t>
                  </w:r>
                </w:p>
              </w:tc>
              <w:tc>
                <w:tcPr>
                  <w:tcW w:w="40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18"/>
                      <w:szCs w:val="18"/>
                      <w:u w:val="none"/>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4.</w:t>
                  </w:r>
                  <w:r>
                    <w:rPr>
                      <w:rFonts w:hint="default" w:ascii="Times New Roman" w:hAnsi="Times New Roman" w:cs="Times New Roman"/>
                      <w:i w:val="0"/>
                      <w:iCs w:val="0"/>
                      <w:color w:val="000000"/>
                      <w:kern w:val="0"/>
                      <w:sz w:val="18"/>
                      <w:szCs w:val="18"/>
                      <w:u w:val="none"/>
                      <w:lang w:val="en-US" w:eastAsia="zh-CN" w:bidi="ar"/>
                    </w:rPr>
                    <w:t>06</w:t>
                  </w:r>
                </w:p>
              </w:tc>
              <w:tc>
                <w:tcPr>
                  <w:tcW w:w="48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18"/>
                      <w:szCs w:val="18"/>
                      <w:u w:val="none"/>
                      <w:lang w:val="en-US" w:eastAsia="zh-CN" w:bidi="ar-SA"/>
                    </w:rPr>
                  </w:pPr>
                  <w:r>
                    <w:rPr>
                      <w:rFonts w:hint="default" w:ascii="Times New Roman" w:hAnsi="Times New Roman" w:cs="Times New Roman"/>
                      <w:i w:val="0"/>
                      <w:iCs w:val="0"/>
                      <w:color w:val="000000"/>
                      <w:kern w:val="0"/>
                      <w:sz w:val="18"/>
                      <w:szCs w:val="18"/>
                      <w:u w:val="none"/>
                      <w:lang w:val="en-US" w:eastAsia="zh-CN" w:bidi="ar"/>
                    </w:rPr>
                    <w:t>0.81</w:t>
                  </w:r>
                </w:p>
              </w:tc>
              <w:tc>
                <w:tcPr>
                  <w:tcW w:w="56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18"/>
                      <w:szCs w:val="18"/>
                      <w:u w:val="none"/>
                      <w:lang w:val="en-US" w:eastAsia="zh-CN" w:bidi="ar-SA"/>
                    </w:rPr>
                  </w:pPr>
                  <w:r>
                    <w:rPr>
                      <w:rFonts w:hint="default" w:ascii="Times New Roman" w:hAnsi="Times New Roman" w:cs="Times New Roman"/>
                      <w:i w:val="0"/>
                      <w:iCs w:val="0"/>
                      <w:color w:val="000000"/>
                      <w:kern w:val="0"/>
                      <w:sz w:val="18"/>
                      <w:szCs w:val="18"/>
                      <w:u w:val="none"/>
                      <w:lang w:val="en-US" w:eastAsia="zh-CN" w:bidi="ar"/>
                    </w:rPr>
                    <w:t>20.3</w:t>
                  </w:r>
                </w:p>
              </w:tc>
              <w:tc>
                <w:tcPr>
                  <w:tcW w:w="659" w:type="pct"/>
                  <w:shd w:val="clear" w:color="auto" w:fill="auto"/>
                  <w:noWrap/>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120</w:t>
                  </w:r>
                </w:p>
              </w:tc>
              <w:tc>
                <w:tcPr>
                  <w:tcW w:w="385" w:type="pct"/>
                  <w:shd w:val="clear" w:color="auto" w:fill="auto"/>
                  <w:noWrap/>
                  <w:vAlign w:val="center"/>
                </w:tcPr>
                <w:p>
                  <w:pPr>
                    <w:pStyle w:val="33"/>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2.95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82" w:hRule="atLeast"/>
              </w:trPr>
              <w:tc>
                <w:tcPr>
                  <w:tcW w:w="446" w:type="pct"/>
                  <w:shd w:val="clear" w:color="auto" w:fill="auto"/>
                  <w:noWrap/>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DA003</w:t>
                  </w:r>
                </w:p>
              </w:tc>
              <w:tc>
                <w:tcPr>
                  <w:tcW w:w="453" w:type="pct"/>
                  <w:shd w:val="clear" w:color="auto" w:fill="auto"/>
                  <w:noWrap/>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颗粒物</w:t>
                  </w:r>
                </w:p>
              </w:tc>
              <w:tc>
                <w:tcPr>
                  <w:tcW w:w="407" w:type="pct"/>
                  <w:shd w:val="clear" w:color="auto" w:fill="auto"/>
                  <w:noWrap/>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960</w:t>
                  </w:r>
                </w:p>
              </w:tc>
              <w:tc>
                <w:tcPr>
                  <w:tcW w:w="481" w:type="pct"/>
                  <w:shd w:val="clear" w:color="auto" w:fill="auto"/>
                  <w:noWrap/>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192</w:t>
                  </w:r>
                </w:p>
              </w:tc>
              <w:tc>
                <w:tcPr>
                  <w:tcW w:w="344" w:type="pct"/>
                  <w:vMerge w:val="continue"/>
                  <w:shd w:val="clear" w:color="auto" w:fill="auto"/>
                  <w:vAlign w:val="center"/>
                </w:tcPr>
                <w:p>
                  <w:pPr>
                    <w:pStyle w:val="33"/>
                    <w:jc w:val="center"/>
                    <w:rPr>
                      <w:rFonts w:hint="default" w:ascii="Times New Roman" w:hAnsi="Times New Roman" w:cs="Times New Roman"/>
                      <w:sz w:val="18"/>
                      <w:szCs w:val="18"/>
                    </w:rPr>
                  </w:pPr>
                </w:p>
              </w:tc>
              <w:tc>
                <w:tcPr>
                  <w:tcW w:w="368" w:type="pct"/>
                  <w:vMerge w:val="continue"/>
                  <w:shd w:val="clear" w:color="auto" w:fill="auto"/>
                  <w:vAlign w:val="center"/>
                </w:tcPr>
                <w:p>
                  <w:pPr>
                    <w:pStyle w:val="33"/>
                    <w:jc w:val="center"/>
                    <w:rPr>
                      <w:rFonts w:hint="default" w:ascii="Times New Roman" w:hAnsi="Times New Roman" w:cs="Times New Roman"/>
                      <w:sz w:val="18"/>
                      <w:szCs w:val="18"/>
                    </w:rPr>
                  </w:pPr>
                </w:p>
              </w:tc>
              <w:tc>
                <w:tcPr>
                  <w:tcW w:w="407"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4.80</w:t>
                  </w:r>
                </w:p>
              </w:tc>
              <w:tc>
                <w:tcPr>
                  <w:tcW w:w="480"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0.96</w:t>
                  </w:r>
                </w:p>
              </w:tc>
              <w:tc>
                <w:tcPr>
                  <w:tcW w:w="565" w:type="pct"/>
                  <w:shd w:val="clear" w:color="auto" w:fill="auto"/>
                  <w:noWrap/>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17.14</w:t>
                  </w:r>
                </w:p>
              </w:tc>
              <w:tc>
                <w:tcPr>
                  <w:tcW w:w="659" w:type="pct"/>
                  <w:shd w:val="clear" w:color="auto" w:fill="auto"/>
                  <w:noWrap/>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120</w:t>
                  </w:r>
                </w:p>
              </w:tc>
              <w:tc>
                <w:tcPr>
                  <w:tcW w:w="385" w:type="pct"/>
                  <w:shd w:val="clear" w:color="auto" w:fill="auto"/>
                  <w:noWrap/>
                  <w:vAlign w:val="center"/>
                </w:tcPr>
                <w:p>
                  <w:pPr>
                    <w:pStyle w:val="33"/>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32.5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82" w:hRule="atLeast"/>
              </w:trPr>
              <w:tc>
                <w:tcPr>
                  <w:tcW w:w="446" w:type="pct"/>
                  <w:shd w:val="clear" w:color="auto" w:fill="auto"/>
                  <w:noWrap/>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DA004</w:t>
                  </w:r>
                </w:p>
              </w:tc>
              <w:tc>
                <w:tcPr>
                  <w:tcW w:w="453" w:type="pct"/>
                  <w:shd w:val="clear" w:color="auto" w:fill="auto"/>
                  <w:noWrap/>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颗粒物</w:t>
                  </w:r>
                </w:p>
              </w:tc>
              <w:tc>
                <w:tcPr>
                  <w:tcW w:w="407"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266.6</w:t>
                  </w:r>
                </w:p>
              </w:tc>
              <w:tc>
                <w:tcPr>
                  <w:tcW w:w="481"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53.31</w:t>
                  </w:r>
                </w:p>
              </w:tc>
              <w:tc>
                <w:tcPr>
                  <w:tcW w:w="344" w:type="pct"/>
                  <w:vMerge w:val="continue"/>
                  <w:shd w:val="clear" w:color="auto" w:fill="auto"/>
                  <w:vAlign w:val="center"/>
                </w:tcPr>
                <w:p>
                  <w:pPr>
                    <w:pStyle w:val="33"/>
                    <w:jc w:val="center"/>
                    <w:rPr>
                      <w:rFonts w:hint="default" w:ascii="Times New Roman" w:hAnsi="Times New Roman" w:cs="Times New Roman"/>
                      <w:sz w:val="18"/>
                      <w:szCs w:val="18"/>
                    </w:rPr>
                  </w:pPr>
                </w:p>
              </w:tc>
              <w:tc>
                <w:tcPr>
                  <w:tcW w:w="368" w:type="pct"/>
                  <w:vMerge w:val="continue"/>
                  <w:shd w:val="clear" w:color="auto" w:fill="auto"/>
                  <w:vAlign w:val="center"/>
                </w:tcPr>
                <w:p>
                  <w:pPr>
                    <w:pStyle w:val="33"/>
                    <w:jc w:val="center"/>
                    <w:rPr>
                      <w:rFonts w:hint="default" w:ascii="Times New Roman" w:hAnsi="Times New Roman" w:cs="Times New Roman"/>
                      <w:sz w:val="18"/>
                      <w:szCs w:val="18"/>
                    </w:rPr>
                  </w:pPr>
                </w:p>
              </w:tc>
              <w:tc>
                <w:tcPr>
                  <w:tcW w:w="407"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1.33</w:t>
                  </w:r>
                </w:p>
              </w:tc>
              <w:tc>
                <w:tcPr>
                  <w:tcW w:w="480"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0.27</w:t>
                  </w:r>
                </w:p>
              </w:tc>
              <w:tc>
                <w:tcPr>
                  <w:tcW w:w="565" w:type="pct"/>
                  <w:shd w:val="clear" w:color="auto" w:fill="auto"/>
                  <w:vAlign w:val="center"/>
                </w:tcPr>
                <w:p>
                  <w:pPr>
                    <w:pStyle w:val="33"/>
                    <w:jc w:val="center"/>
                    <w:rPr>
                      <w:rFonts w:hint="default" w:ascii="Times New Roman" w:hAnsi="Times New Roman" w:cs="Times New Roman"/>
                      <w:sz w:val="18"/>
                      <w:szCs w:val="18"/>
                      <w:lang w:val="en-US"/>
                    </w:rPr>
                  </w:pPr>
                  <w:r>
                    <w:rPr>
                      <w:rFonts w:hint="default" w:ascii="Times New Roman" w:hAnsi="Times New Roman" w:cs="Times New Roman"/>
                      <w:sz w:val="18"/>
                      <w:szCs w:val="18"/>
                      <w:lang w:val="en-US" w:eastAsia="zh-CN"/>
                    </w:rPr>
                    <w:t>8.89</w:t>
                  </w:r>
                </w:p>
              </w:tc>
              <w:tc>
                <w:tcPr>
                  <w:tcW w:w="659" w:type="pct"/>
                  <w:shd w:val="clear" w:color="auto" w:fill="auto"/>
                  <w:noWrap/>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120</w:t>
                  </w:r>
                </w:p>
              </w:tc>
              <w:tc>
                <w:tcPr>
                  <w:tcW w:w="385" w:type="pct"/>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32.5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82" w:hRule="atLeast"/>
              </w:trPr>
              <w:tc>
                <w:tcPr>
                  <w:tcW w:w="446" w:type="pct"/>
                  <w:shd w:val="clear" w:color="auto" w:fill="auto"/>
                  <w:noWrap/>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DA005</w:t>
                  </w:r>
                </w:p>
              </w:tc>
              <w:tc>
                <w:tcPr>
                  <w:tcW w:w="453" w:type="pct"/>
                  <w:shd w:val="clear" w:color="auto" w:fill="auto"/>
                  <w:noWrap/>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颗粒物</w:t>
                  </w:r>
                </w:p>
              </w:tc>
              <w:tc>
                <w:tcPr>
                  <w:tcW w:w="407"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32.79</w:t>
                  </w:r>
                </w:p>
              </w:tc>
              <w:tc>
                <w:tcPr>
                  <w:tcW w:w="481"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6.56</w:t>
                  </w:r>
                </w:p>
              </w:tc>
              <w:tc>
                <w:tcPr>
                  <w:tcW w:w="344" w:type="pct"/>
                  <w:vMerge w:val="continue"/>
                  <w:shd w:val="clear" w:color="auto" w:fill="auto"/>
                  <w:vAlign w:val="center"/>
                </w:tcPr>
                <w:p>
                  <w:pPr>
                    <w:pStyle w:val="33"/>
                    <w:jc w:val="center"/>
                    <w:rPr>
                      <w:rFonts w:hint="default" w:ascii="Times New Roman" w:hAnsi="Times New Roman" w:cs="Times New Roman"/>
                      <w:sz w:val="18"/>
                      <w:szCs w:val="18"/>
                    </w:rPr>
                  </w:pPr>
                </w:p>
              </w:tc>
              <w:tc>
                <w:tcPr>
                  <w:tcW w:w="368" w:type="pct"/>
                  <w:vMerge w:val="continue"/>
                  <w:shd w:val="clear" w:color="auto" w:fill="auto"/>
                  <w:vAlign w:val="center"/>
                </w:tcPr>
                <w:p>
                  <w:pPr>
                    <w:pStyle w:val="33"/>
                    <w:jc w:val="center"/>
                    <w:rPr>
                      <w:rFonts w:hint="default" w:ascii="Times New Roman" w:hAnsi="Times New Roman" w:cs="Times New Roman"/>
                      <w:sz w:val="18"/>
                      <w:szCs w:val="18"/>
                    </w:rPr>
                  </w:pPr>
                </w:p>
              </w:tc>
              <w:tc>
                <w:tcPr>
                  <w:tcW w:w="407"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0.16</w:t>
                  </w:r>
                </w:p>
              </w:tc>
              <w:tc>
                <w:tcPr>
                  <w:tcW w:w="480"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0.03</w:t>
                  </w:r>
                </w:p>
              </w:tc>
              <w:tc>
                <w:tcPr>
                  <w:tcW w:w="565"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1.09</w:t>
                  </w:r>
                </w:p>
              </w:tc>
              <w:tc>
                <w:tcPr>
                  <w:tcW w:w="659" w:type="pct"/>
                  <w:shd w:val="clear" w:color="auto" w:fill="auto"/>
                  <w:noWrap/>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120</w:t>
                  </w:r>
                </w:p>
              </w:tc>
              <w:tc>
                <w:tcPr>
                  <w:tcW w:w="385" w:type="pct"/>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32.5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92" w:hRule="atLeast"/>
              </w:trPr>
              <w:tc>
                <w:tcPr>
                  <w:tcW w:w="446" w:type="pct"/>
                  <w:shd w:val="clear" w:color="auto" w:fill="auto"/>
                  <w:noWrap/>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DA006</w:t>
                  </w:r>
                </w:p>
              </w:tc>
              <w:tc>
                <w:tcPr>
                  <w:tcW w:w="453" w:type="pct"/>
                  <w:shd w:val="clear" w:color="auto" w:fill="auto"/>
                  <w:noWrap/>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颗粒物</w:t>
                  </w:r>
                </w:p>
              </w:tc>
              <w:tc>
                <w:tcPr>
                  <w:tcW w:w="407"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68.09</w:t>
                  </w:r>
                </w:p>
              </w:tc>
              <w:tc>
                <w:tcPr>
                  <w:tcW w:w="481"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13.62</w:t>
                  </w:r>
                </w:p>
              </w:tc>
              <w:tc>
                <w:tcPr>
                  <w:tcW w:w="344" w:type="pct"/>
                  <w:vMerge w:val="continue"/>
                  <w:shd w:val="clear" w:color="auto" w:fill="auto"/>
                  <w:vAlign w:val="center"/>
                </w:tcPr>
                <w:p>
                  <w:pPr>
                    <w:pStyle w:val="33"/>
                    <w:jc w:val="center"/>
                    <w:rPr>
                      <w:rFonts w:hint="default" w:ascii="Times New Roman" w:hAnsi="Times New Roman" w:cs="Times New Roman"/>
                      <w:sz w:val="18"/>
                      <w:szCs w:val="18"/>
                    </w:rPr>
                  </w:pPr>
                </w:p>
              </w:tc>
              <w:tc>
                <w:tcPr>
                  <w:tcW w:w="368" w:type="pct"/>
                  <w:vMerge w:val="continue"/>
                  <w:shd w:val="clear" w:color="auto" w:fill="auto"/>
                  <w:vAlign w:val="center"/>
                </w:tcPr>
                <w:p>
                  <w:pPr>
                    <w:pStyle w:val="33"/>
                    <w:jc w:val="center"/>
                    <w:rPr>
                      <w:rFonts w:hint="default" w:ascii="Times New Roman" w:hAnsi="Times New Roman" w:cs="Times New Roman"/>
                      <w:sz w:val="18"/>
                      <w:szCs w:val="18"/>
                    </w:rPr>
                  </w:pPr>
                </w:p>
              </w:tc>
              <w:tc>
                <w:tcPr>
                  <w:tcW w:w="407"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0.34</w:t>
                  </w:r>
                </w:p>
              </w:tc>
              <w:tc>
                <w:tcPr>
                  <w:tcW w:w="480"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0.07</w:t>
                  </w:r>
                </w:p>
              </w:tc>
              <w:tc>
                <w:tcPr>
                  <w:tcW w:w="565" w:type="pct"/>
                  <w:shd w:val="clear" w:color="auto" w:fill="auto"/>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2.27</w:t>
                  </w:r>
                </w:p>
              </w:tc>
              <w:tc>
                <w:tcPr>
                  <w:tcW w:w="659" w:type="pct"/>
                  <w:shd w:val="clear" w:color="auto" w:fill="auto"/>
                  <w:noWrap/>
                  <w:vAlign w:val="center"/>
                </w:tcPr>
                <w:p>
                  <w:pPr>
                    <w:pStyle w:val="33"/>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120</w:t>
                  </w:r>
                </w:p>
              </w:tc>
              <w:tc>
                <w:tcPr>
                  <w:tcW w:w="385" w:type="pct"/>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32.5</w:t>
                  </w:r>
                </w:p>
              </w:tc>
            </w:tr>
          </w:tbl>
          <w:p>
            <w:pPr>
              <w:bidi w:val="0"/>
              <w:rPr>
                <w:rFonts w:hint="default" w:ascii="Times New Roman" w:hAnsi="Times New Roman" w:cs="Times New Roman"/>
                <w:vertAlign w:val="baseline"/>
                <w:lang w:val="en-US" w:eastAsia="zh-CN"/>
              </w:rPr>
            </w:pPr>
            <w:r>
              <w:rPr>
                <w:rFonts w:hint="default" w:ascii="Times New Roman" w:hAnsi="Times New Roman" w:cs="Times New Roman"/>
                <w:lang w:val="en-US" w:eastAsia="zh-CN"/>
              </w:rPr>
              <w:t>根据表4-11可知，本项目制砂线烘干废气颗粒物、二氧化硫、氮氧化物排放浓度为0.43mg/m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、1.56mg/m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、8.89mg/m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，满足《湖南省工业炉窑大气污染综合治理实施方案》湘环发〔2020〕6号规定的颗粒物、二氧化硫、氮氧化物排放浓度不高于为30mg/m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、200mg/m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、300mg/m</w:t>
            </w:r>
            <w:r>
              <w:rPr>
                <w:rFonts w:hint="default" w:ascii="Times New Roman" w:hAnsi="Times New Roman" w:cs="Times New Roman"/>
                <w:vertAlign w:val="superscript"/>
                <w:lang w:val="en-US" w:eastAsia="zh-CN"/>
              </w:rPr>
              <w:t>3</w:t>
            </w:r>
            <w:r>
              <w:rPr>
                <w:rFonts w:hint="default" w:ascii="Times New Roman" w:hAnsi="Times New Roman" w:cs="Times New Roman"/>
                <w:vertAlign w:val="baseline"/>
                <w:lang w:val="en-US" w:eastAsia="zh-CN"/>
              </w:rPr>
              <w:t>的规定。</w:t>
            </w:r>
          </w:p>
          <w:p>
            <w:pPr>
              <w:pStyle w:val="2"/>
              <w:rPr>
                <w:rFonts w:hint="default" w:ascii="Times New Roman" w:hAnsi="Times New Roman" w:cs="Times New Roman"/>
                <w:lang w:val="en-US" w:eastAsia="zh-CN"/>
              </w:rPr>
            </w:pPr>
            <w:r>
              <w:rPr>
                <w:rFonts w:hint="default" w:ascii="Times New Roman" w:hAnsi="Times New Roman" w:cs="Times New Roman"/>
                <w:lang w:val="en-US" w:eastAsia="zh-CN"/>
              </w:rPr>
              <w:t>制砂线其他工序排气筒DA002和DA003的颗粒物排放浓度分别为20.3mg/m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、17.14mg/m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，干粉砂浆排气筒DA003~DA004的颗粒物排放浓度8.89mg/m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、1.09mg/m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、2.27mg/m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，满足《大气污染物综合排放标准》（GB16297-1996）二级标准规定的120mg/m</w:t>
            </w:r>
            <w:r>
              <w:rPr>
                <w:rFonts w:hint="default" w:ascii="Times New Roman" w:hAnsi="Times New Roman" w:cs="Times New Roman"/>
                <w:vertAlign w:val="superscript"/>
                <w:lang w:val="en-US" w:eastAsia="zh-CN"/>
              </w:rPr>
              <w:t>3</w:t>
            </w:r>
            <w:r>
              <w:rPr>
                <w:rFonts w:hint="default" w:ascii="Times New Roman" w:hAnsi="Times New Roman" w:cs="Times New Roman"/>
                <w:vertAlign w:val="baseline"/>
                <w:lang w:val="en-US" w:eastAsia="zh-CN"/>
              </w:rPr>
              <w:t>，排放速率严格50%执行，各排气筒排放速率也满足相应高度排放速率要求</w:t>
            </w:r>
            <w:r>
              <w:rPr>
                <w:rFonts w:hint="default" w:ascii="Times New Roman" w:hAnsi="Times New Roman" w:cs="Times New Roman"/>
                <w:lang w:val="en-US" w:eastAsia="zh-CN"/>
              </w:rPr>
              <w:t>。各废气经脉冲布袋除尘器处理后能够实现达标排放。</w:t>
            </w:r>
          </w:p>
          <w:p>
            <w:pPr>
              <w:pStyle w:val="11"/>
              <w:ind w:left="0" w:leftChars="0" w:firstLine="0" w:firstLineChars="0"/>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表4-1</w:t>
            </w:r>
            <w:r>
              <w:rPr>
                <w:rFonts w:hint="default" w:ascii="Times New Roman" w:hAnsi="Times New Roman" w:cs="Times New Roman"/>
                <w:lang w:val="en-US" w:eastAsia="zh-CN"/>
              </w:rPr>
              <w:t>2</w:t>
            </w:r>
            <w:r>
              <w:rPr>
                <w:rFonts w:hint="default" w:ascii="Times New Roman" w:hAnsi="Times New Roman" w:eastAsia="宋体" w:cs="Times New Roman"/>
                <w:lang w:val="en-US" w:eastAsia="zh-CN"/>
              </w:rPr>
              <w:t xml:space="preserve"> 大气污染治理设施及排放口基本情况</w:t>
            </w:r>
          </w:p>
          <w:tbl>
            <w:tblPr>
              <w:tblStyle w:val="22"/>
              <w:tblW w:w="4997"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4"/>
              <w:gridCol w:w="830"/>
              <w:gridCol w:w="909"/>
              <w:gridCol w:w="787"/>
              <w:gridCol w:w="704"/>
              <w:gridCol w:w="828"/>
              <w:gridCol w:w="1309"/>
              <w:gridCol w:w="1076"/>
              <w:gridCol w:w="778"/>
              <w:gridCol w:w="9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3" w:hRule="atLeast"/>
              </w:trPr>
              <w:tc>
                <w:tcPr>
                  <w:tcW w:w="246"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序号</w:t>
                  </w:r>
                </w:p>
              </w:tc>
              <w:tc>
                <w:tcPr>
                  <w:tcW w:w="482"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排放口编号</w:t>
                  </w:r>
                </w:p>
              </w:tc>
              <w:tc>
                <w:tcPr>
                  <w:tcW w:w="528"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排放口名称</w:t>
                  </w:r>
                </w:p>
              </w:tc>
              <w:tc>
                <w:tcPr>
                  <w:tcW w:w="457"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污染物种类</w:t>
                  </w:r>
                </w:p>
              </w:tc>
              <w:tc>
                <w:tcPr>
                  <w:tcW w:w="409"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污染治理设施</w:t>
                  </w:r>
                </w:p>
              </w:tc>
              <w:tc>
                <w:tcPr>
                  <w:tcW w:w="481"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是否可行技术</w:t>
                  </w:r>
                </w:p>
              </w:tc>
              <w:tc>
                <w:tcPr>
                  <w:tcW w:w="1385" w:type="pct"/>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排放口地理坐标</w:t>
                  </w:r>
                </w:p>
              </w:tc>
              <w:tc>
                <w:tcPr>
                  <w:tcW w:w="452"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FF0000"/>
                      <w:sz w:val="18"/>
                      <w:szCs w:val="18"/>
                      <w:highlight w:val="none"/>
                      <w:lang w:val="en-US" w:eastAsia="zh-CN"/>
                    </w:rPr>
                  </w:pPr>
                  <w:r>
                    <w:rPr>
                      <w:rFonts w:hint="default" w:ascii="Times New Roman" w:hAnsi="Times New Roman" w:cs="Times New Roman"/>
                      <w:color w:val="FF0000"/>
                      <w:sz w:val="18"/>
                      <w:szCs w:val="18"/>
                      <w:highlight w:val="none"/>
                      <w:lang w:val="en-US" w:eastAsia="zh-CN"/>
                    </w:rPr>
                    <w:t>排气筒高度（m）</w:t>
                  </w:r>
                </w:p>
              </w:tc>
              <w:tc>
                <w:tcPr>
                  <w:tcW w:w="556"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FF0000"/>
                      <w:sz w:val="18"/>
                      <w:szCs w:val="18"/>
                      <w:highlight w:val="none"/>
                      <w:lang w:val="en-US" w:eastAsia="zh-CN"/>
                    </w:rPr>
                  </w:pPr>
                  <w:r>
                    <w:rPr>
                      <w:rFonts w:hint="default" w:ascii="Times New Roman" w:hAnsi="Times New Roman" w:cs="Times New Roman"/>
                      <w:color w:val="FF0000"/>
                      <w:sz w:val="18"/>
                      <w:szCs w:val="18"/>
                      <w:highlight w:val="none"/>
                      <w:lang w:val="en-US" w:eastAsia="zh-CN"/>
                    </w:rPr>
                    <w:t>排气出口筒内径（m）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6"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rPr>
                  </w:pPr>
                </w:p>
              </w:tc>
              <w:tc>
                <w:tcPr>
                  <w:tcW w:w="48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rPr>
                  </w:pPr>
                </w:p>
              </w:tc>
              <w:tc>
                <w:tcPr>
                  <w:tcW w:w="528"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rPr>
                  </w:pPr>
                </w:p>
              </w:tc>
              <w:tc>
                <w:tcPr>
                  <w:tcW w:w="457"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p>
              </w:tc>
              <w:tc>
                <w:tcPr>
                  <w:tcW w:w="40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p>
              </w:tc>
              <w:tc>
                <w:tcPr>
                  <w:tcW w:w="481"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p>
              </w:tc>
              <w:tc>
                <w:tcPr>
                  <w:tcW w:w="76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经度（E）</w:t>
                  </w:r>
                </w:p>
              </w:tc>
              <w:tc>
                <w:tcPr>
                  <w:tcW w:w="62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纬度（N）</w:t>
                  </w:r>
                </w:p>
              </w:tc>
              <w:tc>
                <w:tcPr>
                  <w:tcW w:w="45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FF0000"/>
                      <w:sz w:val="18"/>
                      <w:szCs w:val="18"/>
                      <w:highlight w:val="none"/>
                      <w:lang w:val="en-US" w:eastAsia="zh-CN"/>
                    </w:rPr>
                  </w:pPr>
                </w:p>
              </w:tc>
              <w:tc>
                <w:tcPr>
                  <w:tcW w:w="556"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FF0000"/>
                      <w:sz w:val="18"/>
                      <w:szCs w:val="18"/>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6"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1</w:t>
                  </w:r>
                </w:p>
              </w:tc>
              <w:tc>
                <w:tcPr>
                  <w:tcW w:w="482"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DA001</w:t>
                  </w:r>
                </w:p>
              </w:tc>
              <w:tc>
                <w:tcPr>
                  <w:tcW w:w="528"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烘干废气排气筒</w:t>
                  </w:r>
                </w:p>
              </w:tc>
              <w:tc>
                <w:tcPr>
                  <w:tcW w:w="457" w:type="pct"/>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二氧化硫</w:t>
                  </w:r>
                </w:p>
              </w:tc>
              <w:tc>
                <w:tcPr>
                  <w:tcW w:w="409"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lang w:val="en-US" w:eastAsia="zh-CN"/>
                    </w:rPr>
                    <w:t>脉冲布袋除尘器</w:t>
                  </w:r>
                </w:p>
              </w:tc>
              <w:tc>
                <w:tcPr>
                  <w:tcW w:w="48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是</w:t>
                  </w:r>
                </w:p>
              </w:tc>
              <w:tc>
                <w:tcPr>
                  <w:tcW w:w="760"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112.868022695</w:t>
                  </w:r>
                </w:p>
              </w:tc>
              <w:tc>
                <w:tcPr>
                  <w:tcW w:w="625"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28.697867020</w:t>
                  </w:r>
                </w:p>
              </w:tc>
              <w:tc>
                <w:tcPr>
                  <w:tcW w:w="452"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FF0000"/>
                      <w:sz w:val="18"/>
                      <w:szCs w:val="18"/>
                      <w:highlight w:val="none"/>
                      <w:lang w:val="en-US" w:eastAsia="zh-CN"/>
                    </w:rPr>
                  </w:pPr>
                  <w:r>
                    <w:rPr>
                      <w:rFonts w:hint="default" w:ascii="Times New Roman" w:hAnsi="Times New Roman" w:cs="Times New Roman"/>
                      <w:color w:val="FF0000"/>
                      <w:sz w:val="18"/>
                      <w:szCs w:val="18"/>
                      <w:highlight w:val="none"/>
                      <w:lang w:val="en-US" w:eastAsia="zh-CN"/>
                    </w:rPr>
                    <w:t>20</w:t>
                  </w:r>
                </w:p>
              </w:tc>
              <w:tc>
                <w:tcPr>
                  <w:tcW w:w="556"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FF0000"/>
                      <w:sz w:val="18"/>
                      <w:szCs w:val="18"/>
                      <w:highlight w:val="none"/>
                      <w:lang w:val="en-US" w:eastAsia="zh-CN"/>
                    </w:rPr>
                  </w:pPr>
                  <w:r>
                    <w:rPr>
                      <w:rFonts w:hint="default" w:ascii="Times New Roman" w:hAnsi="Times New Roman" w:cs="Times New Roman"/>
                      <w:color w:val="FF0000"/>
                      <w:sz w:val="18"/>
                      <w:szCs w:val="18"/>
                      <w:highlight w:val="none"/>
                      <w:lang w:val="en-US" w:eastAsia="zh-CN"/>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6"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rPr>
                  </w:pPr>
                </w:p>
              </w:tc>
              <w:tc>
                <w:tcPr>
                  <w:tcW w:w="48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rPr>
                  </w:pPr>
                </w:p>
              </w:tc>
              <w:tc>
                <w:tcPr>
                  <w:tcW w:w="528"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rPr>
                  </w:pPr>
                </w:p>
              </w:tc>
              <w:tc>
                <w:tcPr>
                  <w:tcW w:w="457" w:type="pct"/>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vertAlign w:val="baseline"/>
                      <w:lang w:val="en-US" w:eastAsia="zh-CN"/>
                    </w:rPr>
                    <w:t>氮氧化物</w:t>
                  </w:r>
                </w:p>
              </w:tc>
              <w:tc>
                <w:tcPr>
                  <w:tcW w:w="40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p>
              </w:tc>
              <w:tc>
                <w:tcPr>
                  <w:tcW w:w="48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是</w:t>
                  </w:r>
                </w:p>
              </w:tc>
              <w:tc>
                <w:tcPr>
                  <w:tcW w:w="76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p>
              </w:tc>
              <w:tc>
                <w:tcPr>
                  <w:tcW w:w="62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p>
              </w:tc>
              <w:tc>
                <w:tcPr>
                  <w:tcW w:w="45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FF0000"/>
                      <w:sz w:val="18"/>
                      <w:szCs w:val="18"/>
                      <w:highlight w:val="none"/>
                      <w:lang w:val="en-US" w:eastAsia="zh-CN"/>
                    </w:rPr>
                  </w:pPr>
                </w:p>
              </w:tc>
              <w:tc>
                <w:tcPr>
                  <w:tcW w:w="556"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FF0000"/>
                      <w:sz w:val="18"/>
                      <w:szCs w:val="18"/>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6"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p>
              </w:tc>
              <w:tc>
                <w:tcPr>
                  <w:tcW w:w="48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p>
              </w:tc>
              <w:tc>
                <w:tcPr>
                  <w:tcW w:w="528"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p>
              </w:tc>
              <w:tc>
                <w:tcPr>
                  <w:tcW w:w="457" w:type="pct"/>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vertAlign w:val="baseline"/>
                      <w:lang w:val="en-US" w:eastAsia="zh-CN"/>
                    </w:rPr>
                    <w:t>颗粒物</w:t>
                  </w:r>
                </w:p>
              </w:tc>
              <w:tc>
                <w:tcPr>
                  <w:tcW w:w="40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p>
              </w:tc>
              <w:tc>
                <w:tcPr>
                  <w:tcW w:w="48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是</w:t>
                  </w:r>
                </w:p>
              </w:tc>
              <w:tc>
                <w:tcPr>
                  <w:tcW w:w="76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p>
              </w:tc>
              <w:tc>
                <w:tcPr>
                  <w:tcW w:w="625"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p>
              </w:tc>
              <w:tc>
                <w:tcPr>
                  <w:tcW w:w="45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FF0000"/>
                      <w:sz w:val="18"/>
                      <w:szCs w:val="18"/>
                      <w:highlight w:val="none"/>
                      <w:lang w:val="en-US" w:eastAsia="zh-CN"/>
                    </w:rPr>
                  </w:pPr>
                </w:p>
              </w:tc>
              <w:tc>
                <w:tcPr>
                  <w:tcW w:w="556"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FF0000"/>
                      <w:sz w:val="18"/>
                      <w:szCs w:val="18"/>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2</w:t>
                  </w:r>
                </w:p>
              </w:tc>
              <w:tc>
                <w:tcPr>
                  <w:tcW w:w="482" w:type="pct"/>
                  <w:noWrap w:val="0"/>
                  <w:vAlign w:val="center"/>
                </w:tcPr>
                <w:p>
                  <w:pPr>
                    <w:pStyle w:val="34"/>
                    <w:keepNext w:val="0"/>
                    <w:keepLines w:val="0"/>
                    <w:pageBreakBefore w:val="0"/>
                    <w:kinsoku/>
                    <w:wordWrap/>
                    <w:overflowPunct/>
                    <w:topLinePunct w:val="0"/>
                    <w:autoSpaceDE/>
                    <w:autoSpaceDN/>
                    <w:bidi w:val="0"/>
                    <w:spacing w:line="240" w:lineRule="auto"/>
                    <w:ind w:firstLine="0" w:firstLineChars="0"/>
                    <w:rPr>
                      <w:rFonts w:hint="default" w:ascii="Times New Roman" w:hAnsi="Times New Roman" w:eastAsia="宋体" w:cs="Times New Roman"/>
                      <w:kern w:val="0"/>
                      <w:sz w:val="18"/>
                      <w:szCs w:val="18"/>
                      <w:lang w:val="en-US" w:eastAsia="zh-CN" w:bidi="ar-SA"/>
                    </w:rPr>
                  </w:pPr>
                  <w:r>
                    <w:rPr>
                      <w:rFonts w:hint="default" w:ascii="Times New Roman" w:hAnsi="Times New Roman" w:cs="Times New Roman"/>
                      <w:kern w:val="0"/>
                      <w:sz w:val="18"/>
                      <w:szCs w:val="18"/>
                    </w:rPr>
                    <w:t>DA00</w:t>
                  </w:r>
                  <w:r>
                    <w:rPr>
                      <w:rFonts w:hint="default" w:ascii="Times New Roman" w:hAnsi="Times New Roman" w:cs="Times New Roman"/>
                      <w:kern w:val="0"/>
                      <w:sz w:val="18"/>
                      <w:szCs w:val="18"/>
                      <w:lang w:val="en-US" w:eastAsia="zh-CN"/>
                    </w:rPr>
                    <w:t>2</w:t>
                  </w:r>
                </w:p>
              </w:tc>
              <w:tc>
                <w:tcPr>
                  <w:tcW w:w="528" w:type="pct"/>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kern w:val="0"/>
                      <w:sz w:val="18"/>
                      <w:szCs w:val="18"/>
                      <w:lang w:val="en-US" w:eastAsia="zh-CN" w:bidi="ar-SA"/>
                    </w:rPr>
                  </w:pPr>
                  <w:r>
                    <w:rPr>
                      <w:rFonts w:hint="default" w:ascii="Times New Roman" w:hAnsi="Times New Roman" w:cs="Times New Roman"/>
                      <w:sz w:val="18"/>
                      <w:szCs w:val="18"/>
                      <w:highlight w:val="none"/>
                      <w:lang w:val="en-US" w:eastAsia="zh-CN"/>
                    </w:rPr>
                    <w:t>机制砂排气筒</w:t>
                  </w:r>
                </w:p>
              </w:tc>
              <w:tc>
                <w:tcPr>
                  <w:tcW w:w="457" w:type="pct"/>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kern w:val="0"/>
                      <w:sz w:val="18"/>
                      <w:szCs w:val="18"/>
                      <w:lang w:val="en-US" w:eastAsia="zh-CN" w:bidi="ar-SA"/>
                    </w:rPr>
                  </w:pPr>
                  <w:r>
                    <w:rPr>
                      <w:rFonts w:hint="default" w:ascii="Times New Roman" w:hAnsi="Times New Roman" w:cs="Times New Roman"/>
                      <w:sz w:val="18"/>
                      <w:szCs w:val="18"/>
                      <w:highlight w:val="none"/>
                      <w:vertAlign w:val="baseline"/>
                      <w:lang w:val="en-US" w:eastAsia="zh-CN"/>
                    </w:rPr>
                    <w:t>颗粒物</w:t>
                  </w:r>
                </w:p>
              </w:tc>
              <w:tc>
                <w:tcPr>
                  <w:tcW w:w="409" w:type="pct"/>
                  <w:vMerge w:val="restart"/>
                  <w:noWrap w:val="0"/>
                  <w:vAlign w:val="center"/>
                </w:tcPr>
                <w:p>
                  <w:pPr>
                    <w:pStyle w:val="34"/>
                    <w:keepNext w:val="0"/>
                    <w:keepLines w:val="0"/>
                    <w:pageBreakBefore w:val="0"/>
                    <w:kinsoku/>
                    <w:wordWrap/>
                    <w:overflowPunct/>
                    <w:topLinePunct w:val="0"/>
                    <w:autoSpaceDE/>
                    <w:autoSpaceDN/>
                    <w:bidi w:val="0"/>
                    <w:spacing w:line="240" w:lineRule="auto"/>
                    <w:ind w:firstLine="0" w:firstLineChars="0"/>
                    <w:rPr>
                      <w:rFonts w:hint="default" w:ascii="Times New Roman" w:hAnsi="Times New Roman" w:eastAsia="宋体" w:cs="Times New Roman"/>
                      <w:kern w:val="0"/>
                      <w:sz w:val="18"/>
                      <w:szCs w:val="18"/>
                      <w:lang w:val="en-US" w:eastAsia="zh-CN" w:bidi="ar-SA"/>
                    </w:rPr>
                  </w:pPr>
                  <w:r>
                    <w:rPr>
                      <w:rFonts w:hint="default" w:ascii="Times New Roman" w:hAnsi="Times New Roman" w:cs="Times New Roman"/>
                      <w:sz w:val="18"/>
                      <w:szCs w:val="18"/>
                      <w:lang w:val="en-US" w:eastAsia="zh-CN"/>
                    </w:rPr>
                    <w:t>集气罩+脉冲布袋除尘器</w:t>
                  </w:r>
                </w:p>
              </w:tc>
              <w:tc>
                <w:tcPr>
                  <w:tcW w:w="481" w:type="pct"/>
                  <w:noWrap w:val="0"/>
                  <w:vAlign w:val="center"/>
                </w:tcPr>
                <w:p>
                  <w:pPr>
                    <w:pStyle w:val="34"/>
                    <w:keepNext w:val="0"/>
                    <w:keepLines w:val="0"/>
                    <w:pageBreakBefore w:val="0"/>
                    <w:kinsoku/>
                    <w:wordWrap/>
                    <w:overflowPunct/>
                    <w:topLinePunct w:val="0"/>
                    <w:autoSpaceDE/>
                    <w:autoSpaceDN/>
                    <w:bidi w:val="0"/>
                    <w:spacing w:line="240" w:lineRule="auto"/>
                    <w:ind w:firstLine="0" w:firstLineChars="0"/>
                    <w:rPr>
                      <w:rFonts w:hint="default" w:ascii="Times New Roman" w:hAnsi="Times New Roman" w:eastAsia="宋体" w:cs="Times New Roman"/>
                      <w:kern w:val="0"/>
                      <w:sz w:val="18"/>
                      <w:szCs w:val="18"/>
                      <w:lang w:val="en-US" w:eastAsia="zh-CN" w:bidi="ar-SA"/>
                    </w:rPr>
                  </w:pPr>
                  <w:r>
                    <w:rPr>
                      <w:rFonts w:hint="default" w:ascii="Times New Roman" w:hAnsi="Times New Roman" w:cs="Times New Roman"/>
                      <w:sz w:val="18"/>
                      <w:szCs w:val="18"/>
                      <w:highlight w:val="none"/>
                      <w:lang w:val="en-US" w:eastAsia="zh-CN"/>
                    </w:rPr>
                    <w:t>是</w:t>
                  </w:r>
                </w:p>
              </w:tc>
              <w:tc>
                <w:tcPr>
                  <w:tcW w:w="760" w:type="pct"/>
                  <w:noWrap w:val="0"/>
                  <w:vAlign w:val="center"/>
                </w:tcPr>
                <w:p>
                  <w:pPr>
                    <w:pStyle w:val="34"/>
                    <w:keepNext w:val="0"/>
                    <w:keepLines w:val="0"/>
                    <w:pageBreakBefore w:val="0"/>
                    <w:kinsoku/>
                    <w:wordWrap/>
                    <w:overflowPunct/>
                    <w:topLinePunct w:val="0"/>
                    <w:autoSpaceDE/>
                    <w:autoSpaceDN/>
                    <w:bidi w:val="0"/>
                    <w:spacing w:line="240" w:lineRule="auto"/>
                    <w:ind w:firstLine="0" w:firstLineChars="0"/>
                    <w:rPr>
                      <w:rFonts w:hint="default" w:ascii="Times New Roman" w:hAnsi="Times New Roman" w:eastAsia="宋体" w:cs="Times New Roman"/>
                      <w:kern w:val="0"/>
                      <w:sz w:val="18"/>
                      <w:szCs w:val="18"/>
                      <w:lang w:val="en-US" w:eastAsia="zh-CN" w:bidi="ar-SA"/>
                    </w:rPr>
                  </w:pPr>
                  <w:r>
                    <w:rPr>
                      <w:rFonts w:hint="default" w:ascii="Times New Roman" w:hAnsi="Times New Roman" w:eastAsia="宋体" w:cs="Times New Roman"/>
                      <w:kern w:val="0"/>
                      <w:sz w:val="18"/>
                      <w:szCs w:val="18"/>
                      <w:lang w:val="en-US" w:eastAsia="zh-CN" w:bidi="ar-SA"/>
                    </w:rPr>
                    <w:t>112.868215814</w:t>
                  </w:r>
                </w:p>
              </w:tc>
              <w:tc>
                <w:tcPr>
                  <w:tcW w:w="62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28.697722181</w:t>
                  </w:r>
                </w:p>
              </w:tc>
              <w:tc>
                <w:tcPr>
                  <w:tcW w:w="45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FF0000"/>
                      <w:sz w:val="18"/>
                      <w:szCs w:val="18"/>
                      <w:highlight w:val="none"/>
                      <w:lang w:val="en-US" w:eastAsia="zh-CN"/>
                    </w:rPr>
                  </w:pPr>
                  <w:r>
                    <w:rPr>
                      <w:rFonts w:hint="default" w:ascii="Times New Roman" w:hAnsi="Times New Roman" w:cs="Times New Roman"/>
                      <w:color w:val="FF0000"/>
                      <w:sz w:val="18"/>
                      <w:szCs w:val="18"/>
                      <w:highlight w:val="none"/>
                      <w:lang w:val="en-US" w:eastAsia="zh-CN"/>
                    </w:rPr>
                    <w:t>20</w:t>
                  </w:r>
                </w:p>
              </w:tc>
              <w:tc>
                <w:tcPr>
                  <w:tcW w:w="55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FF0000"/>
                      <w:sz w:val="18"/>
                      <w:szCs w:val="18"/>
                      <w:highlight w:val="none"/>
                      <w:lang w:val="en-US" w:eastAsia="zh-CN"/>
                    </w:rPr>
                  </w:pPr>
                  <w:r>
                    <w:rPr>
                      <w:rFonts w:hint="default" w:ascii="Times New Roman" w:hAnsi="Times New Roman" w:cs="Times New Roman"/>
                      <w:color w:val="FF0000"/>
                      <w:sz w:val="18"/>
                      <w:szCs w:val="18"/>
                      <w:highlight w:val="none"/>
                      <w:lang w:val="en-US" w:eastAsia="zh-CN"/>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3</w:t>
                  </w:r>
                </w:p>
              </w:tc>
              <w:tc>
                <w:tcPr>
                  <w:tcW w:w="48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kern w:val="0"/>
                      <w:sz w:val="18"/>
                      <w:szCs w:val="18"/>
                      <w:lang w:val="en-US" w:eastAsia="zh-CN"/>
                    </w:rPr>
                    <w:t>DA003</w:t>
                  </w:r>
                </w:p>
              </w:tc>
              <w:tc>
                <w:tcPr>
                  <w:tcW w:w="52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石灰石制砂排气筒</w:t>
                  </w:r>
                </w:p>
              </w:tc>
              <w:tc>
                <w:tcPr>
                  <w:tcW w:w="457" w:type="pct"/>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sz w:val="18"/>
                      <w:szCs w:val="18"/>
                      <w:highlight w:val="none"/>
                      <w:vertAlign w:val="baseline"/>
                      <w:lang w:val="en-US" w:eastAsia="zh-CN"/>
                    </w:rPr>
                  </w:pPr>
                  <w:r>
                    <w:rPr>
                      <w:rFonts w:hint="default" w:ascii="Times New Roman" w:hAnsi="Times New Roman" w:cs="Times New Roman"/>
                      <w:sz w:val="18"/>
                      <w:szCs w:val="18"/>
                      <w:highlight w:val="none"/>
                      <w:vertAlign w:val="baseline"/>
                      <w:lang w:val="en-US" w:eastAsia="zh-CN"/>
                    </w:rPr>
                    <w:t>颗粒物</w:t>
                  </w:r>
                </w:p>
              </w:tc>
              <w:tc>
                <w:tcPr>
                  <w:tcW w:w="40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p>
              </w:tc>
              <w:tc>
                <w:tcPr>
                  <w:tcW w:w="48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是</w:t>
                  </w:r>
                </w:p>
              </w:tc>
              <w:tc>
                <w:tcPr>
                  <w:tcW w:w="76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112.869733944</w:t>
                  </w:r>
                </w:p>
              </w:tc>
              <w:tc>
                <w:tcPr>
                  <w:tcW w:w="62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28.698805794</w:t>
                  </w:r>
                </w:p>
              </w:tc>
              <w:tc>
                <w:tcPr>
                  <w:tcW w:w="45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FF0000"/>
                      <w:sz w:val="18"/>
                      <w:szCs w:val="18"/>
                      <w:highlight w:val="none"/>
                      <w:lang w:val="en-US" w:eastAsia="zh-CN"/>
                    </w:rPr>
                  </w:pPr>
                  <w:r>
                    <w:rPr>
                      <w:rFonts w:hint="default" w:ascii="Times New Roman" w:hAnsi="Times New Roman" w:cs="Times New Roman"/>
                      <w:color w:val="FF0000"/>
                      <w:sz w:val="18"/>
                      <w:szCs w:val="18"/>
                      <w:highlight w:val="none"/>
                      <w:lang w:val="en-US" w:eastAsia="zh-CN"/>
                    </w:rPr>
                    <w:t>52</w:t>
                  </w:r>
                </w:p>
              </w:tc>
              <w:tc>
                <w:tcPr>
                  <w:tcW w:w="55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FF0000"/>
                      <w:sz w:val="18"/>
                      <w:szCs w:val="18"/>
                      <w:highlight w:val="none"/>
                      <w:lang w:val="en-US" w:eastAsia="zh-CN"/>
                    </w:rPr>
                  </w:pPr>
                  <w:r>
                    <w:rPr>
                      <w:rFonts w:hint="default" w:ascii="Times New Roman" w:hAnsi="Times New Roman" w:cs="Times New Roman"/>
                      <w:color w:val="FF0000"/>
                      <w:sz w:val="18"/>
                      <w:szCs w:val="18"/>
                      <w:highlight w:val="no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4</w:t>
                  </w:r>
                </w:p>
              </w:tc>
              <w:tc>
                <w:tcPr>
                  <w:tcW w:w="48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kern w:val="0"/>
                      <w:sz w:val="18"/>
                      <w:szCs w:val="18"/>
                      <w:lang w:val="en-US" w:eastAsia="zh-CN"/>
                    </w:rPr>
                    <w:t>DA004</w:t>
                  </w:r>
                </w:p>
              </w:tc>
              <w:tc>
                <w:tcPr>
                  <w:tcW w:w="52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普通干粉砂浆排气筒</w:t>
                  </w:r>
                </w:p>
              </w:tc>
              <w:tc>
                <w:tcPr>
                  <w:tcW w:w="457" w:type="pct"/>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sz w:val="18"/>
                      <w:szCs w:val="18"/>
                      <w:highlight w:val="none"/>
                      <w:vertAlign w:val="baseline"/>
                      <w:lang w:val="en-US" w:eastAsia="zh-CN"/>
                    </w:rPr>
                  </w:pPr>
                  <w:r>
                    <w:rPr>
                      <w:rFonts w:hint="default" w:ascii="Times New Roman" w:hAnsi="Times New Roman" w:cs="Times New Roman"/>
                      <w:sz w:val="18"/>
                      <w:szCs w:val="18"/>
                      <w:highlight w:val="none"/>
                      <w:vertAlign w:val="baseline"/>
                      <w:lang w:val="en-US" w:eastAsia="zh-CN"/>
                    </w:rPr>
                    <w:t>颗粒物</w:t>
                  </w:r>
                </w:p>
              </w:tc>
              <w:tc>
                <w:tcPr>
                  <w:tcW w:w="40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p>
              </w:tc>
              <w:tc>
                <w:tcPr>
                  <w:tcW w:w="48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是</w:t>
                  </w:r>
                </w:p>
              </w:tc>
              <w:tc>
                <w:tcPr>
                  <w:tcW w:w="76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112.869304790</w:t>
                  </w:r>
                </w:p>
              </w:tc>
              <w:tc>
                <w:tcPr>
                  <w:tcW w:w="62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28.698312267</w:t>
                  </w:r>
                </w:p>
              </w:tc>
              <w:tc>
                <w:tcPr>
                  <w:tcW w:w="45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FF0000"/>
                      <w:sz w:val="18"/>
                      <w:szCs w:val="18"/>
                      <w:highlight w:val="none"/>
                      <w:lang w:val="en-US" w:eastAsia="zh-CN"/>
                    </w:rPr>
                  </w:pPr>
                  <w:r>
                    <w:rPr>
                      <w:rFonts w:hint="default" w:ascii="Times New Roman" w:hAnsi="Times New Roman" w:cs="Times New Roman"/>
                      <w:color w:val="FF0000"/>
                      <w:sz w:val="18"/>
                      <w:szCs w:val="18"/>
                      <w:highlight w:val="none"/>
                      <w:lang w:val="en-US" w:eastAsia="zh-CN"/>
                    </w:rPr>
                    <w:t>52</w:t>
                  </w:r>
                </w:p>
              </w:tc>
              <w:tc>
                <w:tcPr>
                  <w:tcW w:w="55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FF0000"/>
                      <w:sz w:val="18"/>
                      <w:szCs w:val="18"/>
                      <w:highlight w:val="none"/>
                      <w:lang w:val="en-US" w:eastAsia="zh-CN"/>
                    </w:rPr>
                  </w:pPr>
                  <w:r>
                    <w:rPr>
                      <w:rFonts w:hint="default" w:ascii="Times New Roman" w:hAnsi="Times New Roman" w:cs="Times New Roman"/>
                      <w:color w:val="FF0000"/>
                      <w:sz w:val="18"/>
                      <w:szCs w:val="18"/>
                      <w:highlight w:val="none"/>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5</w:t>
                  </w:r>
                </w:p>
              </w:tc>
              <w:tc>
                <w:tcPr>
                  <w:tcW w:w="48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DA005</w:t>
                  </w:r>
                </w:p>
              </w:tc>
              <w:tc>
                <w:tcPr>
                  <w:tcW w:w="52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彩色干粉砂浆</w:t>
                  </w:r>
                </w:p>
              </w:tc>
              <w:tc>
                <w:tcPr>
                  <w:tcW w:w="457" w:type="pct"/>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kern w:val="0"/>
                      <w:sz w:val="18"/>
                      <w:szCs w:val="18"/>
                      <w:highlight w:val="none"/>
                      <w:vertAlign w:val="baseline"/>
                      <w:lang w:val="en-US" w:eastAsia="zh-CN" w:bidi="ar-SA"/>
                    </w:rPr>
                  </w:pPr>
                  <w:r>
                    <w:rPr>
                      <w:rFonts w:hint="default" w:ascii="Times New Roman" w:hAnsi="Times New Roman" w:cs="Times New Roman"/>
                      <w:sz w:val="18"/>
                      <w:szCs w:val="18"/>
                      <w:highlight w:val="none"/>
                      <w:vertAlign w:val="baseline"/>
                      <w:lang w:val="en-US" w:eastAsia="zh-CN"/>
                    </w:rPr>
                    <w:t>颗粒物</w:t>
                  </w:r>
                </w:p>
              </w:tc>
              <w:tc>
                <w:tcPr>
                  <w:tcW w:w="40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p>
              </w:tc>
              <w:tc>
                <w:tcPr>
                  <w:tcW w:w="48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是</w:t>
                  </w:r>
                </w:p>
              </w:tc>
              <w:tc>
                <w:tcPr>
                  <w:tcW w:w="76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112.869358435</w:t>
                  </w:r>
                </w:p>
              </w:tc>
              <w:tc>
                <w:tcPr>
                  <w:tcW w:w="62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28.698119148</w:t>
                  </w:r>
                </w:p>
              </w:tc>
              <w:tc>
                <w:tcPr>
                  <w:tcW w:w="45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FF0000"/>
                      <w:sz w:val="18"/>
                      <w:szCs w:val="18"/>
                      <w:highlight w:val="none"/>
                      <w:lang w:val="en-US" w:eastAsia="zh-CN"/>
                    </w:rPr>
                  </w:pPr>
                  <w:r>
                    <w:rPr>
                      <w:rFonts w:hint="default" w:ascii="Times New Roman" w:hAnsi="Times New Roman" w:cs="Times New Roman"/>
                      <w:color w:val="FF0000"/>
                      <w:sz w:val="18"/>
                      <w:szCs w:val="18"/>
                      <w:highlight w:val="none"/>
                      <w:lang w:val="en-US" w:eastAsia="zh-CN"/>
                    </w:rPr>
                    <w:t>52</w:t>
                  </w:r>
                </w:p>
              </w:tc>
              <w:tc>
                <w:tcPr>
                  <w:tcW w:w="55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FF0000"/>
                      <w:sz w:val="18"/>
                      <w:szCs w:val="18"/>
                      <w:highlight w:val="none"/>
                      <w:lang w:val="en-US" w:eastAsia="zh-CN"/>
                    </w:rPr>
                  </w:pPr>
                  <w:r>
                    <w:rPr>
                      <w:rFonts w:hint="default" w:ascii="Times New Roman" w:hAnsi="Times New Roman" w:cs="Times New Roman"/>
                      <w:color w:val="FF0000"/>
                      <w:sz w:val="18"/>
                      <w:szCs w:val="18"/>
                      <w:highlight w:val="none"/>
                      <w:lang w:val="en-US" w:eastAsia="zh-CN"/>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4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6</w:t>
                  </w:r>
                </w:p>
              </w:tc>
              <w:tc>
                <w:tcPr>
                  <w:tcW w:w="48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DA006</w:t>
                  </w:r>
                </w:p>
              </w:tc>
              <w:tc>
                <w:tcPr>
                  <w:tcW w:w="52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特种砂浆排气筒</w:t>
                  </w:r>
                </w:p>
              </w:tc>
              <w:tc>
                <w:tcPr>
                  <w:tcW w:w="457" w:type="pct"/>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kern w:val="0"/>
                      <w:sz w:val="18"/>
                      <w:szCs w:val="18"/>
                      <w:highlight w:val="none"/>
                      <w:vertAlign w:val="baseline"/>
                      <w:lang w:val="en-US" w:eastAsia="zh-CN" w:bidi="ar-SA"/>
                    </w:rPr>
                  </w:pPr>
                  <w:r>
                    <w:rPr>
                      <w:rFonts w:hint="default" w:ascii="Times New Roman" w:hAnsi="Times New Roman" w:cs="Times New Roman"/>
                      <w:sz w:val="18"/>
                      <w:szCs w:val="18"/>
                      <w:highlight w:val="none"/>
                      <w:vertAlign w:val="baseline"/>
                      <w:lang w:val="en-US" w:eastAsia="zh-CN"/>
                    </w:rPr>
                    <w:t>颗粒物</w:t>
                  </w:r>
                </w:p>
              </w:tc>
              <w:tc>
                <w:tcPr>
                  <w:tcW w:w="409"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p>
              </w:tc>
              <w:tc>
                <w:tcPr>
                  <w:tcW w:w="48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是</w:t>
                  </w:r>
                </w:p>
              </w:tc>
              <w:tc>
                <w:tcPr>
                  <w:tcW w:w="76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112.869449630</w:t>
                  </w:r>
                </w:p>
              </w:tc>
              <w:tc>
                <w:tcPr>
                  <w:tcW w:w="625"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18"/>
                      <w:szCs w:val="18"/>
                      <w:highlight w:val="none"/>
                      <w:lang w:val="en-US" w:eastAsia="zh-CN"/>
                    </w:rPr>
                  </w:pPr>
                  <w:r>
                    <w:rPr>
                      <w:rFonts w:hint="default" w:ascii="Times New Roman" w:hAnsi="Times New Roman" w:cs="Times New Roman"/>
                      <w:sz w:val="18"/>
                      <w:szCs w:val="18"/>
                      <w:highlight w:val="none"/>
                      <w:lang w:val="en-US" w:eastAsia="zh-CN"/>
                    </w:rPr>
                    <w:t>28.698086962</w:t>
                  </w:r>
                </w:p>
              </w:tc>
              <w:tc>
                <w:tcPr>
                  <w:tcW w:w="45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FF0000"/>
                      <w:sz w:val="18"/>
                      <w:szCs w:val="18"/>
                      <w:highlight w:val="none"/>
                      <w:lang w:val="en-US" w:eastAsia="zh-CN"/>
                    </w:rPr>
                  </w:pPr>
                  <w:r>
                    <w:rPr>
                      <w:rFonts w:hint="default" w:ascii="Times New Roman" w:hAnsi="Times New Roman" w:cs="Times New Roman"/>
                      <w:color w:val="FF0000"/>
                      <w:sz w:val="18"/>
                      <w:szCs w:val="18"/>
                      <w:highlight w:val="none"/>
                      <w:lang w:val="en-US" w:eastAsia="zh-CN"/>
                    </w:rPr>
                    <w:t>52</w:t>
                  </w:r>
                </w:p>
              </w:tc>
              <w:tc>
                <w:tcPr>
                  <w:tcW w:w="556"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FF0000"/>
                      <w:sz w:val="18"/>
                      <w:szCs w:val="18"/>
                      <w:highlight w:val="none"/>
                      <w:lang w:val="en-US" w:eastAsia="zh-CN"/>
                    </w:rPr>
                  </w:pPr>
                  <w:r>
                    <w:rPr>
                      <w:rFonts w:hint="default" w:ascii="Times New Roman" w:hAnsi="Times New Roman" w:cs="Times New Roman"/>
                      <w:color w:val="FF0000"/>
                      <w:sz w:val="18"/>
                      <w:szCs w:val="18"/>
                      <w:highlight w:val="none"/>
                      <w:lang w:val="en-US" w:eastAsia="zh-CN"/>
                    </w:rPr>
                    <w:t>1.0</w:t>
                  </w:r>
                </w:p>
              </w:tc>
            </w:tr>
          </w:tbl>
          <w:p>
            <w:pPr>
              <w:keepNext w:val="0"/>
              <w:keepLines w:val="0"/>
              <w:pageBreakBefore w:val="0"/>
              <w:widowControl w:val="0"/>
              <w:kinsoku/>
              <w:wordWrap/>
              <w:overflowPunct/>
              <w:topLinePunct w:val="0"/>
              <w:autoSpaceDE w:val="0"/>
              <w:autoSpaceDN w:val="0"/>
              <w:bidi w:val="0"/>
              <w:adjustRightInd/>
              <w:snapToGrid/>
              <w:spacing w:before="0" w:after="0" w:line="360" w:lineRule="auto"/>
              <w:jc w:val="center"/>
              <w:textAlignment w:val="auto"/>
              <w:rPr>
                <w:rFonts w:hint="default" w:ascii="Times New Roman" w:hAnsi="Times New Roman" w:eastAsia="宋体" w:cs="Times New Roman"/>
                <w:kern w:val="0"/>
                <w:sz w:val="24"/>
                <w:szCs w:val="20"/>
                <w:lang w:val="en-US" w:eastAsia="zh-CN" w:bidi="ar-SA"/>
              </w:rPr>
            </w:pPr>
            <w:r>
              <w:rPr>
                <w:rFonts w:hint="default" w:ascii="Times New Roman" w:hAnsi="Times New Roman" w:eastAsia="宋体" w:cs="Times New Roman"/>
                <w:kern w:val="0"/>
                <w:sz w:val="24"/>
                <w:szCs w:val="20"/>
                <w:lang w:val="en-US" w:eastAsia="zh-CN" w:bidi="ar-SA"/>
              </w:rPr>
              <w:t>表4-1</w:t>
            </w:r>
            <w:r>
              <w:rPr>
                <w:rFonts w:hint="default" w:ascii="Times New Roman" w:hAnsi="Times New Roman" w:cs="Times New Roman"/>
                <w:kern w:val="0"/>
                <w:sz w:val="24"/>
                <w:szCs w:val="20"/>
                <w:lang w:val="en-US" w:eastAsia="zh-CN" w:bidi="ar-SA"/>
              </w:rPr>
              <w:t>3</w:t>
            </w:r>
            <w:r>
              <w:rPr>
                <w:rFonts w:hint="default" w:ascii="Times New Roman" w:hAnsi="Times New Roman" w:eastAsia="宋体" w:cs="Times New Roman"/>
                <w:kern w:val="0"/>
                <w:sz w:val="24"/>
                <w:szCs w:val="20"/>
                <w:lang w:val="en-US" w:eastAsia="zh-CN" w:bidi="ar-SA"/>
              </w:rPr>
              <w:t xml:space="preserve"> 大气污染物有组织排放量核算表</w:t>
            </w:r>
          </w:p>
          <w:tbl>
            <w:tblPr>
              <w:tblStyle w:val="21"/>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135"/>
              <w:gridCol w:w="1651"/>
              <w:gridCol w:w="1146"/>
              <w:gridCol w:w="1601"/>
              <w:gridCol w:w="1471"/>
              <w:gridCol w:w="1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659" w:type="pc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序号</w:t>
                  </w:r>
                </w:p>
              </w:tc>
              <w:tc>
                <w:tcPr>
                  <w:tcW w:w="958" w:type="pc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排放口编号</w:t>
                  </w:r>
                </w:p>
              </w:tc>
              <w:tc>
                <w:tcPr>
                  <w:tcW w:w="663" w:type="pc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污染物</w:t>
                  </w:r>
                </w:p>
              </w:tc>
              <w:tc>
                <w:tcPr>
                  <w:tcW w:w="929" w:type="pc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核算排放浓度/（mg/m</w:t>
                  </w:r>
                  <w:r>
                    <w:rPr>
                      <w:rFonts w:hint="default" w:ascii="Times New Roman" w:hAnsi="Times New Roman" w:eastAsia="宋体" w:cs="Times New Roman"/>
                      <w:i w:val="0"/>
                      <w:iCs w:val="0"/>
                      <w:color w:val="000000"/>
                      <w:kern w:val="0"/>
                      <w:sz w:val="21"/>
                      <w:szCs w:val="21"/>
                      <w:u w:val="none"/>
                      <w:vertAlign w:val="super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w:t>
                  </w:r>
                </w:p>
              </w:tc>
              <w:tc>
                <w:tcPr>
                  <w:tcW w:w="853" w:type="pc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核算排放速率/（kg/h）</w:t>
                  </w:r>
                </w:p>
              </w:tc>
              <w:tc>
                <w:tcPr>
                  <w:tcW w:w="933" w:type="pc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核算年排放量/（t/a）</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5000" w:type="pct"/>
                  <w:gridSpan w:val="6"/>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一般排放口</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659" w:type="pct"/>
                  <w:vMerge w:val="restar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958" w:type="pct"/>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DA001</w:t>
                  </w:r>
                </w:p>
              </w:tc>
              <w:tc>
                <w:tcPr>
                  <w:tcW w:w="663" w:type="pc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颗粒物</w:t>
                  </w:r>
                </w:p>
              </w:tc>
              <w:tc>
                <w:tcPr>
                  <w:tcW w:w="929" w:type="pc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none"/>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 xml:space="preserve">0.43 </w:t>
                  </w:r>
                </w:p>
              </w:tc>
              <w:tc>
                <w:tcPr>
                  <w:tcW w:w="853" w:type="pct"/>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none"/>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 xml:space="preserve">0.04 </w:t>
                  </w:r>
                </w:p>
              </w:tc>
              <w:tc>
                <w:tcPr>
                  <w:tcW w:w="933" w:type="pct"/>
                  <w:tcBorders>
                    <w:top w:val="single" w:color="000000" w:sz="8" w:space="0"/>
                    <w:left w:val="single" w:color="000000" w:sz="8" w:space="0"/>
                    <w:bottom w:val="single" w:color="000000" w:sz="8" w:space="0"/>
                    <w:right w:val="single" w:color="000000" w:sz="8" w:space="0"/>
                  </w:tcBorders>
                  <w:shd w:val="clear" w:color="auto" w:fill="auto"/>
                  <w:vAlign w:val="center"/>
                </w:tcPr>
                <w:p>
                  <w:pPr>
                    <w:pStyle w:val="33"/>
                    <w:ind w:right="0" w:rightChars="0" w:firstLine="0" w:firstLineChars="0"/>
                    <w:rPr>
                      <w:rFonts w:hint="default" w:ascii="Times New Roman" w:hAnsi="Times New Roman" w:eastAsia="宋体" w:cs="Times New Roman"/>
                      <w:kern w:val="2"/>
                      <w:sz w:val="21"/>
                      <w:szCs w:val="24"/>
                      <w:lang w:val="en-US" w:eastAsia="zh-CN" w:bidi="ar-SA"/>
                    </w:rPr>
                  </w:pPr>
                  <w:r>
                    <w:rPr>
                      <w:rFonts w:hint="default" w:ascii="Times New Roman" w:hAnsi="Times New Roman" w:cs="Times New Roman"/>
                      <w:lang w:val="en-US" w:eastAsia="zh-CN"/>
                    </w:rPr>
                    <w:t>0.21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659" w:type="pct"/>
                  <w:vMerge w:val="continue"/>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958"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66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二氧化硫</w:t>
                  </w:r>
                </w:p>
              </w:tc>
              <w:tc>
                <w:tcPr>
                  <w:tcW w:w="929"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none"/>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1.56</w:t>
                  </w:r>
                </w:p>
              </w:tc>
              <w:tc>
                <w:tcPr>
                  <w:tcW w:w="85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none"/>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 xml:space="preserve">0.15 </w:t>
                  </w:r>
                </w:p>
              </w:tc>
              <w:tc>
                <w:tcPr>
                  <w:tcW w:w="933" w:type="pct"/>
                  <w:tcBorders>
                    <w:top w:val="nil"/>
                    <w:left w:val="single" w:color="000000" w:sz="8" w:space="0"/>
                    <w:bottom w:val="single" w:color="000000" w:sz="8" w:space="0"/>
                    <w:right w:val="single" w:color="000000" w:sz="8" w:space="0"/>
                  </w:tcBorders>
                  <w:shd w:val="clear" w:color="auto" w:fill="auto"/>
                  <w:vAlign w:val="center"/>
                </w:tcPr>
                <w:p>
                  <w:pPr>
                    <w:pStyle w:val="33"/>
                    <w:ind w:right="0" w:rightChars="0" w:firstLine="0" w:firstLineChars="0"/>
                    <w:rPr>
                      <w:rFonts w:hint="default" w:ascii="Times New Roman" w:hAnsi="Times New Roman" w:eastAsia="宋体" w:cs="Times New Roman"/>
                      <w:kern w:val="2"/>
                      <w:sz w:val="21"/>
                      <w:szCs w:val="24"/>
                      <w:lang w:val="en-US" w:eastAsia="zh-CN" w:bidi="ar-SA"/>
                    </w:rPr>
                  </w:pPr>
                  <w:r>
                    <w:rPr>
                      <w:rFonts w:hint="default" w:ascii="Times New Roman" w:hAnsi="Times New Roman" w:cs="Times New Roman"/>
                      <w:lang w:val="en-US" w:eastAsia="zh-CN"/>
                    </w:rPr>
                    <w:t>0.76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659" w:type="pct"/>
                  <w:vMerge w:val="continue"/>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958" w:type="pct"/>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66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氮氧化物</w:t>
                  </w:r>
                </w:p>
              </w:tc>
              <w:tc>
                <w:tcPr>
                  <w:tcW w:w="929"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none"/>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 xml:space="preserve">8.89 </w:t>
                  </w:r>
                </w:p>
              </w:tc>
              <w:tc>
                <w:tcPr>
                  <w:tcW w:w="85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FF0000"/>
                      <w:kern w:val="2"/>
                      <w:sz w:val="21"/>
                      <w:szCs w:val="21"/>
                      <w:u w:val="none"/>
                      <w:lang w:val="en-US" w:eastAsia="zh-CN" w:bidi="ar-SA"/>
                    </w:rPr>
                  </w:pPr>
                  <w:r>
                    <w:rPr>
                      <w:rFonts w:hint="default" w:ascii="Times New Roman" w:hAnsi="Times New Roman" w:eastAsia="宋体" w:cs="Times New Roman"/>
                      <w:i w:val="0"/>
                      <w:iCs w:val="0"/>
                      <w:color w:val="FF0000"/>
                      <w:kern w:val="0"/>
                      <w:sz w:val="21"/>
                      <w:szCs w:val="21"/>
                      <w:u w:val="none"/>
                      <w:lang w:val="en-US" w:eastAsia="zh-CN" w:bidi="ar"/>
                    </w:rPr>
                    <w:t xml:space="preserve">0.85 </w:t>
                  </w:r>
                </w:p>
              </w:tc>
              <w:tc>
                <w:tcPr>
                  <w:tcW w:w="933" w:type="pct"/>
                  <w:tcBorders>
                    <w:top w:val="nil"/>
                    <w:left w:val="single" w:color="000000" w:sz="8" w:space="0"/>
                    <w:bottom w:val="single" w:color="000000" w:sz="8" w:space="0"/>
                    <w:right w:val="single" w:color="000000" w:sz="8" w:space="0"/>
                  </w:tcBorders>
                  <w:shd w:val="clear" w:color="auto" w:fill="auto"/>
                  <w:vAlign w:val="center"/>
                </w:tcPr>
                <w:p>
                  <w:pPr>
                    <w:pStyle w:val="33"/>
                    <w:ind w:right="0" w:rightChars="0" w:firstLine="0" w:firstLineChars="0"/>
                    <w:rPr>
                      <w:rFonts w:hint="default" w:ascii="Times New Roman" w:hAnsi="Times New Roman" w:eastAsia="宋体" w:cs="Times New Roman"/>
                      <w:kern w:val="2"/>
                      <w:sz w:val="21"/>
                      <w:szCs w:val="24"/>
                      <w:lang w:val="en-US" w:eastAsia="zh-CN" w:bidi="ar-SA"/>
                    </w:rPr>
                  </w:pPr>
                  <w:r>
                    <w:rPr>
                      <w:rFonts w:hint="default" w:ascii="Times New Roman" w:hAnsi="Times New Roman" w:cs="Times New Roman"/>
                      <w:lang w:val="en-US" w:eastAsia="zh-CN"/>
                    </w:rPr>
                    <w:t xml:space="preserve">4.27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659"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95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DA002</w:t>
                  </w:r>
                </w:p>
              </w:tc>
              <w:tc>
                <w:tcPr>
                  <w:tcW w:w="66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颗粒物</w:t>
                  </w:r>
                </w:p>
              </w:tc>
              <w:tc>
                <w:tcPr>
                  <w:tcW w:w="929"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cs="Times New Roman"/>
                      <w:i w:val="0"/>
                      <w:iCs w:val="0"/>
                      <w:color w:val="000000"/>
                      <w:kern w:val="0"/>
                      <w:sz w:val="21"/>
                      <w:szCs w:val="21"/>
                      <w:u w:val="none"/>
                      <w:lang w:val="en-US" w:eastAsia="zh-CN" w:bidi="ar"/>
                    </w:rPr>
                    <w:t>20.3</w:t>
                  </w:r>
                </w:p>
              </w:tc>
              <w:tc>
                <w:tcPr>
                  <w:tcW w:w="85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cs="Times New Roman"/>
                      <w:i w:val="0"/>
                      <w:iCs w:val="0"/>
                      <w:color w:val="000000"/>
                      <w:kern w:val="0"/>
                      <w:sz w:val="21"/>
                      <w:szCs w:val="21"/>
                      <w:u w:val="none"/>
                      <w:lang w:val="en-US" w:eastAsia="zh-CN" w:bidi="ar"/>
                    </w:rPr>
                    <w:t>0.81</w:t>
                  </w:r>
                </w:p>
              </w:tc>
              <w:tc>
                <w:tcPr>
                  <w:tcW w:w="93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cs="Times New Roman"/>
                      <w:i w:val="0"/>
                      <w:iCs w:val="0"/>
                      <w:color w:val="000000"/>
                      <w:kern w:val="0"/>
                      <w:sz w:val="21"/>
                      <w:szCs w:val="21"/>
                      <w:u w:val="none"/>
                      <w:lang w:val="en-US" w:eastAsia="zh-CN" w:bidi="ar"/>
                    </w:rPr>
                    <w:t>4.06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659"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95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DA003</w:t>
                  </w:r>
                </w:p>
              </w:tc>
              <w:tc>
                <w:tcPr>
                  <w:tcW w:w="66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颗粒物</w:t>
                  </w:r>
                </w:p>
              </w:tc>
              <w:tc>
                <w:tcPr>
                  <w:tcW w:w="929"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17.14</w:t>
                  </w:r>
                </w:p>
              </w:tc>
              <w:tc>
                <w:tcPr>
                  <w:tcW w:w="85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0.96</w:t>
                  </w:r>
                </w:p>
              </w:tc>
              <w:tc>
                <w:tcPr>
                  <w:tcW w:w="93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659"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95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DA004</w:t>
                  </w:r>
                </w:p>
              </w:tc>
              <w:tc>
                <w:tcPr>
                  <w:tcW w:w="66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颗粒物</w:t>
                  </w:r>
                </w:p>
              </w:tc>
              <w:tc>
                <w:tcPr>
                  <w:tcW w:w="929"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8.8</w:t>
                  </w:r>
                  <w:r>
                    <w:rPr>
                      <w:rFonts w:hint="default" w:ascii="Times New Roman" w:hAnsi="Times New Roman" w:cs="Times New Roman"/>
                      <w:i w:val="0"/>
                      <w:iCs w:val="0"/>
                      <w:color w:val="000000"/>
                      <w:kern w:val="0"/>
                      <w:sz w:val="21"/>
                      <w:szCs w:val="21"/>
                      <w:u w:val="none"/>
                      <w:lang w:val="en-US" w:eastAsia="zh-CN" w:bidi="ar"/>
                    </w:rPr>
                    <w:t>9</w:t>
                  </w:r>
                </w:p>
              </w:tc>
              <w:tc>
                <w:tcPr>
                  <w:tcW w:w="85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0.2</w:t>
                  </w:r>
                  <w:r>
                    <w:rPr>
                      <w:rFonts w:hint="default" w:ascii="Times New Roman" w:hAnsi="Times New Roman" w:cs="Times New Roman"/>
                      <w:i w:val="0"/>
                      <w:iCs w:val="0"/>
                      <w:color w:val="000000"/>
                      <w:kern w:val="0"/>
                      <w:sz w:val="21"/>
                      <w:szCs w:val="21"/>
                      <w:u w:val="none"/>
                      <w:lang w:val="en-US" w:eastAsia="zh-CN" w:bidi="ar"/>
                    </w:rPr>
                    <w:t>7</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93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659"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95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DA005</w:t>
                  </w:r>
                </w:p>
              </w:tc>
              <w:tc>
                <w:tcPr>
                  <w:tcW w:w="66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颗粒物</w:t>
                  </w:r>
                </w:p>
              </w:tc>
              <w:tc>
                <w:tcPr>
                  <w:tcW w:w="929"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1.09</w:t>
                  </w:r>
                </w:p>
              </w:tc>
              <w:tc>
                <w:tcPr>
                  <w:tcW w:w="85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0.03</w:t>
                  </w:r>
                </w:p>
              </w:tc>
              <w:tc>
                <w:tcPr>
                  <w:tcW w:w="93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659"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958"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DA006</w:t>
                  </w:r>
                </w:p>
              </w:tc>
              <w:tc>
                <w:tcPr>
                  <w:tcW w:w="66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颗粒物</w:t>
                  </w:r>
                </w:p>
              </w:tc>
              <w:tc>
                <w:tcPr>
                  <w:tcW w:w="929"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2.27</w:t>
                  </w:r>
                </w:p>
              </w:tc>
              <w:tc>
                <w:tcPr>
                  <w:tcW w:w="85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0.0</w:t>
                  </w:r>
                  <w:r>
                    <w:rPr>
                      <w:rFonts w:hint="default" w:ascii="Times New Roman" w:hAnsi="Times New Roman" w:cs="Times New Roman"/>
                      <w:i w:val="0"/>
                      <w:iCs w:val="0"/>
                      <w:color w:val="000000"/>
                      <w:kern w:val="0"/>
                      <w:sz w:val="21"/>
                      <w:szCs w:val="21"/>
                      <w:u w:val="none"/>
                      <w:lang w:val="en-US" w:eastAsia="zh-CN" w:bidi="ar"/>
                    </w:rPr>
                    <w:t>7</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93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0.34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2282" w:type="pct"/>
                  <w:gridSpan w:val="3"/>
                  <w:vMerge w:val="restar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一般排放口合计</w:t>
                  </w:r>
                </w:p>
              </w:tc>
              <w:tc>
                <w:tcPr>
                  <w:tcW w:w="1783" w:type="pct"/>
                  <w:gridSpan w:val="2"/>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二氧化硫</w:t>
                  </w:r>
                </w:p>
              </w:tc>
              <w:tc>
                <w:tcPr>
                  <w:tcW w:w="93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0.</w:t>
                  </w:r>
                  <w:r>
                    <w:rPr>
                      <w:rFonts w:hint="default" w:ascii="Times New Roman" w:hAnsi="Times New Roman" w:cs="Times New Roman"/>
                      <w:i w:val="0"/>
                      <w:iCs w:val="0"/>
                      <w:color w:val="000000"/>
                      <w:kern w:val="0"/>
                      <w:sz w:val="21"/>
                      <w:szCs w:val="21"/>
                      <w:u w:val="none"/>
                      <w:lang w:val="en-US" w:eastAsia="zh-CN" w:bidi="ar"/>
                    </w:rPr>
                    <w:t>76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2282" w:type="pct"/>
                  <w:gridSpan w:val="3"/>
                  <w:vMerge w:val="continue"/>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783" w:type="pct"/>
                  <w:gridSpan w:val="2"/>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氮氧化物</w:t>
                  </w:r>
                </w:p>
              </w:tc>
              <w:tc>
                <w:tcPr>
                  <w:tcW w:w="93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eastAsia="宋体" w:cs="Times New Roman"/>
                      <w:i w:val="0"/>
                      <w:iCs w:val="0"/>
                      <w:color w:val="000000"/>
                      <w:kern w:val="0"/>
                      <w:sz w:val="21"/>
                      <w:szCs w:val="21"/>
                      <w:u w:val="none"/>
                      <w:lang w:val="en-US" w:eastAsia="zh-CN" w:bidi="ar"/>
                    </w:rPr>
                    <w:t>4.2</w:t>
                  </w:r>
                  <w:r>
                    <w:rPr>
                      <w:rFonts w:hint="default" w:ascii="Times New Roman" w:hAnsi="Times New Roman" w:cs="Times New Roman"/>
                      <w:i w:val="0"/>
                      <w:iCs w:val="0"/>
                      <w:color w:val="000000"/>
                      <w:kern w:val="0"/>
                      <w:sz w:val="21"/>
                      <w:szCs w:val="21"/>
                      <w:u w:val="none"/>
                      <w:lang w:val="en-US" w:eastAsia="zh-CN" w:bidi="ar"/>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2282" w:type="pct"/>
                  <w:gridSpan w:val="3"/>
                  <w:vMerge w:val="continue"/>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783" w:type="pct"/>
                  <w:gridSpan w:val="2"/>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颗粒物</w:t>
                  </w:r>
                </w:p>
              </w:tc>
              <w:tc>
                <w:tcPr>
                  <w:tcW w:w="93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cs="Times New Roman"/>
                      <w:i w:val="0"/>
                      <w:iCs w:val="0"/>
                      <w:color w:val="000000"/>
                      <w:kern w:val="0"/>
                      <w:sz w:val="21"/>
                      <w:szCs w:val="21"/>
                      <w:u w:val="none"/>
                      <w:lang w:val="en-US" w:eastAsia="zh-CN" w:bidi="ar"/>
                    </w:rPr>
                    <w:t>10.9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5000" w:type="pct"/>
                  <w:gridSpan w:val="6"/>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有组织排放总计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 w:hRule="atLeast"/>
              </w:trPr>
              <w:tc>
                <w:tcPr>
                  <w:tcW w:w="2282" w:type="pct"/>
                  <w:gridSpan w:val="3"/>
                  <w:vMerge w:val="restar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有组织排放总计</w:t>
                  </w:r>
                </w:p>
              </w:tc>
              <w:tc>
                <w:tcPr>
                  <w:tcW w:w="1783" w:type="pct"/>
                  <w:gridSpan w:val="2"/>
                  <w:tcBorders>
                    <w:top w:val="single" w:color="000000" w:sz="8" w:space="0"/>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二氧化硫</w:t>
                  </w:r>
                </w:p>
              </w:tc>
              <w:tc>
                <w:tcPr>
                  <w:tcW w:w="93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0.</w:t>
                  </w:r>
                  <w:r>
                    <w:rPr>
                      <w:rFonts w:hint="default" w:ascii="Times New Roman" w:hAnsi="Times New Roman" w:cs="Times New Roman"/>
                      <w:i w:val="0"/>
                      <w:iCs w:val="0"/>
                      <w:color w:val="000000"/>
                      <w:kern w:val="0"/>
                      <w:sz w:val="21"/>
                      <w:szCs w:val="21"/>
                      <w:u w:val="none"/>
                      <w:lang w:val="en-US" w:eastAsia="zh-CN" w:bidi="ar"/>
                    </w:rPr>
                    <w:t>76</w:t>
                  </w:r>
                  <w:r>
                    <w:rPr>
                      <w:rFonts w:hint="default" w:ascii="Times New Roman" w:hAnsi="Times New Roman" w:eastAsia="宋体" w:cs="Times New Roman"/>
                      <w:i w:val="0"/>
                      <w:iCs w:val="0"/>
                      <w:color w:val="000000"/>
                      <w:kern w:val="0"/>
                      <w:sz w:val="21"/>
                      <w:szCs w:val="21"/>
                      <w:u w:val="none"/>
                      <w:lang w:val="en-US" w:eastAsia="zh-CN" w:bidi="ar"/>
                    </w:rPr>
                    <w:t xml:space="preserve">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2282" w:type="pct"/>
                  <w:gridSpan w:val="3"/>
                  <w:vMerge w:val="continue"/>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783" w:type="pct"/>
                  <w:gridSpan w:val="2"/>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氮氧化物</w:t>
                  </w:r>
                </w:p>
              </w:tc>
              <w:tc>
                <w:tcPr>
                  <w:tcW w:w="93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4.2</w:t>
                  </w:r>
                  <w:r>
                    <w:rPr>
                      <w:rFonts w:hint="default" w:ascii="Times New Roman" w:hAnsi="Times New Roman" w:cs="Times New Roman"/>
                      <w:i w:val="0"/>
                      <w:iCs w:val="0"/>
                      <w:color w:val="000000"/>
                      <w:kern w:val="0"/>
                      <w:sz w:val="21"/>
                      <w:szCs w:val="21"/>
                      <w:u w:val="none"/>
                      <w:lang w:val="en-US" w:eastAsia="zh-CN" w:bidi="ar"/>
                    </w:rPr>
                    <w:t>7</w:t>
                  </w:r>
                  <w:r>
                    <w:rPr>
                      <w:rFonts w:hint="default" w:ascii="Times New Roman" w:hAnsi="Times New Roman" w:eastAsia="宋体" w:cs="Times New Roman"/>
                      <w:i w:val="0"/>
                      <w:iCs w:val="0"/>
                      <w:color w:val="000000"/>
                      <w:kern w:val="0"/>
                      <w:sz w:val="21"/>
                      <w:szCs w:val="21"/>
                      <w:u w:val="none"/>
                      <w:lang w:val="en-US" w:eastAsia="zh-CN" w:bidi="ar"/>
                    </w:rPr>
                    <w:t xml:space="preserve">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2282" w:type="pct"/>
                  <w:gridSpan w:val="3"/>
                  <w:vMerge w:val="continue"/>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1783" w:type="pct"/>
                  <w:gridSpan w:val="2"/>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颗粒物</w:t>
                  </w:r>
                </w:p>
              </w:tc>
              <w:tc>
                <w:tcPr>
                  <w:tcW w:w="933" w:type="pct"/>
                  <w:tcBorders>
                    <w:top w:val="nil"/>
                    <w:left w:val="single" w:color="000000" w:sz="8" w:space="0"/>
                    <w:bottom w:val="single" w:color="000000" w:sz="8" w:space="0"/>
                    <w:right w:val="single" w:color="000000" w:sz="8"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lang w:val="en-US"/>
                    </w:rPr>
                  </w:pPr>
                  <w:r>
                    <w:rPr>
                      <w:rFonts w:hint="default" w:ascii="Times New Roman" w:hAnsi="Times New Roman" w:cs="Times New Roman"/>
                      <w:i w:val="0"/>
                      <w:iCs w:val="0"/>
                      <w:color w:val="000000"/>
                      <w:kern w:val="0"/>
                      <w:sz w:val="21"/>
                      <w:szCs w:val="21"/>
                      <w:u w:val="none"/>
                      <w:lang w:val="en-US" w:eastAsia="zh-CN" w:bidi="ar"/>
                    </w:rPr>
                    <w:t>10.9</w:t>
                  </w:r>
                </w:p>
              </w:tc>
            </w:tr>
          </w:tbl>
          <w:p>
            <w:pPr>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2、无组织废气排放情况量核算</w:t>
            </w:r>
          </w:p>
          <w:p>
            <w:pPr>
              <w:keepNext w:val="0"/>
              <w:keepLines w:val="0"/>
              <w:pageBreakBefore w:val="0"/>
              <w:widowControl w:val="0"/>
              <w:kinsoku/>
              <w:wordWrap/>
              <w:overflowPunct/>
              <w:topLinePunct w:val="0"/>
              <w:autoSpaceDE w:val="0"/>
              <w:autoSpaceDN w:val="0"/>
              <w:bidi w:val="0"/>
              <w:adjustRightInd/>
              <w:snapToGrid/>
              <w:spacing w:before="0" w:after="0" w:line="360" w:lineRule="auto"/>
              <w:jc w:val="center"/>
              <w:textAlignment w:val="auto"/>
              <w:rPr>
                <w:rFonts w:hint="default" w:ascii="Times New Roman" w:hAnsi="Times New Roman" w:eastAsia="宋体" w:cs="Times New Roman"/>
                <w:kern w:val="0"/>
                <w:sz w:val="24"/>
                <w:szCs w:val="20"/>
                <w:lang w:val="en-US" w:eastAsia="zh-CN" w:bidi="ar-SA"/>
              </w:rPr>
            </w:pPr>
            <w:r>
              <w:rPr>
                <w:rFonts w:hint="default" w:ascii="Times New Roman" w:hAnsi="Times New Roman" w:eastAsia="宋体" w:cs="Times New Roman"/>
                <w:kern w:val="0"/>
                <w:sz w:val="24"/>
                <w:szCs w:val="20"/>
                <w:lang w:val="en-US" w:eastAsia="zh-CN" w:bidi="ar-SA"/>
              </w:rPr>
              <w:t>表4-1</w:t>
            </w:r>
            <w:r>
              <w:rPr>
                <w:rFonts w:hint="default" w:ascii="Times New Roman" w:hAnsi="Times New Roman" w:cs="Times New Roman"/>
                <w:kern w:val="0"/>
                <w:sz w:val="24"/>
                <w:szCs w:val="20"/>
                <w:lang w:val="en-US" w:eastAsia="zh-CN" w:bidi="ar-SA"/>
              </w:rPr>
              <w:t>4</w:t>
            </w:r>
            <w:r>
              <w:rPr>
                <w:rFonts w:hint="default" w:ascii="Times New Roman" w:hAnsi="Times New Roman" w:eastAsia="宋体" w:cs="Times New Roman"/>
                <w:kern w:val="0"/>
                <w:sz w:val="24"/>
                <w:szCs w:val="20"/>
                <w:lang w:val="en-US" w:eastAsia="zh-CN" w:bidi="ar-SA"/>
              </w:rPr>
              <w:t xml:space="preserve"> 大气污染物无组织排放量核算表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1"/>
              <w:gridCol w:w="665"/>
              <w:gridCol w:w="980"/>
              <w:gridCol w:w="1648"/>
              <w:gridCol w:w="2535"/>
              <w:gridCol w:w="1312"/>
              <w:gridCol w:w="9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7" w:type="pct"/>
                  <w:vMerge w:val="restart"/>
                  <w:tcBorders>
                    <w:bottom w:val="single" w:color="auto" w:sz="4" w:space="0"/>
                    <w:right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序号</w:t>
                  </w:r>
                </w:p>
              </w:tc>
              <w:tc>
                <w:tcPr>
                  <w:tcW w:w="386" w:type="pct"/>
                  <w:vMerge w:val="restart"/>
                  <w:tcBorders>
                    <w:left w:val="single" w:color="auto" w:sz="4" w:space="0"/>
                    <w:bottom w:val="single" w:color="auto" w:sz="4" w:space="0"/>
                    <w:right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产污环节</w:t>
                  </w:r>
                </w:p>
              </w:tc>
              <w:tc>
                <w:tcPr>
                  <w:tcW w:w="569" w:type="pct"/>
                  <w:vMerge w:val="restart"/>
                  <w:tcBorders>
                    <w:left w:val="single" w:color="auto" w:sz="4" w:space="0"/>
                    <w:bottom w:val="single" w:color="auto" w:sz="4" w:space="0"/>
                    <w:right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污染物</w:t>
                  </w:r>
                </w:p>
              </w:tc>
              <w:tc>
                <w:tcPr>
                  <w:tcW w:w="957" w:type="pct"/>
                  <w:vMerge w:val="restart"/>
                  <w:tcBorders>
                    <w:left w:val="single" w:color="auto" w:sz="4" w:space="0"/>
                    <w:bottom w:val="single" w:color="auto" w:sz="4" w:space="0"/>
                    <w:right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主要污染防治措施</w:t>
                  </w:r>
                </w:p>
              </w:tc>
              <w:tc>
                <w:tcPr>
                  <w:tcW w:w="2234" w:type="pct"/>
                  <w:gridSpan w:val="2"/>
                  <w:tcBorders>
                    <w:left w:val="single" w:color="auto" w:sz="4" w:space="0"/>
                    <w:bottom w:val="single" w:color="auto" w:sz="4" w:space="0"/>
                    <w:right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国家或地方污染物排放标准</w:t>
                  </w:r>
                </w:p>
              </w:tc>
              <w:tc>
                <w:tcPr>
                  <w:tcW w:w="554" w:type="pct"/>
                  <w:vMerge w:val="restart"/>
                  <w:tcBorders>
                    <w:left w:val="single" w:color="auto" w:sz="4" w:space="0"/>
                    <w:bottom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年排放量/</w:t>
                  </w:r>
                  <w:r>
                    <w:rPr>
                      <w:rFonts w:hint="default" w:ascii="Times New Roman" w:hAnsi="Times New Roman" w:cs="Times New Roman"/>
                      <w:sz w:val="21"/>
                      <w:szCs w:val="21"/>
                      <w:lang w:eastAsia="zh-CN"/>
                    </w:rPr>
                    <w:t>（</w:t>
                  </w:r>
                  <w:r>
                    <w:rPr>
                      <w:rFonts w:hint="default" w:ascii="Times New Roman" w:hAnsi="Times New Roman" w:eastAsia="宋体" w:cs="Times New Roman"/>
                      <w:sz w:val="21"/>
                      <w:szCs w:val="21"/>
                    </w:rPr>
                    <w:t>t/a</w:t>
                  </w:r>
                  <w:r>
                    <w:rPr>
                      <w:rFonts w:hint="default" w:ascii="Times New Roman" w:hAnsi="Times New Roman" w:cs="Times New Roman"/>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7" w:type="pct"/>
                  <w:vMerge w:val="continue"/>
                  <w:tcBorders>
                    <w:top w:val="single" w:color="auto" w:sz="12" w:space="0"/>
                    <w:bottom w:val="single" w:color="auto" w:sz="4" w:space="0"/>
                    <w:right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rPr>
                  </w:pPr>
                </w:p>
              </w:tc>
              <w:tc>
                <w:tcPr>
                  <w:tcW w:w="386" w:type="pct"/>
                  <w:vMerge w:val="continue"/>
                  <w:tcBorders>
                    <w:top w:val="single" w:color="auto" w:sz="12" w:space="0"/>
                    <w:left w:val="single" w:color="auto" w:sz="4" w:space="0"/>
                    <w:bottom w:val="single" w:color="auto" w:sz="4" w:space="0"/>
                    <w:right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rPr>
                  </w:pPr>
                </w:p>
              </w:tc>
              <w:tc>
                <w:tcPr>
                  <w:tcW w:w="569" w:type="pct"/>
                  <w:vMerge w:val="continue"/>
                  <w:tcBorders>
                    <w:top w:val="single" w:color="auto" w:sz="12" w:space="0"/>
                    <w:left w:val="single" w:color="auto" w:sz="4" w:space="0"/>
                    <w:bottom w:val="single" w:color="auto" w:sz="4" w:space="0"/>
                    <w:right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rPr>
                  </w:pPr>
                </w:p>
              </w:tc>
              <w:tc>
                <w:tcPr>
                  <w:tcW w:w="957" w:type="pct"/>
                  <w:vMerge w:val="continue"/>
                  <w:tcBorders>
                    <w:top w:val="single" w:color="auto" w:sz="12" w:space="0"/>
                    <w:left w:val="single" w:color="auto" w:sz="4" w:space="0"/>
                    <w:bottom w:val="single" w:color="auto" w:sz="4" w:space="0"/>
                    <w:right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rPr>
                  </w:pPr>
                </w:p>
              </w:tc>
              <w:tc>
                <w:tcPr>
                  <w:tcW w:w="1472" w:type="pct"/>
                  <w:tcBorders>
                    <w:top w:val="single" w:color="auto" w:sz="4" w:space="0"/>
                    <w:left w:val="single" w:color="auto" w:sz="4" w:space="0"/>
                    <w:bottom w:val="single" w:color="auto" w:sz="4" w:space="0"/>
                    <w:right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标准名称</w:t>
                  </w:r>
                </w:p>
              </w:tc>
              <w:tc>
                <w:tcPr>
                  <w:tcW w:w="761" w:type="pct"/>
                  <w:tcBorders>
                    <w:top w:val="single" w:color="auto" w:sz="4" w:space="0"/>
                    <w:left w:val="single" w:color="auto" w:sz="4" w:space="0"/>
                    <w:bottom w:val="single" w:color="auto" w:sz="4" w:space="0"/>
                    <w:right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浓度限值/</w:t>
                  </w:r>
                  <w:r>
                    <w:rPr>
                      <w:rFonts w:hint="default" w:ascii="Times New Roman" w:hAnsi="Times New Roman" w:cs="Times New Roman"/>
                      <w:sz w:val="21"/>
                      <w:szCs w:val="21"/>
                      <w:lang w:eastAsia="zh-CN"/>
                    </w:rPr>
                    <w:t>（</w:t>
                  </w:r>
                  <w:r>
                    <w:rPr>
                      <w:rFonts w:hint="default" w:ascii="Times New Roman" w:hAnsi="Times New Roman" w:eastAsia="宋体" w:cs="Times New Roman"/>
                      <w:sz w:val="21"/>
                      <w:szCs w:val="21"/>
                    </w:rPr>
                    <w:t>mg/m</w:t>
                  </w:r>
                  <w:r>
                    <w:rPr>
                      <w:rFonts w:hint="default" w:ascii="Times New Roman" w:hAnsi="Times New Roman" w:eastAsia="宋体" w:cs="Times New Roman"/>
                      <w:sz w:val="21"/>
                      <w:szCs w:val="21"/>
                      <w:vertAlign w:val="superscript"/>
                    </w:rPr>
                    <w:t>3</w:t>
                  </w:r>
                  <w:r>
                    <w:rPr>
                      <w:rFonts w:hint="default" w:ascii="Times New Roman" w:hAnsi="Times New Roman" w:cs="Times New Roman"/>
                      <w:sz w:val="21"/>
                      <w:szCs w:val="21"/>
                      <w:lang w:eastAsia="zh-CN"/>
                    </w:rPr>
                    <w:t>）</w:t>
                  </w:r>
                </w:p>
              </w:tc>
              <w:tc>
                <w:tcPr>
                  <w:tcW w:w="554" w:type="pct"/>
                  <w:vMerge w:val="continue"/>
                  <w:tcBorders>
                    <w:top w:val="single" w:color="auto" w:sz="12" w:space="0"/>
                    <w:left w:val="single" w:color="auto" w:sz="4" w:space="0"/>
                    <w:bottom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7" w:type="pct"/>
                  <w:tcBorders>
                    <w:top w:val="single" w:color="auto" w:sz="4" w:space="0"/>
                    <w:right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386" w:type="pct"/>
                  <w:tcBorders>
                    <w:top w:val="single" w:color="auto" w:sz="4" w:space="0"/>
                    <w:left w:val="single" w:color="auto" w:sz="4" w:space="0"/>
                    <w:right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生产车间</w:t>
                  </w:r>
                </w:p>
              </w:tc>
              <w:tc>
                <w:tcPr>
                  <w:tcW w:w="569" w:type="pct"/>
                  <w:tcBorders>
                    <w:top w:val="single" w:color="auto" w:sz="4" w:space="0"/>
                    <w:left w:val="single" w:color="auto" w:sz="4" w:space="0"/>
                    <w:bottom w:val="single" w:color="auto" w:sz="4" w:space="0"/>
                    <w:right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kern w:val="2"/>
                      <w:sz w:val="21"/>
                      <w:szCs w:val="21"/>
                      <w:lang w:val="en-US" w:eastAsia="zh-CN" w:bidi="ar-SA"/>
                    </w:rPr>
                    <w:t>颗粒物</w:t>
                  </w:r>
                </w:p>
              </w:tc>
              <w:tc>
                <w:tcPr>
                  <w:tcW w:w="957" w:type="pct"/>
                  <w:tcBorders>
                    <w:top w:val="single" w:color="auto" w:sz="4" w:space="0"/>
                    <w:left w:val="single" w:color="auto" w:sz="4" w:space="0"/>
                    <w:right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lang w:val="en-US"/>
                    </w:rPr>
                  </w:pPr>
                  <w:r>
                    <w:rPr>
                      <w:rFonts w:hint="default" w:ascii="Times New Roman" w:hAnsi="Times New Roman" w:cs="Times New Roman"/>
                      <w:sz w:val="21"/>
                      <w:szCs w:val="21"/>
                      <w:lang w:val="en-US" w:eastAsia="zh-CN"/>
                    </w:rPr>
                    <w:t>加强车间和设备密闭，洒水抑尘</w:t>
                  </w:r>
                </w:p>
              </w:tc>
              <w:tc>
                <w:tcPr>
                  <w:tcW w:w="1472" w:type="pct"/>
                  <w:tcBorders>
                    <w:top w:val="single" w:color="auto" w:sz="4" w:space="0"/>
                    <w:left w:val="single" w:color="auto" w:sz="4" w:space="0"/>
                    <w:right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《大气污染物综合排放标准》（GB16297-1996）</w:t>
                  </w:r>
                </w:p>
              </w:tc>
              <w:tc>
                <w:tcPr>
                  <w:tcW w:w="761" w:type="pct"/>
                  <w:tcBorders>
                    <w:top w:val="single" w:color="auto" w:sz="4" w:space="0"/>
                    <w:left w:val="single" w:color="auto" w:sz="4" w:space="0"/>
                    <w:right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0.5</w:t>
                  </w:r>
                </w:p>
              </w:tc>
              <w:tc>
                <w:tcPr>
                  <w:tcW w:w="554" w:type="pct"/>
                  <w:tcBorders>
                    <w:top w:val="single" w:color="auto" w:sz="4" w:space="0"/>
                    <w:left w:val="single" w:color="auto" w:sz="4" w:space="0"/>
                    <w:bottom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3.04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7" w:type="pct"/>
                  <w:tcBorders>
                    <w:top w:val="single" w:color="auto" w:sz="4" w:space="0"/>
                    <w:bottom w:val="single" w:color="auto" w:sz="4" w:space="0"/>
                    <w:right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386" w:type="pct"/>
                  <w:tcBorders>
                    <w:top w:val="single" w:color="auto" w:sz="4" w:space="0"/>
                    <w:left w:val="single" w:color="auto" w:sz="4" w:space="0"/>
                    <w:bottom w:val="single" w:color="auto" w:sz="4" w:space="0"/>
                    <w:right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堆场扬尘</w:t>
                  </w:r>
                </w:p>
              </w:tc>
              <w:tc>
                <w:tcPr>
                  <w:tcW w:w="569" w:type="pct"/>
                  <w:tcBorders>
                    <w:top w:val="single" w:color="auto" w:sz="4" w:space="0"/>
                    <w:left w:val="single" w:color="auto" w:sz="4" w:space="0"/>
                    <w:bottom w:val="single" w:color="auto" w:sz="4" w:space="0"/>
                    <w:right w:val="single" w:color="auto" w:sz="4" w:space="0"/>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颗粒物</w:t>
                  </w:r>
                </w:p>
              </w:tc>
              <w:tc>
                <w:tcPr>
                  <w:tcW w:w="957"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堆场密闭，雾化喷林装置</w:t>
                  </w:r>
                </w:p>
              </w:tc>
              <w:tc>
                <w:tcPr>
                  <w:tcW w:w="1472"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《大气污染物综合排放标准》（GB16297-1996）</w:t>
                  </w:r>
                </w:p>
              </w:tc>
              <w:tc>
                <w:tcPr>
                  <w:tcW w:w="761" w:type="pct"/>
                  <w:tcBorders>
                    <w:top w:val="single" w:color="auto" w:sz="4" w:space="0"/>
                    <w:left w:val="single" w:color="auto" w:sz="4" w:space="0"/>
                    <w:right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w:t>
                  </w:r>
                </w:p>
              </w:tc>
              <w:tc>
                <w:tcPr>
                  <w:tcW w:w="554" w:type="pct"/>
                  <w:tcBorders>
                    <w:top w:val="single" w:color="auto" w:sz="4" w:space="0"/>
                    <w:left w:val="single" w:color="auto" w:sz="4" w:space="0"/>
                    <w:bottom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7" w:type="pct"/>
                  <w:tcBorders>
                    <w:top w:val="single" w:color="auto" w:sz="4" w:space="0"/>
                    <w:bottom w:val="single" w:color="auto" w:sz="4" w:space="0"/>
                    <w:right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38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筒仓呼吸废气</w:t>
                  </w:r>
                </w:p>
              </w:tc>
              <w:tc>
                <w:tcPr>
                  <w:tcW w:w="569" w:type="pct"/>
                  <w:tcBorders>
                    <w:top w:val="single" w:color="auto" w:sz="4" w:space="0"/>
                    <w:left w:val="single" w:color="auto" w:sz="4" w:space="0"/>
                    <w:bottom w:val="single" w:color="auto" w:sz="4" w:space="0"/>
                    <w:right w:val="single" w:color="auto" w:sz="4" w:space="0"/>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颗粒物</w:t>
                  </w:r>
                </w:p>
              </w:tc>
              <w:tc>
                <w:tcPr>
                  <w:tcW w:w="957" w:type="pc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cs="Times New Roman"/>
                      <w:sz w:val="21"/>
                      <w:szCs w:val="21"/>
                      <w:lang w:val="en-US" w:eastAsia="zh-CN"/>
                    </w:rPr>
                    <w:t>布袋除尘器</w:t>
                  </w:r>
                </w:p>
              </w:tc>
              <w:tc>
                <w:tcPr>
                  <w:tcW w:w="1472" w:type="pct"/>
                  <w:tcBorders>
                    <w:top w:val="single" w:color="auto" w:sz="4" w:space="0"/>
                    <w:left w:val="single" w:color="auto" w:sz="4" w:space="0"/>
                    <w:right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《大气污染物综合排放标准》（GB16297-1996）</w:t>
                  </w:r>
                </w:p>
              </w:tc>
              <w:tc>
                <w:tcPr>
                  <w:tcW w:w="761" w:type="pct"/>
                  <w:tcBorders>
                    <w:top w:val="single" w:color="auto" w:sz="4" w:space="0"/>
                    <w:left w:val="single" w:color="auto" w:sz="4" w:space="0"/>
                    <w:right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0.5</w:t>
                  </w:r>
                </w:p>
              </w:tc>
              <w:tc>
                <w:tcPr>
                  <w:tcW w:w="554" w:type="pct"/>
                  <w:tcBorders>
                    <w:top w:val="single" w:color="auto" w:sz="4" w:space="0"/>
                    <w:left w:val="single" w:color="auto" w:sz="4" w:space="0"/>
                    <w:bottom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r>
                    <w:rPr>
                      <w:rFonts w:hint="default" w:ascii="Times New Roman" w:hAnsi="Times New Roman" w:cs="Times New Roman"/>
                      <w:sz w:val="21"/>
                      <w:szCs w:val="21"/>
                      <w:lang w:val="en-US" w:eastAsia="zh-CN"/>
                    </w:rPr>
                    <w:t>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7" w:type="pct"/>
                  <w:tcBorders>
                    <w:top w:val="single" w:color="auto" w:sz="4" w:space="0"/>
                    <w:bottom w:val="single" w:color="auto" w:sz="4" w:space="0"/>
                    <w:right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38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喷码废气</w:t>
                  </w:r>
                </w:p>
              </w:tc>
              <w:tc>
                <w:tcPr>
                  <w:tcW w:w="569" w:type="pct"/>
                  <w:tcBorders>
                    <w:top w:val="single" w:color="auto" w:sz="4" w:space="0"/>
                    <w:left w:val="single" w:color="auto" w:sz="4" w:space="0"/>
                    <w:bottom w:val="single" w:color="auto" w:sz="4" w:space="0"/>
                    <w:right w:val="single" w:color="auto" w:sz="4" w:space="0"/>
                  </w:tcBorders>
                  <w:noWrap w:val="0"/>
                  <w:vAlign w:val="center"/>
                </w:tcPr>
                <w:p>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挥发性有机物</w:t>
                  </w:r>
                </w:p>
              </w:tc>
              <w:tc>
                <w:tcPr>
                  <w:tcW w:w="95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cs="Times New Roman"/>
                      <w:sz w:val="21"/>
                      <w:szCs w:val="21"/>
                      <w:lang w:val="en-US" w:eastAsia="zh-CN"/>
                    </w:rPr>
                    <w:t>水性油墨、车间通风</w:t>
                  </w:r>
                </w:p>
              </w:tc>
              <w:tc>
                <w:tcPr>
                  <w:tcW w:w="1472" w:type="pct"/>
                  <w:tcBorders>
                    <w:top w:val="single" w:color="auto" w:sz="4" w:space="0"/>
                    <w:left w:val="single" w:color="auto" w:sz="4" w:space="0"/>
                    <w:bottom w:val="single" w:color="auto" w:sz="4" w:space="0"/>
                    <w:right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《印刷业挥发性有机物排放标准》（DB43/1357-2017）</w:t>
                  </w:r>
                </w:p>
              </w:tc>
              <w:tc>
                <w:tcPr>
                  <w:tcW w:w="761" w:type="pct"/>
                  <w:tcBorders>
                    <w:top w:val="single" w:color="auto" w:sz="4" w:space="0"/>
                    <w:left w:val="single" w:color="auto" w:sz="4" w:space="0"/>
                    <w:bottom w:val="single" w:color="auto" w:sz="4" w:space="0"/>
                    <w:right w:val="single" w:color="auto" w:sz="4" w:space="0"/>
                  </w:tcBorders>
                  <w:noWrap w:val="0"/>
                  <w:vAlign w:val="center"/>
                </w:tcPr>
                <w:p>
                  <w:pPr>
                    <w:pStyle w:val="34"/>
                    <w:keepNext w:val="0"/>
                    <w:keepLines w:val="0"/>
                    <w:pageBreakBefore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4.0</w:t>
                  </w:r>
                </w:p>
              </w:tc>
              <w:tc>
                <w:tcPr>
                  <w:tcW w:w="554" w:type="pct"/>
                  <w:tcBorders>
                    <w:top w:val="single" w:color="auto" w:sz="4" w:space="0"/>
                    <w:left w:val="single" w:color="auto" w:sz="4" w:space="0"/>
                    <w:bottom w:val="single" w:color="auto" w:sz="4" w:space="0"/>
                  </w:tcBorders>
                  <w:noWrap w:val="0"/>
                  <w:vAlign w:val="center"/>
                </w:tcPr>
                <w:p>
                  <w:pPr>
                    <w:keepNext w:val="0"/>
                    <w:keepLines w:val="0"/>
                    <w:pageBreakBefore w:val="0"/>
                    <w:widowControl/>
                    <w:suppressLineNumbers w:val="0"/>
                    <w:kinsoku/>
                    <w:wordWrap/>
                    <w:overflowPunct/>
                    <w:topLinePunct w:val="0"/>
                    <w:autoSpaceDE/>
                    <w:autoSpaceDN/>
                    <w:bidi w:val="0"/>
                    <w:spacing w:line="240" w:lineRule="auto"/>
                    <w:ind w:firstLine="0" w:firstLineChars="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0.005</w:t>
                  </w:r>
                </w:p>
              </w:tc>
            </w:tr>
          </w:tbl>
          <w:p>
            <w:pPr>
              <w:keepNext w:val="0"/>
              <w:keepLines w:val="0"/>
              <w:pageBreakBefore w:val="0"/>
              <w:widowControl w:val="0"/>
              <w:kinsoku/>
              <w:wordWrap/>
              <w:overflowPunct/>
              <w:topLinePunct w:val="0"/>
              <w:autoSpaceDE w:val="0"/>
              <w:autoSpaceDN w:val="0"/>
              <w:bidi w:val="0"/>
              <w:adjustRightInd/>
              <w:snapToGrid/>
              <w:spacing w:before="0" w:after="0" w:line="360" w:lineRule="auto"/>
              <w:jc w:val="both"/>
              <w:textAlignment w:val="auto"/>
              <w:rPr>
                <w:rFonts w:hint="default" w:ascii="Times New Roman" w:hAnsi="Times New Roman" w:cs="Times New Roman"/>
                <w:b/>
                <w:bCs/>
                <w:kern w:val="0"/>
                <w:sz w:val="24"/>
                <w:szCs w:val="20"/>
                <w:lang w:val="en-US" w:eastAsia="zh-CN" w:bidi="ar-SA"/>
              </w:rPr>
            </w:pPr>
            <w:r>
              <w:rPr>
                <w:rFonts w:hint="default" w:ascii="Times New Roman" w:hAnsi="Times New Roman" w:cs="Times New Roman"/>
                <w:b/>
                <w:bCs/>
                <w:kern w:val="0"/>
                <w:sz w:val="24"/>
                <w:szCs w:val="20"/>
                <w:lang w:val="en-US" w:eastAsia="zh-CN" w:bidi="ar-SA"/>
              </w:rPr>
              <w:t>3、大气污染物排放总量核算</w:t>
            </w:r>
          </w:p>
          <w:p>
            <w:pPr>
              <w:keepNext w:val="0"/>
              <w:keepLines w:val="0"/>
              <w:pageBreakBefore w:val="0"/>
              <w:widowControl w:val="0"/>
              <w:kinsoku/>
              <w:wordWrap/>
              <w:overflowPunct/>
              <w:topLinePunct w:val="0"/>
              <w:autoSpaceDE w:val="0"/>
              <w:autoSpaceDN w:val="0"/>
              <w:bidi w:val="0"/>
              <w:adjustRightInd/>
              <w:snapToGrid/>
              <w:spacing w:before="0" w:after="0" w:line="360" w:lineRule="auto"/>
              <w:jc w:val="center"/>
              <w:textAlignment w:val="auto"/>
              <w:rPr>
                <w:rFonts w:hint="default" w:ascii="Times New Roman" w:hAnsi="Times New Roman" w:eastAsia="宋体" w:cs="Times New Roman"/>
                <w:kern w:val="0"/>
                <w:sz w:val="24"/>
                <w:szCs w:val="20"/>
                <w:lang w:val="en-US" w:eastAsia="zh-CN" w:bidi="ar-SA"/>
              </w:rPr>
            </w:pPr>
            <w:r>
              <w:rPr>
                <w:rFonts w:hint="default" w:ascii="Times New Roman" w:hAnsi="Times New Roman" w:eastAsia="宋体" w:cs="Times New Roman"/>
                <w:kern w:val="0"/>
                <w:sz w:val="24"/>
                <w:szCs w:val="20"/>
                <w:lang w:val="en-US" w:eastAsia="zh-CN" w:bidi="ar-SA"/>
              </w:rPr>
              <w:t>表4-1</w:t>
            </w:r>
            <w:r>
              <w:rPr>
                <w:rFonts w:hint="default" w:ascii="Times New Roman" w:hAnsi="Times New Roman" w:cs="Times New Roman"/>
                <w:kern w:val="0"/>
                <w:sz w:val="24"/>
                <w:szCs w:val="20"/>
                <w:lang w:val="en-US" w:eastAsia="zh-CN" w:bidi="ar-SA"/>
              </w:rPr>
              <w:t>5</w:t>
            </w:r>
            <w:r>
              <w:rPr>
                <w:rFonts w:hint="default" w:ascii="Times New Roman" w:hAnsi="Times New Roman" w:eastAsia="宋体" w:cs="Times New Roman"/>
                <w:kern w:val="0"/>
                <w:sz w:val="24"/>
                <w:szCs w:val="20"/>
                <w:lang w:val="en-US" w:eastAsia="zh-CN" w:bidi="ar-SA"/>
              </w:rPr>
              <w:t xml:space="preserve"> 大气污染物年排放量核算表</w:t>
            </w:r>
          </w:p>
          <w:tbl>
            <w:tblPr>
              <w:tblStyle w:val="21"/>
              <w:tblW w:w="8619"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64"/>
              <w:gridCol w:w="2880"/>
              <w:gridCol w:w="28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1661" w:type="pct"/>
                  <w:noWrap w:val="0"/>
                  <w:vAlign w:val="center"/>
                </w:tcPr>
                <w:p>
                  <w:pPr>
                    <w:pStyle w:val="33"/>
                    <w:rPr>
                      <w:rFonts w:hint="default" w:ascii="Times New Roman" w:hAnsi="Times New Roman" w:cs="Times New Roman"/>
                    </w:rPr>
                  </w:pPr>
                  <w:r>
                    <w:rPr>
                      <w:rFonts w:hint="default" w:ascii="Times New Roman" w:hAnsi="Times New Roman" w:cs="Times New Roman"/>
                    </w:rPr>
                    <w:t>序号</w:t>
                  </w:r>
                </w:p>
              </w:tc>
              <w:tc>
                <w:tcPr>
                  <w:tcW w:w="1670" w:type="pct"/>
                  <w:noWrap w:val="0"/>
                  <w:vAlign w:val="center"/>
                </w:tcPr>
                <w:p>
                  <w:pPr>
                    <w:pStyle w:val="33"/>
                    <w:rPr>
                      <w:rFonts w:hint="default" w:ascii="Times New Roman" w:hAnsi="Times New Roman" w:cs="Times New Roman"/>
                    </w:rPr>
                  </w:pPr>
                  <w:r>
                    <w:rPr>
                      <w:rFonts w:hint="default" w:ascii="Times New Roman" w:hAnsi="Times New Roman" w:cs="Times New Roman"/>
                    </w:rPr>
                    <w:t>污染物</w:t>
                  </w:r>
                </w:p>
              </w:tc>
              <w:tc>
                <w:tcPr>
                  <w:tcW w:w="1667" w:type="pct"/>
                  <w:noWrap w:val="0"/>
                  <w:vAlign w:val="center"/>
                </w:tcPr>
                <w:p>
                  <w:pPr>
                    <w:pStyle w:val="33"/>
                    <w:rPr>
                      <w:rFonts w:hint="default" w:ascii="Times New Roman" w:hAnsi="Times New Roman" w:cs="Times New Roman"/>
                      <w:lang w:eastAsia="zh-CN"/>
                    </w:rPr>
                  </w:pPr>
                  <w:r>
                    <w:rPr>
                      <w:rFonts w:hint="default" w:ascii="Times New Roman" w:hAnsi="Times New Roman" w:cs="Times New Roman"/>
                    </w:rPr>
                    <w:t>年排放量</w:t>
                  </w:r>
                  <w:r>
                    <w:rPr>
                      <w:rFonts w:hint="default" w:ascii="Times New Roman" w:hAnsi="Times New Roman" w:cs="Times New Roman"/>
                      <w:lang w:eastAsia="zh-CN"/>
                    </w:rPr>
                    <w:t>（</w:t>
                  </w:r>
                  <w:r>
                    <w:rPr>
                      <w:rFonts w:hint="default" w:ascii="Times New Roman" w:hAnsi="Times New Roman" w:cs="Times New Roman"/>
                    </w:rPr>
                    <w:t>t/a</w:t>
                  </w:r>
                  <w:r>
                    <w:rPr>
                      <w:rFonts w:hint="default" w:ascii="Times New Roman" w:hAnsi="Times New Roman" w:cs="Times New Roman"/>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661" w:type="pct"/>
                  <w:noWrap w:val="0"/>
                  <w:vAlign w:val="center"/>
                </w:tcPr>
                <w:p>
                  <w:pPr>
                    <w:pStyle w:val="33"/>
                    <w:rPr>
                      <w:rFonts w:hint="default" w:ascii="Times New Roman" w:hAnsi="Times New Roman" w:cs="Times New Roman"/>
                    </w:rPr>
                  </w:pPr>
                  <w:r>
                    <w:rPr>
                      <w:rFonts w:hint="default" w:ascii="Times New Roman" w:hAnsi="Times New Roman" w:cs="Times New Roman"/>
                    </w:rPr>
                    <w:t>1</w:t>
                  </w:r>
                </w:p>
              </w:tc>
              <w:tc>
                <w:tcPr>
                  <w:tcW w:w="1670" w:type="pct"/>
                  <w:noWrap w:val="0"/>
                  <w:vAlign w:val="center"/>
                </w:tcPr>
                <w:p>
                  <w:pPr>
                    <w:pStyle w:val="33"/>
                    <w:rPr>
                      <w:rFonts w:hint="default" w:ascii="Times New Roman" w:hAnsi="Times New Roman" w:cs="Times New Roman"/>
                    </w:rPr>
                  </w:pPr>
                  <w:r>
                    <w:rPr>
                      <w:rFonts w:hint="default" w:ascii="Times New Roman" w:hAnsi="Times New Roman" w:cs="Times New Roman"/>
                      <w:lang w:val="en-US" w:eastAsia="zh-CN"/>
                    </w:rPr>
                    <w:t>二氧化硫</w:t>
                  </w:r>
                </w:p>
              </w:tc>
              <w:tc>
                <w:tcPr>
                  <w:tcW w:w="1667" w:type="pct"/>
                  <w:noWrap w:val="0"/>
                  <w:vAlign w:val="center"/>
                </w:tcPr>
                <w:p>
                  <w:pPr>
                    <w:pStyle w:val="33"/>
                    <w:rPr>
                      <w:rFonts w:hint="default" w:ascii="Times New Roman" w:hAnsi="Times New Roman" w:cs="Times New Roman"/>
                      <w:lang w:val="en-US" w:eastAsia="zh-CN"/>
                    </w:rPr>
                  </w:pPr>
                  <w:r>
                    <w:rPr>
                      <w:rFonts w:hint="default" w:ascii="Times New Roman" w:hAnsi="Times New Roman" w:cs="Times New Roman"/>
                      <w:lang w:val="en-US" w:eastAsia="zh-CN"/>
                    </w:rPr>
                    <w:t>0.76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61" w:type="pct"/>
                  <w:noWrap w:val="0"/>
                  <w:vAlign w:val="center"/>
                </w:tcPr>
                <w:p>
                  <w:pPr>
                    <w:pStyle w:val="33"/>
                    <w:rPr>
                      <w:rFonts w:hint="default" w:ascii="Times New Roman" w:hAnsi="Times New Roman" w:cs="Times New Roman"/>
                    </w:rPr>
                  </w:pPr>
                  <w:r>
                    <w:rPr>
                      <w:rFonts w:hint="default" w:ascii="Times New Roman" w:hAnsi="Times New Roman" w:cs="Times New Roman"/>
                    </w:rPr>
                    <w:t>2</w:t>
                  </w:r>
                </w:p>
              </w:tc>
              <w:tc>
                <w:tcPr>
                  <w:tcW w:w="1670" w:type="pct"/>
                  <w:noWrap w:val="0"/>
                  <w:vAlign w:val="center"/>
                </w:tcPr>
                <w:p>
                  <w:pPr>
                    <w:pStyle w:val="33"/>
                    <w:rPr>
                      <w:rFonts w:hint="default" w:ascii="Times New Roman" w:hAnsi="Times New Roman" w:cs="Times New Roman"/>
                    </w:rPr>
                  </w:pPr>
                  <w:r>
                    <w:rPr>
                      <w:rFonts w:hint="default" w:ascii="Times New Roman" w:hAnsi="Times New Roman" w:cs="Times New Roman"/>
                      <w:lang w:val="en-US" w:eastAsia="zh-CN"/>
                    </w:rPr>
                    <w:t>氮氧化物</w:t>
                  </w:r>
                </w:p>
              </w:tc>
              <w:tc>
                <w:tcPr>
                  <w:tcW w:w="1667" w:type="pct"/>
                  <w:noWrap w:val="0"/>
                  <w:vAlign w:val="center"/>
                </w:tcPr>
                <w:p>
                  <w:pPr>
                    <w:pStyle w:val="33"/>
                    <w:rPr>
                      <w:rFonts w:hint="default" w:ascii="Times New Roman" w:hAnsi="Times New Roman" w:cs="Times New Roman"/>
                      <w:lang w:val="en-US" w:eastAsia="zh-CN"/>
                    </w:rPr>
                  </w:pPr>
                  <w:r>
                    <w:rPr>
                      <w:rFonts w:hint="default" w:ascii="Times New Roman" w:hAnsi="Times New Roman" w:cs="Times New Roman"/>
                      <w:lang w:val="en-US" w:eastAsia="zh-CN"/>
                    </w:rPr>
                    <w:t>4.27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61" w:type="pct"/>
                  <w:noWrap w:val="0"/>
                  <w:vAlign w:val="center"/>
                </w:tcPr>
                <w:p>
                  <w:pPr>
                    <w:pStyle w:val="33"/>
                    <w:rPr>
                      <w:rFonts w:hint="default" w:ascii="Times New Roman" w:hAnsi="Times New Roman" w:cs="Times New Roman"/>
                    </w:rPr>
                  </w:pPr>
                  <w:r>
                    <w:rPr>
                      <w:rFonts w:hint="default" w:ascii="Times New Roman" w:hAnsi="Times New Roman" w:cs="Times New Roman"/>
                    </w:rPr>
                    <w:t>3</w:t>
                  </w:r>
                </w:p>
              </w:tc>
              <w:tc>
                <w:tcPr>
                  <w:tcW w:w="1670" w:type="pct"/>
                  <w:noWrap w:val="0"/>
                  <w:vAlign w:val="center"/>
                </w:tcPr>
                <w:p>
                  <w:pPr>
                    <w:pStyle w:val="33"/>
                    <w:rPr>
                      <w:rFonts w:hint="default" w:ascii="Times New Roman" w:hAnsi="Times New Roman" w:cs="Times New Roman"/>
                    </w:rPr>
                  </w:pPr>
                  <w:r>
                    <w:rPr>
                      <w:rFonts w:hint="default" w:ascii="Times New Roman" w:hAnsi="Times New Roman" w:cs="Times New Roman"/>
                      <w:lang w:val="en-US" w:eastAsia="zh-CN"/>
                    </w:rPr>
                    <w:t>颗粒物</w:t>
                  </w:r>
                </w:p>
              </w:tc>
              <w:tc>
                <w:tcPr>
                  <w:tcW w:w="1667" w:type="pct"/>
                  <w:noWrap w:val="0"/>
                  <w:vAlign w:val="center"/>
                </w:tcPr>
                <w:p>
                  <w:pPr>
                    <w:pStyle w:val="33"/>
                    <w:rPr>
                      <w:rFonts w:hint="default" w:ascii="Times New Roman" w:hAnsi="Times New Roman" w:cs="Times New Roman"/>
                      <w:lang w:val="en-US"/>
                    </w:rPr>
                  </w:pPr>
                  <w:r>
                    <w:rPr>
                      <w:rFonts w:hint="default" w:ascii="Times New Roman" w:hAnsi="Times New Roman" w:cs="Times New Roman"/>
                      <w:lang w:val="en-US" w:eastAsia="zh-CN"/>
                    </w:rPr>
                    <w:t>13.80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61" w:type="pct"/>
                  <w:noWrap w:val="0"/>
                  <w:vAlign w:val="center"/>
                </w:tcPr>
                <w:p>
                  <w:pPr>
                    <w:pStyle w:val="33"/>
                    <w:rPr>
                      <w:rFonts w:hint="default" w:ascii="Times New Roman" w:hAnsi="Times New Roman" w:cs="Times New Roman"/>
                    </w:rPr>
                  </w:pPr>
                  <w:r>
                    <w:rPr>
                      <w:rFonts w:hint="default" w:ascii="Times New Roman" w:hAnsi="Times New Roman" w:cs="Times New Roman"/>
                    </w:rPr>
                    <w:t>4</w:t>
                  </w:r>
                </w:p>
              </w:tc>
              <w:tc>
                <w:tcPr>
                  <w:tcW w:w="1670" w:type="pct"/>
                  <w:noWrap w:val="0"/>
                  <w:vAlign w:val="center"/>
                </w:tcPr>
                <w:p>
                  <w:pPr>
                    <w:pStyle w:val="33"/>
                    <w:rPr>
                      <w:rFonts w:hint="default" w:ascii="Times New Roman" w:hAnsi="Times New Roman" w:cs="Times New Roman"/>
                    </w:rPr>
                  </w:pPr>
                  <w:r>
                    <w:rPr>
                      <w:rFonts w:hint="default" w:ascii="Times New Roman" w:hAnsi="Times New Roman" w:cs="Times New Roman"/>
                      <w:lang w:val="en-US" w:eastAsia="zh-CN"/>
                    </w:rPr>
                    <w:t>非甲烷总烃</w:t>
                  </w:r>
                </w:p>
              </w:tc>
              <w:tc>
                <w:tcPr>
                  <w:tcW w:w="1667" w:type="pct"/>
                  <w:noWrap w:val="0"/>
                  <w:vAlign w:val="center"/>
                </w:tcPr>
                <w:p>
                  <w:pPr>
                    <w:pStyle w:val="33"/>
                    <w:rPr>
                      <w:rFonts w:hint="default" w:ascii="Times New Roman" w:hAnsi="Times New Roman" w:cs="Times New Roman"/>
                      <w:lang w:val="en-US" w:eastAsia="zh-CN"/>
                    </w:rPr>
                  </w:pPr>
                  <w:r>
                    <w:rPr>
                      <w:rFonts w:hint="default" w:ascii="Times New Roman" w:hAnsi="Times New Roman" w:cs="Times New Roman"/>
                      <w:lang w:val="en-US" w:eastAsia="zh-CN"/>
                    </w:rPr>
                    <w:t>0.005</w:t>
                  </w:r>
                </w:p>
              </w:tc>
            </w:tr>
          </w:tbl>
          <w:p>
            <w:pPr>
              <w:bidi w:val="0"/>
              <w:rPr>
                <w:rFonts w:hint="default" w:ascii="Times New Roman" w:hAnsi="Times New Roman" w:eastAsia="宋体" w:cs="Times New Roman"/>
                <w:kern w:val="0"/>
                <w:sz w:val="24"/>
                <w:szCs w:val="20"/>
                <w:lang w:val="en-US" w:eastAsia="zh-CN" w:bidi="ar-SA"/>
              </w:rPr>
            </w:pPr>
            <w:r>
              <w:rPr>
                <w:rFonts w:hint="default" w:ascii="Times New Roman" w:hAnsi="Times New Roman" w:cs="Times New Roman"/>
                <w:b/>
                <w:bCs/>
                <w:lang w:val="en-US" w:eastAsia="zh-CN"/>
              </w:rPr>
              <w:t>4、非正常排放量核算</w:t>
            </w:r>
          </w:p>
          <w:p>
            <w:pPr>
              <w:keepNext w:val="0"/>
              <w:keepLines w:val="0"/>
              <w:pageBreakBefore w:val="0"/>
              <w:widowControl w:val="0"/>
              <w:kinsoku/>
              <w:wordWrap/>
              <w:overflowPunct/>
              <w:topLinePunct w:val="0"/>
              <w:autoSpaceDE w:val="0"/>
              <w:autoSpaceDN w:val="0"/>
              <w:bidi w:val="0"/>
              <w:adjustRightInd/>
              <w:snapToGrid/>
              <w:spacing w:before="0" w:after="0" w:line="360" w:lineRule="auto"/>
              <w:jc w:val="center"/>
              <w:textAlignment w:val="auto"/>
              <w:rPr>
                <w:rFonts w:hint="default" w:ascii="Times New Roman" w:hAnsi="Times New Roman" w:eastAsia="宋体" w:cs="Times New Roman"/>
                <w:kern w:val="0"/>
                <w:sz w:val="24"/>
                <w:szCs w:val="20"/>
                <w:lang w:val="en-US" w:eastAsia="zh-CN" w:bidi="ar-SA"/>
              </w:rPr>
            </w:pPr>
            <w:r>
              <w:rPr>
                <w:rFonts w:hint="default" w:ascii="Times New Roman" w:hAnsi="Times New Roman" w:eastAsia="宋体" w:cs="Times New Roman"/>
                <w:kern w:val="0"/>
                <w:sz w:val="24"/>
                <w:szCs w:val="20"/>
                <w:lang w:val="en-US" w:eastAsia="zh-CN" w:bidi="ar-SA"/>
              </w:rPr>
              <w:t>表4-1</w:t>
            </w:r>
            <w:r>
              <w:rPr>
                <w:rFonts w:hint="default" w:ascii="Times New Roman" w:hAnsi="Times New Roman" w:cs="Times New Roman"/>
                <w:kern w:val="0"/>
                <w:sz w:val="24"/>
                <w:szCs w:val="20"/>
                <w:lang w:val="en-US" w:eastAsia="zh-CN" w:bidi="ar-SA"/>
              </w:rPr>
              <w:t>6</w:t>
            </w:r>
            <w:r>
              <w:rPr>
                <w:rFonts w:hint="default" w:ascii="Times New Roman" w:hAnsi="Times New Roman" w:eastAsia="宋体" w:cs="Times New Roman"/>
                <w:kern w:val="0"/>
                <w:sz w:val="24"/>
                <w:szCs w:val="20"/>
                <w:lang w:val="en-US" w:eastAsia="zh-CN" w:bidi="ar-SA"/>
              </w:rPr>
              <w:t xml:space="preserve"> 非正常排放量核算</w:t>
            </w:r>
          </w:p>
          <w:tbl>
            <w:tblPr>
              <w:tblStyle w:val="22"/>
              <w:tblW w:w="5000"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403"/>
              <w:gridCol w:w="682"/>
              <w:gridCol w:w="1241"/>
              <w:gridCol w:w="822"/>
              <w:gridCol w:w="1666"/>
              <w:gridCol w:w="1547"/>
              <w:gridCol w:w="1246"/>
              <w:gridCol w:w="10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34" w:type="pct"/>
                  <w:noWrap w:val="0"/>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序号</w:t>
                  </w:r>
                </w:p>
              </w:tc>
              <w:tc>
                <w:tcPr>
                  <w:tcW w:w="396" w:type="pct"/>
                  <w:noWrap w:val="0"/>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污染源</w:t>
                  </w:r>
                </w:p>
              </w:tc>
              <w:tc>
                <w:tcPr>
                  <w:tcW w:w="720" w:type="pct"/>
                  <w:noWrap w:val="0"/>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非正常排放原因</w:t>
                  </w:r>
                </w:p>
              </w:tc>
              <w:tc>
                <w:tcPr>
                  <w:tcW w:w="477" w:type="pct"/>
                  <w:noWrap w:val="0"/>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污染物</w:t>
                  </w:r>
                </w:p>
              </w:tc>
              <w:tc>
                <w:tcPr>
                  <w:tcW w:w="967" w:type="pct"/>
                  <w:noWrap w:val="0"/>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非正常排放浓度</w:t>
                  </w:r>
                  <w:r>
                    <w:rPr>
                      <w:rFonts w:hint="default" w:ascii="Times New Roman" w:hAnsi="Times New Roman" w:cs="Times New Roman"/>
                      <w:sz w:val="21"/>
                      <w:szCs w:val="21"/>
                      <w:lang w:val="en-US" w:eastAsia="zh-CN"/>
                    </w:rPr>
                    <w:t>m</w:t>
                  </w:r>
                  <w:r>
                    <w:rPr>
                      <w:rFonts w:hint="default" w:ascii="Times New Roman" w:hAnsi="Times New Roman" w:cs="Times New Roman"/>
                      <w:sz w:val="21"/>
                      <w:szCs w:val="21"/>
                    </w:rPr>
                    <w:t>g/m</w:t>
                  </w:r>
                  <w:r>
                    <w:rPr>
                      <w:rFonts w:hint="default" w:ascii="Times New Roman" w:hAnsi="Times New Roman" w:cs="Times New Roman"/>
                      <w:sz w:val="21"/>
                      <w:szCs w:val="21"/>
                      <w:vertAlign w:val="superscript"/>
                    </w:rPr>
                    <w:t>3</w:t>
                  </w:r>
                </w:p>
              </w:tc>
              <w:tc>
                <w:tcPr>
                  <w:tcW w:w="898" w:type="pct"/>
                  <w:noWrap w:val="0"/>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非正常排放速率kg/h</w:t>
                  </w:r>
                </w:p>
              </w:tc>
              <w:tc>
                <w:tcPr>
                  <w:tcW w:w="723" w:type="pct"/>
                  <w:noWrap w:val="0"/>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单次发生时间h/次</w:t>
                  </w:r>
                </w:p>
              </w:tc>
              <w:tc>
                <w:tcPr>
                  <w:tcW w:w="581" w:type="pct"/>
                  <w:noWrap w:val="0"/>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年发生频次/次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34" w:type="pct"/>
                  <w:noWrap w:val="0"/>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396" w:type="pct"/>
                  <w:noWrap w:val="0"/>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DA001</w:t>
                  </w:r>
                </w:p>
              </w:tc>
              <w:tc>
                <w:tcPr>
                  <w:tcW w:w="720" w:type="pct"/>
                  <w:vMerge w:val="restart"/>
                  <w:noWrap w:val="0"/>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废气处理设施故障</w:t>
                  </w:r>
                </w:p>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rPr>
                  </w:pPr>
                </w:p>
              </w:tc>
              <w:tc>
                <w:tcPr>
                  <w:tcW w:w="477" w:type="pct"/>
                  <w:vMerge w:val="restart"/>
                  <w:noWrap w:val="0"/>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颗粒物</w:t>
                  </w:r>
                </w:p>
              </w:tc>
              <w:tc>
                <w:tcPr>
                  <w:tcW w:w="967"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cs="Times New Roman"/>
                      <w:i w:val="0"/>
                      <w:iCs w:val="0"/>
                      <w:color w:val="000000"/>
                      <w:kern w:val="0"/>
                      <w:sz w:val="21"/>
                      <w:szCs w:val="21"/>
                      <w:u w:val="none"/>
                      <w:lang w:val="en-US" w:eastAsia="zh-CN" w:bidi="ar"/>
                    </w:rPr>
                    <w:t>85.63</w:t>
                  </w:r>
                </w:p>
              </w:tc>
              <w:tc>
                <w:tcPr>
                  <w:tcW w:w="89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cs="Times New Roman"/>
                      <w:i w:val="0"/>
                      <w:iCs w:val="0"/>
                      <w:color w:val="000000"/>
                      <w:kern w:val="0"/>
                      <w:sz w:val="21"/>
                      <w:szCs w:val="21"/>
                      <w:u w:val="none"/>
                      <w:lang w:val="en-US" w:eastAsia="zh-CN" w:bidi="ar"/>
                    </w:rPr>
                    <w:t>8.22</w:t>
                  </w:r>
                </w:p>
              </w:tc>
              <w:tc>
                <w:tcPr>
                  <w:tcW w:w="723" w:type="pct"/>
                  <w:noWrap w:val="0"/>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1</w:t>
                  </w:r>
                </w:p>
              </w:tc>
              <w:tc>
                <w:tcPr>
                  <w:tcW w:w="581" w:type="pct"/>
                  <w:noWrap w:val="0"/>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trPr>
              <w:tc>
                <w:tcPr>
                  <w:tcW w:w="234" w:type="pct"/>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w:t>
                  </w:r>
                </w:p>
              </w:tc>
              <w:tc>
                <w:tcPr>
                  <w:tcW w:w="396" w:type="pct"/>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DA00</w:t>
                  </w:r>
                  <w:r>
                    <w:rPr>
                      <w:rFonts w:hint="default" w:ascii="Times New Roman" w:hAnsi="Times New Roman" w:cs="Times New Roman"/>
                      <w:sz w:val="21"/>
                      <w:szCs w:val="21"/>
                      <w:lang w:val="en-US" w:eastAsia="zh-CN"/>
                    </w:rPr>
                    <w:t>2</w:t>
                  </w:r>
                </w:p>
              </w:tc>
              <w:tc>
                <w:tcPr>
                  <w:tcW w:w="720" w:type="pct"/>
                  <w:vMerge w:val="continue"/>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rPr>
                  </w:pPr>
                </w:p>
              </w:tc>
              <w:tc>
                <w:tcPr>
                  <w:tcW w:w="477" w:type="pct"/>
                  <w:vMerge w:val="continue"/>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lang w:val="en-US" w:eastAsia="zh-CN"/>
                    </w:rPr>
                  </w:pPr>
                </w:p>
              </w:tc>
              <w:tc>
                <w:tcPr>
                  <w:tcW w:w="967"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cs="Times New Roman"/>
                      <w:i w:val="0"/>
                      <w:iCs w:val="0"/>
                      <w:color w:val="000000"/>
                      <w:kern w:val="0"/>
                      <w:sz w:val="21"/>
                      <w:szCs w:val="21"/>
                      <w:u w:val="none"/>
                      <w:lang w:val="en-US" w:eastAsia="zh-CN" w:bidi="ar"/>
                    </w:rPr>
                    <w:t>4480</w:t>
                  </w:r>
                </w:p>
              </w:tc>
              <w:tc>
                <w:tcPr>
                  <w:tcW w:w="898"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cs="Times New Roman"/>
                      <w:i w:val="0"/>
                      <w:iCs w:val="0"/>
                      <w:color w:val="000000"/>
                      <w:kern w:val="0"/>
                      <w:sz w:val="21"/>
                      <w:szCs w:val="21"/>
                      <w:u w:val="none"/>
                      <w:lang w:val="en-US" w:eastAsia="zh-CN" w:bidi="ar"/>
                    </w:rPr>
                    <w:t>179.2</w:t>
                  </w:r>
                </w:p>
              </w:tc>
              <w:tc>
                <w:tcPr>
                  <w:tcW w:w="72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1</w:t>
                  </w:r>
                </w:p>
              </w:tc>
              <w:tc>
                <w:tcPr>
                  <w:tcW w:w="581"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34" w:type="pct"/>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w:t>
                  </w:r>
                </w:p>
              </w:tc>
              <w:tc>
                <w:tcPr>
                  <w:tcW w:w="396" w:type="pct"/>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DA003</w:t>
                  </w:r>
                </w:p>
              </w:tc>
              <w:tc>
                <w:tcPr>
                  <w:tcW w:w="720" w:type="pct"/>
                  <w:vMerge w:val="continue"/>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rPr>
                  </w:pPr>
                </w:p>
              </w:tc>
              <w:tc>
                <w:tcPr>
                  <w:tcW w:w="477" w:type="pct"/>
                  <w:vMerge w:val="continue"/>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lang w:val="en-US" w:eastAsia="zh-CN"/>
                    </w:rPr>
                  </w:pPr>
                </w:p>
              </w:tc>
              <w:tc>
                <w:tcPr>
                  <w:tcW w:w="967"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cs="Times New Roman"/>
                      <w:i w:val="0"/>
                      <w:iCs w:val="0"/>
                      <w:color w:val="000000"/>
                      <w:kern w:val="0"/>
                      <w:sz w:val="21"/>
                      <w:szCs w:val="21"/>
                      <w:u w:val="none"/>
                      <w:lang w:val="en-US" w:eastAsia="zh-CN" w:bidi="ar"/>
                    </w:rPr>
                    <w:t>3428.57</w:t>
                  </w:r>
                </w:p>
              </w:tc>
              <w:tc>
                <w:tcPr>
                  <w:tcW w:w="898"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cs="Times New Roman"/>
                      <w:i w:val="0"/>
                      <w:iCs w:val="0"/>
                      <w:color w:val="000000"/>
                      <w:kern w:val="0"/>
                      <w:sz w:val="21"/>
                      <w:szCs w:val="21"/>
                      <w:u w:val="none"/>
                      <w:lang w:val="en-US" w:eastAsia="zh-CN" w:bidi="ar"/>
                    </w:rPr>
                    <w:t>192</w:t>
                  </w:r>
                </w:p>
              </w:tc>
              <w:tc>
                <w:tcPr>
                  <w:tcW w:w="72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1</w:t>
                  </w:r>
                </w:p>
              </w:tc>
              <w:tc>
                <w:tcPr>
                  <w:tcW w:w="581"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34" w:type="pct"/>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4</w:t>
                  </w:r>
                </w:p>
              </w:tc>
              <w:tc>
                <w:tcPr>
                  <w:tcW w:w="396" w:type="pct"/>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DA004</w:t>
                  </w:r>
                </w:p>
              </w:tc>
              <w:tc>
                <w:tcPr>
                  <w:tcW w:w="720" w:type="pct"/>
                  <w:vMerge w:val="continue"/>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rPr>
                  </w:pPr>
                </w:p>
              </w:tc>
              <w:tc>
                <w:tcPr>
                  <w:tcW w:w="477" w:type="pct"/>
                  <w:vMerge w:val="continue"/>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lang w:val="en-US" w:eastAsia="zh-CN"/>
                    </w:rPr>
                  </w:pPr>
                </w:p>
              </w:tc>
              <w:tc>
                <w:tcPr>
                  <w:tcW w:w="967"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1777.06</w:t>
                  </w:r>
                </w:p>
              </w:tc>
              <w:tc>
                <w:tcPr>
                  <w:tcW w:w="898"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53.31</w:t>
                  </w:r>
                </w:p>
              </w:tc>
              <w:tc>
                <w:tcPr>
                  <w:tcW w:w="72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1</w:t>
                  </w:r>
                </w:p>
              </w:tc>
              <w:tc>
                <w:tcPr>
                  <w:tcW w:w="581"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34" w:type="pct"/>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5</w:t>
                  </w:r>
                </w:p>
              </w:tc>
              <w:tc>
                <w:tcPr>
                  <w:tcW w:w="396" w:type="pct"/>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DA005</w:t>
                  </w:r>
                </w:p>
              </w:tc>
              <w:tc>
                <w:tcPr>
                  <w:tcW w:w="720" w:type="pct"/>
                  <w:vMerge w:val="continue"/>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rPr>
                  </w:pPr>
                </w:p>
              </w:tc>
              <w:tc>
                <w:tcPr>
                  <w:tcW w:w="477" w:type="pct"/>
                  <w:vMerge w:val="continue"/>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lang w:val="en-US" w:eastAsia="zh-CN"/>
                    </w:rPr>
                  </w:pPr>
                </w:p>
              </w:tc>
              <w:tc>
                <w:tcPr>
                  <w:tcW w:w="967"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144.1</w:t>
                  </w:r>
                  <w:r>
                    <w:rPr>
                      <w:rFonts w:hint="default" w:ascii="Times New Roman" w:hAnsi="Times New Roman" w:cs="Times New Roman"/>
                      <w:i w:val="0"/>
                      <w:iCs w:val="0"/>
                      <w:color w:val="000000"/>
                      <w:kern w:val="0"/>
                      <w:sz w:val="21"/>
                      <w:szCs w:val="21"/>
                      <w:u w:val="none"/>
                      <w:lang w:val="en-US" w:eastAsia="zh-CN" w:bidi="ar"/>
                    </w:rPr>
                    <w:t>5</w:t>
                  </w:r>
                </w:p>
              </w:tc>
              <w:tc>
                <w:tcPr>
                  <w:tcW w:w="898"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4.32</w:t>
                  </w:r>
                </w:p>
              </w:tc>
              <w:tc>
                <w:tcPr>
                  <w:tcW w:w="72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1</w:t>
                  </w:r>
                </w:p>
              </w:tc>
              <w:tc>
                <w:tcPr>
                  <w:tcW w:w="581"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234" w:type="pct"/>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6</w:t>
                  </w:r>
                </w:p>
              </w:tc>
              <w:tc>
                <w:tcPr>
                  <w:tcW w:w="396" w:type="pct"/>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DA006</w:t>
                  </w:r>
                </w:p>
              </w:tc>
              <w:tc>
                <w:tcPr>
                  <w:tcW w:w="720" w:type="pct"/>
                  <w:vMerge w:val="continue"/>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rPr>
                  </w:pPr>
                </w:p>
              </w:tc>
              <w:tc>
                <w:tcPr>
                  <w:tcW w:w="477" w:type="pct"/>
                  <w:vMerge w:val="continue"/>
                  <w:vAlign w:val="center"/>
                </w:tcPr>
                <w:p>
                  <w:pPr>
                    <w:pStyle w:val="31"/>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lang w:val="en-US" w:eastAsia="zh-CN"/>
                    </w:rPr>
                  </w:pPr>
                </w:p>
              </w:tc>
              <w:tc>
                <w:tcPr>
                  <w:tcW w:w="967"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453.96</w:t>
                  </w:r>
                </w:p>
              </w:tc>
              <w:tc>
                <w:tcPr>
                  <w:tcW w:w="898" w:type="pct"/>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13.61</w:t>
                  </w:r>
                </w:p>
              </w:tc>
              <w:tc>
                <w:tcPr>
                  <w:tcW w:w="72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rPr>
                    <w:t>1</w:t>
                  </w:r>
                </w:p>
              </w:tc>
              <w:tc>
                <w:tcPr>
                  <w:tcW w:w="581"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1</w:t>
                  </w:r>
                </w:p>
              </w:tc>
            </w:tr>
          </w:tbl>
          <w:p>
            <w:pPr>
              <w:bidi w:val="0"/>
              <w:ind w:left="0" w:leftChars="0" w:firstLine="0" w:firstLineChars="0"/>
              <w:rPr>
                <w:rFonts w:hint="default" w:ascii="Times New Roman" w:hAnsi="Times New Roman" w:eastAsia="黑体" w:cs="Times New Roman"/>
                <w:lang w:val="en-US" w:eastAsia="zh-CN"/>
              </w:rPr>
            </w:pPr>
            <w:r>
              <w:rPr>
                <w:rFonts w:hint="default" w:ascii="Times New Roman" w:hAnsi="Times New Roman" w:eastAsia="黑体" w:cs="Times New Roman"/>
                <w:lang w:val="en-US" w:eastAsia="zh-CN"/>
              </w:rPr>
              <w:t>4.6.3废气处理设施的可行性分析</w:t>
            </w:r>
          </w:p>
          <w:p>
            <w:pPr>
              <w:keepNext w:val="0"/>
              <w:keepLines w:val="0"/>
              <w:pageBreakBefore w:val="0"/>
              <w:widowControl/>
              <w:suppressLineNumbers w:val="0"/>
              <w:kinsoku/>
              <w:wordWrap/>
              <w:overflowPunct/>
              <w:topLinePunct w:val="0"/>
              <w:bidi w:val="0"/>
              <w:snapToGrid/>
              <w:spacing w:line="360" w:lineRule="auto"/>
              <w:ind w:firstLine="480" w:firstLineChars="20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 xml:space="preserve">本项目主要的粉尘废气处理设施采用脉冲布袋除尘器器。脉冲袋式除尘器是一种干式滤尘装置，适用于捕集细小、干燥、非纤维性粉尘。滤袋采用纺织的滤布或非纺织的毡制成，利用纤维织物的过滤作用对含尘气体进行过滤，不同纤维织成的滤料具有不同性能，一般布袋除尘器除尘效率一般可达99%以上。当含尘气体进入袋式除尘器后，颗粒大、比重大的粉尘，由于重力的作用沉降下来，落入灰斗，含有较细小粉尘的气体在通过滤料时，粉尘被阻留，使气体得到净化。 </w:t>
            </w:r>
          </w:p>
          <w:p>
            <w:pPr>
              <w:pStyle w:val="2"/>
              <w:rPr>
                <w:rFonts w:hint="default" w:ascii="Times New Roman" w:hAnsi="Times New Roman" w:cs="Times New Roman"/>
                <w:lang w:val="en-US" w:eastAsia="zh-CN"/>
              </w:rPr>
            </w:pPr>
            <w:r>
              <w:rPr>
                <w:rFonts w:hint="default" w:ascii="Times New Roman" w:hAnsi="Times New Roman" w:eastAsia="宋体" w:cs="Times New Roman"/>
                <w:color w:val="000000"/>
                <w:kern w:val="0"/>
                <w:sz w:val="24"/>
                <w:szCs w:val="24"/>
                <w:lang w:val="en-US" w:eastAsia="zh-CN" w:bidi="ar"/>
              </w:rPr>
              <w:t>当滤袋表面积聚一定粉尘时，除尘器的阻力过高会使除尘系统的风量显著下降，要及时清灰，一般采用压缩空气脉冲、布袋振动或人工方式进行清灰。以压缩空气脉冲清灰为例，过滤器内每排滤袋出口顶部装配有一根喷吹管，喷吹管下侧正对滤袋中心设有喷吹口，每根喷吹管上均设有一个脉冲阀并与压缩空气气包相通。清灰时，电磁阀打开脉冲阀，压缩空气经喷由清灰控制装置（差压或定时、手动控制）按设定程序打开电磁脉冲喷吹，压缩气体以极短促的时间按次序通过各个脉冲阀经喷吹管上的喷嘴诱导数倍于喷射气量的空气进入滤袋，形成空气波，使滤袋由袋口至底部产生急剧的膨胀和冲击振动，造成很强的清灰作用，抖落滤袋上的粉尘。粉尘经收集后，由布袋除尘器处理后排放。布袋除尘器具有处理效率高，性能稳定可靠，操作简单等优点，因此，本项目机制砂和</w:t>
            </w:r>
            <w:r>
              <w:rPr>
                <w:rFonts w:hint="default" w:ascii="Times New Roman" w:hAnsi="Times New Roman" w:cs="Times New Roman"/>
                <w:color w:val="000000"/>
                <w:kern w:val="0"/>
                <w:sz w:val="24"/>
                <w:szCs w:val="24"/>
                <w:lang w:val="en-US" w:eastAsia="zh-CN" w:bidi="ar"/>
              </w:rPr>
              <w:t>干粉砂浆</w:t>
            </w:r>
            <w:r>
              <w:rPr>
                <w:rFonts w:hint="default" w:ascii="Times New Roman" w:hAnsi="Times New Roman" w:eastAsia="宋体" w:cs="Times New Roman"/>
                <w:color w:val="000000"/>
                <w:kern w:val="0"/>
                <w:sz w:val="24"/>
                <w:szCs w:val="24"/>
                <w:lang w:val="en-US" w:eastAsia="zh-CN" w:bidi="ar"/>
              </w:rPr>
              <w:t>生产粉尘采用布袋除尘器处理方式，其技术工艺上是可行的。</w:t>
            </w:r>
          </w:p>
          <w:p>
            <w:pPr>
              <w:bidi w:val="0"/>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4.6.4</w:t>
            </w:r>
            <w:r>
              <w:rPr>
                <w:rFonts w:hint="default" w:ascii="Times New Roman" w:hAnsi="Times New Roman" w:eastAsia="黑体" w:cs="Times New Roman"/>
                <w:lang w:val="en-US" w:eastAsia="zh-CN"/>
              </w:rPr>
              <w:t>排气筒高度符合性分析</w:t>
            </w:r>
          </w:p>
          <w:p>
            <w:pPr>
              <w:numPr>
                <w:ilvl w:val="0"/>
                <w:numId w:val="8"/>
              </w:numPr>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废气排气筒</w:t>
            </w:r>
          </w:p>
          <w:p>
            <w:pPr>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根据《大气污染物综合排放标准》（GB8978-1996）：排气筒高度应高于周围200m半径范围内的建筑物5m以上，不能达到该要求的排气筒，应按其高度对应的表列排放速率标准值严格50%执行。由于本项目机制砂车间高度21m，厂区最高建筑物干粉砂浆车间49m，排气筒DA001和DA002位于机制砂车间，DA003~DA004均位于干粉砂浆车间，考虑安全等因素，本项目各车间排气筒设置高度均高于各自屋顶排放，不能满足高于周围200m半径范围内的建筑物5m以上的要求，因此，各排气筒速率按其高度对应的表列排放速率标准值严格50%执行。根据本项目各建筑物高度，排气筒DA001~DA002高度不低于20m，DA003~DA004不低于52m。</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（2）备用柴油发电机排气筒</w:t>
            </w:r>
            <w:bookmarkStart w:id="15" w:name="_Hlk102724427"/>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根据中华人民共和国生态环境部部长信箱回复：“目前固定式柴油发电机污染物排放浓度按照《大气污染物综合排放标准》（GB16297-1996）中的最高允许排放浓度指标进行控制，对排气筒高度和排放速率暂不作要求。”则本项目不对柴油发电机排气筒高度作要求。</w:t>
            </w:r>
          </w:p>
          <w:p>
            <w:pPr>
              <w:pStyle w:val="2"/>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（3）关于废气是否安装在线监测装置的说明</w:t>
            </w:r>
          </w:p>
          <w:p>
            <w:pPr>
              <w:pStyle w:val="2"/>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由于本项目排气筒DA003~DA004高于45m，根据生态环境部部长信箱&lt;关于《锅炉大气污染物排放标准》的咨询回复&gt;：根据国务院关于印发打赢蓝天保卫三年行动计划的通知》（国发〔2018〕22号）“排污口高度超过45米的高架源，以及石化、化工、包装印刷、工业涂装等VOCs排放重点源，纳入重点排污单位名录，重点地区应于2019年底前基本完成安装烟气自动监控设施，全国应于2020年底前基本完成安装烟气自动监控设施。”的要求，排气筒所在企业如果被列为重点排污单位，则应安装烟气自动监控设施，否则，无需安装。依据来源地址网页https://www.mee.gov.cn/hdjl/hfhz/201810/t20181010_643460.shtml。截图如下：</w:t>
            </w:r>
          </w:p>
          <w:p>
            <w:pPr>
              <w:pStyle w:val="2"/>
              <w:ind w:left="0" w:leftChars="0" w:firstLine="0" w:firstLineChars="0"/>
              <w:rPr>
                <w:rFonts w:hint="default" w:ascii="Times New Roman" w:hAnsi="Times New Roman" w:cs="Times New Roman"/>
                <w:color w:val="FF0000"/>
                <w:lang w:val="en-US" w:eastAsia="zh-CN"/>
              </w:rPr>
            </w:pPr>
            <w:r>
              <w:rPr>
                <w:rFonts w:hint="default" w:ascii="Times New Roman" w:hAnsi="Times New Roman" w:cs="Times New Roman"/>
                <w:color w:val="FF0000"/>
              </w:rPr>
              <w:drawing>
                <wp:inline distT="0" distB="0" distL="114300" distR="114300">
                  <wp:extent cx="5128895" cy="5116195"/>
                  <wp:effectExtent l="0" t="0" r="6985" b="4445"/>
                  <wp:docPr id="5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3"/>
                          <pic:cNvPicPr>
                            <a:picLocks noChangeAspect="1"/>
                          </pic:cNvPicPr>
                        </pic:nvPicPr>
                        <pic:blipFill>
                          <a:blip r:embed="rId24"/>
                          <a:stretch>
                            <a:fillRect/>
                          </a:stretch>
                        </pic:blipFill>
                        <pic:spPr>
                          <a:xfrm>
                            <a:off x="0" y="0"/>
                            <a:ext cx="5128895" cy="5116195"/>
                          </a:xfrm>
                          <a:prstGeom prst="rect">
                            <a:avLst/>
                          </a:prstGeom>
                          <a:noFill/>
                          <a:ln>
                            <a:noFill/>
                          </a:ln>
                        </pic:spPr>
                      </pic:pic>
                    </a:graphicData>
                  </a:graphic>
                </wp:inline>
              </w:drawing>
            </w:r>
          </w:p>
          <w:p>
            <w:pPr>
              <w:pStyle w:val="2"/>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本项目属于新建项目，对照《固定污染源排污许可分类管理名录（2019年版）》，本项目行业类别为3039其他建筑材料制造，属于简化管理，不属于重点管理，因此无需安装在线监测。</w:t>
            </w:r>
          </w:p>
          <w:bookmarkEnd w:id="15"/>
          <w:p>
            <w:pPr>
              <w:bidi w:val="0"/>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4.6.5</w:t>
            </w:r>
            <w:r>
              <w:rPr>
                <w:rFonts w:hint="default" w:ascii="Times New Roman" w:hAnsi="Times New Roman" w:eastAsia="黑体" w:cs="Times New Roman"/>
                <w:lang w:val="en-US" w:eastAsia="zh-CN"/>
              </w:rPr>
              <w:t>废气自行监测计划</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根据《固定污染源排污许可分类管理名录（2019年版）》，本项目为简化管理许可管理，参考《排污单位自行监测技术指南总则》（HJ 819-2017）以及《陶瓷砖瓦行业工业》（HJ954-2018）要求</w:t>
            </w:r>
            <w:r>
              <w:rPr>
                <w:rFonts w:hint="default" w:ascii="Times New Roman" w:hAnsi="Times New Roman" w:eastAsia="宋体" w:cs="Times New Roman"/>
                <w:lang w:val="en-US" w:eastAsia="zh-CN"/>
              </w:rPr>
              <w:t>。废气</w:t>
            </w:r>
            <w:r>
              <w:rPr>
                <w:rFonts w:hint="default" w:ascii="Times New Roman" w:hAnsi="Times New Roman" w:cs="Times New Roman"/>
                <w:lang w:val="en-US" w:eastAsia="zh-CN"/>
              </w:rPr>
              <w:t xml:space="preserve">监测计划详见下表。废气监测计划详见下表。 </w:t>
            </w:r>
          </w:p>
          <w:p>
            <w:pPr>
              <w:bidi w:val="0"/>
              <w:ind w:left="0" w:leftChars="0" w:firstLine="0" w:firstLineChars="0"/>
              <w:jc w:val="center"/>
              <w:rPr>
                <w:rFonts w:hint="default" w:ascii="Times New Roman" w:hAnsi="Times New Roman" w:cs="Times New Roman"/>
                <w:vertAlign w:val="baseline"/>
                <w:lang w:val="en-US" w:eastAsia="zh-CN"/>
              </w:rPr>
            </w:pPr>
            <w:r>
              <w:rPr>
                <w:rFonts w:hint="default" w:ascii="Times New Roman" w:hAnsi="Times New Roman" w:cs="Times New Roman"/>
                <w:lang w:val="en-US" w:eastAsia="zh-CN"/>
              </w:rPr>
              <w:t>表4-17 运营期废气监测计划一览表</w:t>
            </w:r>
          </w:p>
          <w:tbl>
            <w:tblPr>
              <w:tblStyle w:val="22"/>
              <w:tblW w:w="8653"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7"/>
              <w:gridCol w:w="1587"/>
              <w:gridCol w:w="2074"/>
              <w:gridCol w:w="1406"/>
              <w:gridCol w:w="27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监测</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项目</w:t>
                  </w:r>
                </w:p>
              </w:tc>
              <w:tc>
                <w:tcPr>
                  <w:tcW w:w="158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监测点</w:t>
                  </w:r>
                </w:p>
              </w:tc>
              <w:tc>
                <w:tcPr>
                  <w:tcW w:w="207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监测内容</w:t>
                  </w:r>
                </w:p>
              </w:tc>
              <w:tc>
                <w:tcPr>
                  <w:tcW w:w="140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监测频率</w:t>
                  </w:r>
                </w:p>
              </w:tc>
              <w:tc>
                <w:tcPr>
                  <w:tcW w:w="27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 w:hRule="atLeast"/>
              </w:trPr>
              <w:tc>
                <w:tcPr>
                  <w:tcW w:w="857"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污染源</w:t>
                  </w:r>
                </w:p>
              </w:tc>
              <w:tc>
                <w:tcPr>
                  <w:tcW w:w="158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cs="Times New Roman"/>
                      <w:color w:val="FF0000"/>
                      <w:sz w:val="21"/>
                      <w:szCs w:val="21"/>
                      <w:vertAlign w:val="baseline"/>
                      <w:lang w:val="en-US" w:eastAsia="zh-CN"/>
                    </w:rPr>
                    <w:t>烘干废气DA001</w:t>
                  </w:r>
                </w:p>
              </w:tc>
              <w:tc>
                <w:tcPr>
                  <w:tcW w:w="207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颗粒物、二氧化硫、氮氧化物</w:t>
                  </w:r>
                </w:p>
              </w:tc>
              <w:tc>
                <w:tcPr>
                  <w:tcW w:w="140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1次/年</w:t>
                  </w:r>
                </w:p>
              </w:tc>
              <w:tc>
                <w:tcPr>
                  <w:tcW w:w="27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《湖南省工业炉窑大气污染综合治理实施方案》湘环发〔2020〕6号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 w:hRule="atLeast"/>
              </w:trPr>
              <w:tc>
                <w:tcPr>
                  <w:tcW w:w="857"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p>
              </w:tc>
              <w:tc>
                <w:tcPr>
                  <w:tcW w:w="158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DA002~DA006</w:t>
                  </w:r>
                </w:p>
              </w:tc>
              <w:tc>
                <w:tcPr>
                  <w:tcW w:w="207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颗粒物</w:t>
                  </w:r>
                </w:p>
              </w:tc>
              <w:tc>
                <w:tcPr>
                  <w:tcW w:w="140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1次/年</w:t>
                  </w:r>
                </w:p>
              </w:tc>
              <w:tc>
                <w:tcPr>
                  <w:tcW w:w="27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 w:hRule="atLeast"/>
              </w:trPr>
              <w:tc>
                <w:tcPr>
                  <w:tcW w:w="857"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p>
              </w:tc>
              <w:tc>
                <w:tcPr>
                  <w:tcW w:w="1587"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厂界</w:t>
                  </w:r>
                </w:p>
              </w:tc>
              <w:tc>
                <w:tcPr>
                  <w:tcW w:w="207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颗粒物</w:t>
                  </w:r>
                </w:p>
              </w:tc>
              <w:tc>
                <w:tcPr>
                  <w:tcW w:w="140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cs="Times New Roman"/>
                      <w:color w:val="FF0000"/>
                      <w:sz w:val="21"/>
                      <w:szCs w:val="21"/>
                      <w:vertAlign w:val="baseline"/>
                      <w:lang w:val="en-US" w:eastAsia="zh-CN"/>
                    </w:rPr>
                    <w:t>1次/年</w:t>
                  </w:r>
                </w:p>
              </w:tc>
              <w:tc>
                <w:tcPr>
                  <w:tcW w:w="27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cs="Times New Roman"/>
                      <w:color w:val="FF0000"/>
                      <w:sz w:val="21"/>
                      <w:szCs w:val="21"/>
                      <w:vertAlign w:val="baseline"/>
                      <w:lang w:val="en-US" w:eastAsia="zh-CN"/>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 w:hRule="atLeast"/>
              </w:trPr>
              <w:tc>
                <w:tcPr>
                  <w:tcW w:w="857"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bookmarkStart w:id="50" w:name="_GoBack" w:colFirst="2" w:colLast="2"/>
                </w:p>
              </w:tc>
              <w:tc>
                <w:tcPr>
                  <w:tcW w:w="1587"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vertAlign w:val="baseline"/>
                      <w:lang w:val="en-US" w:eastAsia="zh-CN" w:bidi="ar-SA"/>
                    </w:rPr>
                  </w:pPr>
                </w:p>
              </w:tc>
              <w:tc>
                <w:tcPr>
                  <w:tcW w:w="207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FF"/>
                      <w:sz w:val="21"/>
                      <w:szCs w:val="21"/>
                      <w:vertAlign w:val="baseline"/>
                      <w:lang w:val="en-US" w:eastAsia="zh-CN"/>
                    </w:rPr>
                  </w:pPr>
                  <w:r>
                    <w:rPr>
                      <w:rFonts w:hint="default" w:ascii="Times New Roman" w:hAnsi="Times New Roman" w:cs="Times New Roman"/>
                      <w:color w:val="0000FF"/>
                      <w:sz w:val="21"/>
                      <w:szCs w:val="21"/>
                      <w:vertAlign w:val="baseline"/>
                      <w:lang w:val="en-US" w:eastAsia="zh-CN"/>
                    </w:rPr>
                    <w:t>非甲烷总烃</w:t>
                  </w:r>
                </w:p>
              </w:tc>
              <w:tc>
                <w:tcPr>
                  <w:tcW w:w="140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1次/年</w:t>
                  </w:r>
                </w:p>
              </w:tc>
              <w:tc>
                <w:tcPr>
                  <w:tcW w:w="27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r>
                    <w:rPr>
                      <w:rFonts w:hint="default" w:ascii="Times New Roman" w:hAnsi="Times New Roman" w:cs="Times New Roman"/>
                      <w:color w:val="FF0000"/>
                      <w:sz w:val="21"/>
                      <w:szCs w:val="21"/>
                      <w:vertAlign w:val="baseline"/>
                      <w:lang w:val="en-US" w:eastAsia="zh-CN"/>
                    </w:rPr>
                    <w:t>《印刷业挥发性有机物排放标准》（DB43/1357-2017）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 w:hRule="atLeast"/>
              </w:trPr>
              <w:tc>
                <w:tcPr>
                  <w:tcW w:w="857"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FF0000"/>
                      <w:sz w:val="21"/>
                      <w:szCs w:val="21"/>
                      <w:vertAlign w:val="baseline"/>
                      <w:lang w:val="en-US" w:eastAsia="zh-CN"/>
                    </w:rPr>
                  </w:pPr>
                </w:p>
              </w:tc>
              <w:tc>
                <w:tcPr>
                  <w:tcW w:w="158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u w:val="single"/>
                      <w:vertAlign w:val="baseline"/>
                      <w:lang w:val="en-US" w:eastAsia="zh-CN" w:bidi="ar-SA"/>
                    </w:rPr>
                  </w:pPr>
                  <w:r>
                    <w:rPr>
                      <w:rFonts w:hint="default" w:ascii="Times New Roman" w:hAnsi="Times New Roman" w:cs="Times New Roman"/>
                      <w:color w:val="FF0000"/>
                      <w:kern w:val="2"/>
                      <w:sz w:val="21"/>
                      <w:szCs w:val="21"/>
                      <w:u w:val="single"/>
                      <w:vertAlign w:val="baseline"/>
                      <w:lang w:val="en-US" w:eastAsia="zh-CN" w:bidi="ar-SA"/>
                    </w:rPr>
                    <w:t>车间外</w:t>
                  </w:r>
                </w:p>
              </w:tc>
              <w:tc>
                <w:tcPr>
                  <w:tcW w:w="2074"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FF"/>
                      <w:kern w:val="2"/>
                      <w:sz w:val="21"/>
                      <w:szCs w:val="21"/>
                      <w:u w:val="single"/>
                      <w:vertAlign w:val="baseline"/>
                      <w:lang w:val="en-US" w:eastAsia="zh-CN" w:bidi="ar-SA"/>
                    </w:rPr>
                  </w:pPr>
                  <w:r>
                    <w:rPr>
                      <w:rFonts w:hint="default" w:ascii="Times New Roman" w:hAnsi="Times New Roman" w:cs="Times New Roman"/>
                      <w:color w:val="0000FF"/>
                      <w:sz w:val="21"/>
                      <w:szCs w:val="21"/>
                      <w:u w:val="single"/>
                      <w:vertAlign w:val="baseline"/>
                      <w:lang w:val="en-US" w:eastAsia="zh-CN"/>
                    </w:rPr>
                    <w:t>非甲烷总烃</w:t>
                  </w:r>
                </w:p>
              </w:tc>
              <w:tc>
                <w:tcPr>
                  <w:tcW w:w="140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u w:val="single"/>
                      <w:vertAlign w:val="baseline"/>
                      <w:lang w:val="en-US" w:eastAsia="zh-CN" w:bidi="ar-SA"/>
                    </w:rPr>
                  </w:pPr>
                  <w:r>
                    <w:rPr>
                      <w:rFonts w:hint="default" w:ascii="Times New Roman" w:hAnsi="Times New Roman" w:cs="Times New Roman"/>
                      <w:color w:val="FF0000"/>
                      <w:sz w:val="21"/>
                      <w:szCs w:val="21"/>
                      <w:u w:val="single"/>
                      <w:vertAlign w:val="baseline"/>
                      <w:lang w:val="en-US" w:eastAsia="zh-CN"/>
                    </w:rPr>
                    <w:t>1次/年</w:t>
                  </w:r>
                </w:p>
              </w:tc>
              <w:tc>
                <w:tcPr>
                  <w:tcW w:w="27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kern w:val="2"/>
                      <w:sz w:val="21"/>
                      <w:szCs w:val="21"/>
                      <w:u w:val="single"/>
                      <w:vertAlign w:val="baseline"/>
                      <w:lang w:val="en-US" w:eastAsia="zh-CN" w:bidi="ar-SA"/>
                    </w:rPr>
                  </w:pPr>
                  <w:r>
                    <w:rPr>
                      <w:rFonts w:hint="default" w:ascii="Times New Roman" w:hAnsi="Times New Roman" w:cs="Times New Roman"/>
                      <w:color w:val="FF0000"/>
                      <w:sz w:val="21"/>
                      <w:szCs w:val="21"/>
                      <w:u w:val="single"/>
                      <w:vertAlign w:val="baseline"/>
                      <w:lang w:val="en-US" w:eastAsia="zh-CN"/>
                    </w:rPr>
                    <w:t>《印刷业挥发性有机物排放标准》（DB43/1357-2017）</w:t>
                  </w:r>
                </w:p>
              </w:tc>
            </w:tr>
            <w:bookmarkEnd w:id="50"/>
          </w:tbl>
          <w:p>
            <w:pPr>
              <w:keepNext w:val="0"/>
              <w:keepLines w:val="0"/>
              <w:pageBreakBefore w:val="0"/>
              <w:widowControl w:val="0"/>
              <w:kinsoku/>
              <w:wordWrap/>
              <w:overflowPunct/>
              <w:topLinePunct w:val="0"/>
              <w:autoSpaceDE/>
              <w:autoSpaceDN/>
              <w:bidi w:val="0"/>
              <w:adjustRightInd/>
              <w:snapToGrid/>
              <w:spacing w:before="157" w:beforeLines="50" w:line="360" w:lineRule="auto"/>
              <w:ind w:left="0" w:leftChars="0" w:right="0" w:firstLine="0" w:firstLineChars="0"/>
              <w:jc w:val="left"/>
              <w:textAlignment w:val="auto"/>
              <w:rPr>
                <w:rFonts w:hint="default" w:ascii="Times New Roman" w:hAnsi="Times New Roman" w:eastAsia="黑体" w:cs="Times New Roman"/>
                <w:bCs/>
                <w:kern w:val="2"/>
                <w:sz w:val="24"/>
                <w:szCs w:val="32"/>
                <w:lang w:val="en-US" w:eastAsia="zh-CN" w:bidi="ar-SA"/>
              </w:rPr>
            </w:pPr>
            <w:r>
              <w:rPr>
                <w:rFonts w:hint="default" w:ascii="Times New Roman" w:hAnsi="Times New Roman" w:eastAsia="黑体" w:cs="Times New Roman"/>
                <w:bCs/>
                <w:kern w:val="2"/>
                <w:sz w:val="24"/>
                <w:szCs w:val="32"/>
                <w:lang w:val="en-US" w:eastAsia="zh-CN" w:bidi="ar-SA"/>
              </w:rPr>
              <w:t>4.6.6 大气环境影响评价小结</w:t>
            </w:r>
          </w:p>
          <w:p>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sz w:val="24"/>
                <w:szCs w:val="24"/>
                <w:lang w:val="en-US" w:eastAsia="zh-CN"/>
              </w:rPr>
              <w:t>本项目营运期间产生的废气主要有烘干工序的天然气燃烧废气、堆场扬尘、生产过程中产生的粉尘以及喷码产生的挥发有机物废气。其中生产过程中产生的粉尘主要包括原料输送储运废气、破碎筛分粉尘、输送过程产生的粉尘、混合包装粉尘等。项目设施尽量密闭，无法密闭的采取半封闭式减少粉尘产生，项目在各个产生粉尘的节点设置集气罩收集粉尘，收集的粉尘经脉冲布袋除尘器处理后经排气筒排放，根据分析，项目废气能够实现达标排放。</w:t>
            </w:r>
          </w:p>
          <w:p>
            <w:pPr>
              <w:bidi w:val="0"/>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 xml:space="preserve">4.7 </w:t>
            </w:r>
            <w:r>
              <w:rPr>
                <w:rFonts w:hint="default" w:ascii="Times New Roman" w:hAnsi="Times New Roman" w:eastAsia="黑体" w:cs="Times New Roman"/>
                <w:lang w:val="en-US" w:eastAsia="zh-CN"/>
              </w:rPr>
              <w:t>运营期废水</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本项目产生的废水主要为生活污水和车辆冲洗废水。</w:t>
            </w:r>
          </w:p>
          <w:p>
            <w:pPr>
              <w:bidi w:val="0"/>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4.7.1</w:t>
            </w:r>
            <w:r>
              <w:rPr>
                <w:rFonts w:hint="default" w:ascii="Times New Roman" w:hAnsi="Times New Roman" w:eastAsia="黑体" w:cs="Times New Roman"/>
                <w:lang w:val="en-US" w:eastAsia="zh-CN"/>
              </w:rPr>
              <w:t>废水产生量核算</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根据工程分析，车辆冲洗废水回用于冲洗，不排放。项目生活污水产生量为3.01m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/d（919.2m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/a）。</w:t>
            </w:r>
          </w:p>
          <w:p>
            <w:pPr>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项目主要外排废水为生</w:t>
            </w:r>
            <w:r>
              <w:rPr>
                <w:rFonts w:hint="default" w:ascii="Times New Roman" w:hAnsi="Times New Roman" w:eastAsia="宋体" w:cs="Times New Roman"/>
                <w:szCs w:val="24"/>
                <w:highlight w:val="none"/>
                <w:lang w:val="en-US" w:eastAsia="zh-CN"/>
              </w:rPr>
              <w:t>活污水，</w:t>
            </w:r>
            <w:r>
              <w:rPr>
                <w:rFonts w:hint="default" w:ascii="Times New Roman" w:hAnsi="Times New Roman" w:eastAsia="宋体" w:cs="Times New Roman"/>
                <w:color w:val="000000"/>
                <w:kern w:val="0"/>
                <w:szCs w:val="24"/>
                <w:lang w:val="en-US" w:eastAsia="zh-CN" w:bidi="ar"/>
              </w:rPr>
              <w:t>生活污水经化粪池处理</w:t>
            </w:r>
            <w:r>
              <w:rPr>
                <w:rFonts w:hint="default" w:ascii="Times New Roman" w:hAnsi="Times New Roman" w:cs="Times New Roman"/>
                <w:color w:val="000000"/>
                <w:kern w:val="0"/>
                <w:szCs w:val="24"/>
                <w:lang w:val="en-US" w:eastAsia="zh-CN" w:bidi="ar"/>
              </w:rPr>
              <w:t>后</w:t>
            </w:r>
            <w:r>
              <w:rPr>
                <w:rFonts w:hint="default" w:ascii="Times New Roman" w:hAnsi="Times New Roman" w:eastAsia="宋体" w:cs="Times New Roman"/>
                <w:color w:val="000000"/>
                <w:kern w:val="0"/>
                <w:szCs w:val="24"/>
                <w:lang w:val="en-US" w:eastAsia="zh-CN" w:bidi="ar"/>
              </w:rPr>
              <w:t>氨氮达《城镇下水道水质标准》（GB/T 31962-2015）表1中B级标准限值，其他污染因子达《污水综合排放标准》（GB8978</w:t>
            </w:r>
            <w:r>
              <w:rPr>
                <w:rFonts w:hint="default" w:ascii="Times New Roman" w:hAnsi="Times New Roman" w:cs="Times New Roman"/>
                <w:color w:val="000000"/>
                <w:kern w:val="0"/>
                <w:szCs w:val="24"/>
                <w:lang w:val="en-US" w:eastAsia="zh-CN" w:bidi="ar"/>
              </w:rPr>
              <w:t>-</w:t>
            </w:r>
            <w:r>
              <w:rPr>
                <w:rFonts w:hint="default" w:ascii="Times New Roman" w:hAnsi="Times New Roman" w:eastAsia="宋体" w:cs="Times New Roman"/>
                <w:color w:val="000000"/>
                <w:kern w:val="0"/>
                <w:szCs w:val="24"/>
                <w:lang w:val="en-US" w:eastAsia="zh-CN" w:bidi="ar"/>
              </w:rPr>
              <w:t>1996）表4中的三级标准后进入市政污水管网排至湘阴县第一污水处理厂，经污水处理厂处理达《城镇污水处理厂污染物排放标准》（GB18918-2002）中一级A标准后排入</w:t>
            </w:r>
            <w:r>
              <w:rPr>
                <w:rFonts w:hint="default" w:ascii="Times New Roman" w:hAnsi="Times New Roman" w:cs="Times New Roman"/>
                <w:color w:val="000000"/>
                <w:kern w:val="0"/>
                <w:szCs w:val="24"/>
                <w:lang w:val="en-US" w:eastAsia="zh-CN" w:bidi="ar"/>
              </w:rPr>
              <w:t>白沙河最后进入湘江。</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lang w:val="en-US" w:eastAsia="zh-CN"/>
              </w:rPr>
              <w:t>项目生活污水污染物浓度参照《排放源统计调查产排污核酸方法和系数手册 生活源产排污核算方法和系数手册》五区系数进行核算（湖南地区属于五区）。</w:t>
            </w:r>
          </w:p>
          <w:p>
            <w:pPr>
              <w:pStyle w:val="11"/>
              <w:ind w:left="0" w:leftChars="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表4-18 项目运营期生活污水产排情况</w:t>
            </w:r>
          </w:p>
          <w:tbl>
            <w:tblPr>
              <w:tblStyle w:val="21"/>
              <w:tblW w:w="8658"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221"/>
              <w:gridCol w:w="1462"/>
              <w:gridCol w:w="1289"/>
              <w:gridCol w:w="852"/>
              <w:gridCol w:w="1142"/>
              <w:gridCol w:w="1403"/>
              <w:gridCol w:w="12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7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污染物</w:t>
                  </w:r>
                </w:p>
              </w:tc>
              <w:tc>
                <w:tcPr>
                  <w:tcW w:w="1588"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产生量（919.2t/a）</w:t>
                  </w:r>
                </w:p>
              </w:tc>
              <w:tc>
                <w:tcPr>
                  <w:tcW w:w="1151"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处理措施</w:t>
                  </w:r>
                </w:p>
              </w:tc>
              <w:tc>
                <w:tcPr>
                  <w:tcW w:w="1554" w:type="pct"/>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处理后排放量（919.2t/a）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46" w:hRule="atLeast"/>
              </w:trPr>
              <w:tc>
                <w:tcPr>
                  <w:tcW w:w="7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名称</w:t>
                  </w:r>
                </w:p>
              </w:tc>
              <w:tc>
                <w:tcPr>
                  <w:tcW w:w="8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浓度（mg/L）</w:t>
                  </w:r>
                </w:p>
              </w:tc>
              <w:tc>
                <w:tcPr>
                  <w:tcW w:w="74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产生量（t/a）</w:t>
                  </w:r>
                </w:p>
              </w:tc>
              <w:tc>
                <w:tcPr>
                  <w:tcW w:w="492"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工艺</w:t>
                  </w:r>
                </w:p>
              </w:tc>
              <w:tc>
                <w:tcPr>
                  <w:tcW w:w="65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效率（%）</w:t>
                  </w:r>
                </w:p>
              </w:tc>
              <w:tc>
                <w:tcPr>
                  <w:tcW w:w="81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浓度（mg/L）</w:t>
                  </w:r>
                </w:p>
              </w:tc>
              <w:tc>
                <w:tcPr>
                  <w:tcW w:w="7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8" w:hRule="atLeast"/>
              </w:trPr>
              <w:tc>
                <w:tcPr>
                  <w:tcW w:w="7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CODCr</w:t>
                  </w:r>
                </w:p>
              </w:tc>
              <w:tc>
                <w:tcPr>
                  <w:tcW w:w="8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285</w:t>
                  </w:r>
                </w:p>
              </w:tc>
              <w:tc>
                <w:tcPr>
                  <w:tcW w:w="74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0.262 </w:t>
                  </w:r>
                </w:p>
              </w:tc>
              <w:tc>
                <w:tcPr>
                  <w:tcW w:w="492"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化粪池</w:t>
                  </w:r>
                </w:p>
              </w:tc>
              <w:tc>
                <w:tcPr>
                  <w:tcW w:w="65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81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242.25</w:t>
                  </w:r>
                </w:p>
              </w:tc>
              <w:tc>
                <w:tcPr>
                  <w:tcW w:w="7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0.223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8" w:hRule="atLeast"/>
              </w:trPr>
              <w:tc>
                <w:tcPr>
                  <w:tcW w:w="7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BOD</w:t>
                  </w:r>
                  <w:r>
                    <w:rPr>
                      <w:rFonts w:hint="default" w:ascii="Times New Roman" w:hAnsi="Times New Roman" w:eastAsia="宋体" w:cs="Times New Roman"/>
                      <w:i w:val="0"/>
                      <w:iCs w:val="0"/>
                      <w:color w:val="000000"/>
                      <w:kern w:val="0"/>
                      <w:sz w:val="21"/>
                      <w:szCs w:val="21"/>
                      <w:u w:val="none"/>
                      <w:vertAlign w:val="subscript"/>
                      <w:lang w:val="en-US" w:eastAsia="zh-CN" w:bidi="ar"/>
                    </w:rPr>
                    <w:t>5</w:t>
                  </w:r>
                </w:p>
              </w:tc>
              <w:tc>
                <w:tcPr>
                  <w:tcW w:w="8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129</w:t>
                  </w:r>
                </w:p>
              </w:tc>
              <w:tc>
                <w:tcPr>
                  <w:tcW w:w="74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0.119 </w:t>
                  </w:r>
                </w:p>
              </w:tc>
              <w:tc>
                <w:tcPr>
                  <w:tcW w:w="492"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65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81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117.39</w:t>
                  </w:r>
                </w:p>
              </w:tc>
              <w:tc>
                <w:tcPr>
                  <w:tcW w:w="7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0.108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8" w:hRule="atLeast"/>
              </w:trPr>
              <w:tc>
                <w:tcPr>
                  <w:tcW w:w="7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NH</w:t>
                  </w:r>
                  <w:r>
                    <w:rPr>
                      <w:rFonts w:hint="default" w:ascii="Times New Roman" w:hAnsi="Times New Roman" w:eastAsia="宋体" w:cs="Times New Roman"/>
                      <w:i w:val="0"/>
                      <w:iCs w:val="0"/>
                      <w:color w:val="000000"/>
                      <w:kern w:val="0"/>
                      <w:sz w:val="21"/>
                      <w:szCs w:val="21"/>
                      <w:u w:val="none"/>
                      <w:vertAlign w:val="subscript"/>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-N</w:t>
                  </w:r>
                </w:p>
              </w:tc>
              <w:tc>
                <w:tcPr>
                  <w:tcW w:w="8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28.3</w:t>
                  </w:r>
                </w:p>
              </w:tc>
              <w:tc>
                <w:tcPr>
                  <w:tcW w:w="74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0.026 </w:t>
                  </w:r>
                </w:p>
              </w:tc>
              <w:tc>
                <w:tcPr>
                  <w:tcW w:w="492"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65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81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27.45</w:t>
                  </w:r>
                </w:p>
              </w:tc>
              <w:tc>
                <w:tcPr>
                  <w:tcW w:w="7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0.025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90" w:hRule="atLeast"/>
              </w:trPr>
              <w:tc>
                <w:tcPr>
                  <w:tcW w:w="705"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SS</w:t>
                  </w:r>
                </w:p>
              </w:tc>
              <w:tc>
                <w:tcPr>
                  <w:tcW w:w="8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200</w:t>
                  </w:r>
                </w:p>
              </w:tc>
              <w:tc>
                <w:tcPr>
                  <w:tcW w:w="74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0.184 </w:t>
                  </w:r>
                </w:p>
              </w:tc>
              <w:tc>
                <w:tcPr>
                  <w:tcW w:w="492" w:type="pct"/>
                  <w:vMerge w:val="continue"/>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iCs w:val="0"/>
                      <w:color w:val="000000"/>
                      <w:sz w:val="21"/>
                      <w:szCs w:val="21"/>
                      <w:u w:val="none"/>
                    </w:rPr>
                  </w:pPr>
                </w:p>
              </w:tc>
              <w:tc>
                <w:tcPr>
                  <w:tcW w:w="659"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81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100</w:t>
                  </w:r>
                </w:p>
              </w:tc>
              <w:tc>
                <w:tcPr>
                  <w:tcW w:w="74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 xml:space="preserve">0.092 </w:t>
                  </w:r>
                </w:p>
              </w:tc>
            </w:tr>
          </w:tbl>
          <w:p>
            <w:pPr>
              <w:pStyle w:val="2"/>
              <w:keepNext w:val="0"/>
              <w:keepLines w:val="0"/>
              <w:pageBreakBefore w:val="0"/>
              <w:widowControl w:val="0"/>
              <w:kinsoku/>
              <w:wordWrap/>
              <w:overflowPunct/>
              <w:topLinePunct w:val="0"/>
              <w:autoSpaceDE/>
              <w:autoSpaceDN/>
              <w:bidi w:val="0"/>
              <w:adjustRightInd/>
              <w:snapToGrid/>
              <w:spacing w:after="0" w:afterLines="0"/>
              <w:ind w:left="0" w:leftChars="0" w:firstLine="0" w:firstLineChars="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4.7.2</w:t>
            </w:r>
            <w:r>
              <w:rPr>
                <w:rFonts w:hint="default" w:ascii="Times New Roman" w:hAnsi="Times New Roman" w:eastAsia="黑体" w:cs="Times New Roman"/>
                <w:lang w:val="en-US" w:eastAsia="zh-CN"/>
              </w:rPr>
              <w:t>废水处理设施可行性分析</w:t>
            </w:r>
          </w:p>
          <w:p>
            <w:pPr>
              <w:keepNext w:val="0"/>
              <w:keepLines w:val="0"/>
              <w:pageBreakBefore w:val="0"/>
              <w:widowControl/>
              <w:numPr>
                <w:ilvl w:val="0"/>
                <w:numId w:val="9"/>
              </w:numPr>
              <w:suppressLineNumbers w:val="0"/>
              <w:kinsoku/>
              <w:wordWrap/>
              <w:overflowPunct/>
              <w:topLinePunct w:val="0"/>
              <w:bidi w:val="0"/>
              <w:snapToGrid/>
              <w:spacing w:line="360" w:lineRule="auto"/>
              <w:ind w:firstLine="480" w:firstLineChars="200"/>
              <w:jc w:val="left"/>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车辆清洗废水回用的可行分析</w:t>
            </w:r>
          </w:p>
          <w:p>
            <w:pPr>
              <w:pStyle w:val="2"/>
              <w:rPr>
                <w:rFonts w:hint="default" w:ascii="Times New Roman" w:hAnsi="Times New Roman" w:cs="Times New Roman"/>
                <w:lang w:val="en-US" w:eastAsia="zh-CN"/>
              </w:rPr>
            </w:pPr>
            <w:r>
              <w:rPr>
                <w:rFonts w:hint="default" w:ascii="Times New Roman" w:hAnsi="Times New Roman" w:eastAsia="宋体" w:cs="Times New Roman"/>
                <w:b w:val="0"/>
                <w:bCs w:val="0"/>
                <w:color w:val="auto"/>
                <w:kern w:val="2"/>
                <w:sz w:val="24"/>
                <w:szCs w:val="24"/>
                <w:lang w:val="en-US" w:eastAsia="zh-CN" w:bidi="ar-SA"/>
              </w:rPr>
              <w:t>本项目在厂区大门处设置1套货车</w:t>
            </w:r>
            <w:r>
              <w:rPr>
                <w:rFonts w:hint="default" w:ascii="Times New Roman" w:hAnsi="Times New Roman" w:cs="Times New Roman"/>
                <w:b w:val="0"/>
                <w:bCs w:val="0"/>
                <w:color w:val="auto"/>
                <w:kern w:val="2"/>
                <w:sz w:val="24"/>
                <w:szCs w:val="24"/>
                <w:lang w:val="en-US" w:eastAsia="zh-CN" w:bidi="ar-SA"/>
              </w:rPr>
              <w:t>轮胎</w:t>
            </w:r>
            <w:r>
              <w:rPr>
                <w:rFonts w:hint="default" w:ascii="Times New Roman" w:hAnsi="Times New Roman" w:eastAsia="宋体" w:cs="Times New Roman"/>
                <w:b w:val="0"/>
                <w:bCs w:val="0"/>
                <w:color w:val="auto"/>
                <w:kern w:val="2"/>
                <w:sz w:val="24"/>
                <w:szCs w:val="24"/>
                <w:lang w:val="en-US" w:eastAsia="zh-CN" w:bidi="ar-SA"/>
              </w:rPr>
              <w:t>冲洗装置，装置下方设置废水收集沉淀池。本项目货车主要污染物为车辆沾染的原料石灰、河砂、鹅卵石等。车辆冲洗产生的废水污染因子主要为SS以及少量石油类物质。本项目加强运输车辆管理，避免使用跑、冒、滴、漏的货车，减少废水冲洗产生的石油类物质。项目经沉淀后回用于洗车，不排放。由于废水污染物主要为SS，经沉淀后的废水可以满足回用水要求。</w:t>
            </w:r>
          </w:p>
          <w:p>
            <w:pPr>
              <w:pStyle w:val="2"/>
              <w:numPr>
                <w:ilvl w:val="0"/>
                <w:numId w:val="9"/>
              </w:numPr>
              <w:rPr>
                <w:rFonts w:hint="default" w:ascii="Times New Roman" w:hAnsi="Times New Roman" w:cs="Times New Roman"/>
                <w:lang w:val="en-US" w:eastAsia="zh-CN"/>
              </w:rPr>
            </w:pPr>
            <w:r>
              <w:rPr>
                <w:rFonts w:hint="default" w:ascii="Times New Roman" w:hAnsi="Times New Roman" w:cs="Times New Roman"/>
                <w:lang w:val="en-US" w:eastAsia="zh-CN"/>
              </w:rPr>
              <w:t>生活污水处理设施可行性分析</w:t>
            </w:r>
          </w:p>
          <w:p>
            <w:pPr>
              <w:keepNext w:val="0"/>
              <w:keepLines w:val="0"/>
              <w:pageBreakBefore w:val="0"/>
              <w:widowControl/>
              <w:suppressLineNumbers w:val="0"/>
              <w:kinsoku/>
              <w:wordWrap/>
              <w:overflowPunct/>
              <w:topLinePunct w:val="0"/>
              <w:bidi w:val="0"/>
              <w:snapToGrid/>
              <w:spacing w:line="360" w:lineRule="auto"/>
              <w:ind w:firstLine="480" w:firstLineChars="200"/>
              <w:jc w:val="left"/>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color w:val="auto"/>
                <w:kern w:val="2"/>
                <w:sz w:val="24"/>
                <w:szCs w:val="24"/>
                <w:lang w:val="en-US" w:eastAsia="zh-CN" w:bidi="ar-SA"/>
              </w:rPr>
              <w:t>本项目</w:t>
            </w:r>
            <w:r>
              <w:rPr>
                <w:rFonts w:hint="default" w:ascii="Times New Roman" w:hAnsi="Times New Roman" w:cs="Times New Roman"/>
                <w:b w:val="0"/>
                <w:bCs w:val="0"/>
                <w:color w:val="auto"/>
                <w:kern w:val="2"/>
                <w:sz w:val="24"/>
                <w:szCs w:val="24"/>
                <w:lang w:val="en-US" w:eastAsia="zh-CN" w:bidi="ar-SA"/>
              </w:rPr>
              <w:t>生活污水</w:t>
            </w:r>
            <w:r>
              <w:rPr>
                <w:rFonts w:hint="default" w:ascii="Times New Roman" w:hAnsi="Times New Roman" w:eastAsia="宋体" w:cs="Times New Roman"/>
                <w:b w:val="0"/>
                <w:bCs w:val="0"/>
                <w:color w:val="auto"/>
                <w:kern w:val="2"/>
                <w:sz w:val="24"/>
                <w:szCs w:val="24"/>
                <w:lang w:val="en-US" w:eastAsia="zh-CN" w:bidi="ar-SA"/>
              </w:rPr>
              <w:t>排放量约</w:t>
            </w:r>
            <w:r>
              <w:rPr>
                <w:rFonts w:hint="default" w:ascii="Times New Roman" w:hAnsi="Times New Roman" w:cs="Times New Roman"/>
                <w:sz w:val="24"/>
                <w:szCs w:val="24"/>
                <w:highlight w:val="none"/>
                <w:lang w:val="en-US" w:eastAsia="zh-CN"/>
              </w:rPr>
              <w:t>919.2</w:t>
            </w:r>
            <w:r>
              <w:rPr>
                <w:rFonts w:hint="default" w:ascii="Times New Roman" w:hAnsi="Times New Roman" w:eastAsia="宋体" w:cs="Times New Roman"/>
                <w:sz w:val="24"/>
                <w:szCs w:val="24"/>
                <w:highlight w:val="none"/>
                <w:lang w:val="en-US" w:eastAsia="zh-CN"/>
              </w:rPr>
              <w:t>m</w:t>
            </w:r>
            <w:r>
              <w:rPr>
                <w:rFonts w:hint="default" w:ascii="Times New Roman" w:hAnsi="Times New Roman" w:eastAsia="宋体" w:cs="Times New Roman"/>
                <w:sz w:val="24"/>
                <w:szCs w:val="24"/>
                <w:highlight w:val="none"/>
                <w:vertAlign w:val="superscript"/>
                <w:lang w:val="en-US" w:eastAsia="zh-CN"/>
              </w:rPr>
              <w:t>3</w:t>
            </w:r>
            <w:r>
              <w:rPr>
                <w:rFonts w:hint="default" w:ascii="Times New Roman" w:hAnsi="Times New Roman" w:eastAsia="宋体" w:cs="Times New Roman"/>
                <w:sz w:val="24"/>
                <w:szCs w:val="24"/>
                <w:highlight w:val="none"/>
                <w:lang w:val="en-US" w:eastAsia="zh-CN"/>
              </w:rPr>
              <w:t>/a</w:t>
            </w:r>
            <w:r>
              <w:rPr>
                <w:rFonts w:hint="default" w:ascii="Times New Roman" w:hAnsi="Times New Roman" w:cs="Times New Roman"/>
                <w:sz w:val="24"/>
                <w:szCs w:val="24"/>
                <w:highlight w:val="none"/>
                <w:lang w:val="en-US" w:eastAsia="zh-CN"/>
              </w:rPr>
              <w:t>（3.01t/d）</w:t>
            </w:r>
            <w:r>
              <w:rPr>
                <w:rFonts w:hint="default" w:ascii="Times New Roman" w:hAnsi="Times New Roman" w:eastAsia="宋体" w:cs="Times New Roman"/>
                <w:b w:val="0"/>
                <w:bCs w:val="0"/>
                <w:color w:val="auto"/>
                <w:kern w:val="2"/>
                <w:sz w:val="24"/>
                <w:szCs w:val="24"/>
                <w:lang w:val="en-US" w:eastAsia="zh-CN" w:bidi="ar-SA"/>
              </w:rPr>
              <w:t>，主要污染物为</w:t>
            </w:r>
            <w:r>
              <w:rPr>
                <w:rFonts w:hint="default" w:ascii="Times New Roman" w:hAnsi="Times New Roman" w:eastAsia="宋体" w:cs="Times New Roman"/>
                <w:b w:val="0"/>
                <w:bCs w:val="0"/>
                <w:color w:val="auto"/>
                <w:sz w:val="24"/>
                <w:szCs w:val="24"/>
                <w:lang w:val="en-US" w:eastAsia="zh-CN"/>
              </w:rPr>
              <w:t>COD、BOD</w:t>
            </w:r>
            <w:r>
              <w:rPr>
                <w:rFonts w:hint="default" w:ascii="Times New Roman" w:hAnsi="Times New Roman" w:eastAsia="宋体" w:cs="Times New Roman"/>
                <w:b w:val="0"/>
                <w:bCs w:val="0"/>
                <w:color w:val="auto"/>
                <w:sz w:val="24"/>
                <w:szCs w:val="24"/>
                <w:vertAlign w:val="subscript"/>
                <w:lang w:val="en-US" w:eastAsia="zh-CN"/>
              </w:rPr>
              <w:t>5</w:t>
            </w:r>
            <w:r>
              <w:rPr>
                <w:rFonts w:hint="default" w:ascii="Times New Roman" w:hAnsi="Times New Roman" w:eastAsia="宋体" w:cs="Times New Roman"/>
                <w:b w:val="0"/>
                <w:bCs w:val="0"/>
                <w:color w:val="auto"/>
                <w:sz w:val="24"/>
                <w:szCs w:val="24"/>
                <w:lang w:val="en-US" w:eastAsia="zh-CN"/>
              </w:rPr>
              <w:t>、NH</w:t>
            </w:r>
            <w:r>
              <w:rPr>
                <w:rFonts w:hint="default" w:ascii="Times New Roman" w:hAnsi="Times New Roman" w:eastAsia="宋体" w:cs="Times New Roman"/>
                <w:b w:val="0"/>
                <w:bCs w:val="0"/>
                <w:color w:val="auto"/>
                <w:sz w:val="24"/>
                <w:szCs w:val="24"/>
                <w:vertAlign w:val="subscript"/>
                <w:lang w:val="en-US" w:eastAsia="zh-CN"/>
              </w:rPr>
              <w:t>3</w:t>
            </w:r>
            <w:r>
              <w:rPr>
                <w:rFonts w:hint="default" w:ascii="Times New Roman" w:hAnsi="Times New Roman" w:eastAsia="宋体" w:cs="Times New Roman"/>
                <w:b w:val="0"/>
                <w:bCs w:val="0"/>
                <w:color w:val="auto"/>
                <w:sz w:val="24"/>
                <w:szCs w:val="24"/>
                <w:lang w:val="en-US" w:eastAsia="zh-CN"/>
              </w:rPr>
              <w:t>-N、SS，</w:t>
            </w:r>
            <w:r>
              <w:rPr>
                <w:rFonts w:hint="default" w:ascii="Times New Roman" w:hAnsi="Times New Roman" w:cs="Times New Roman"/>
                <w:b w:val="0"/>
                <w:bCs w:val="0"/>
                <w:color w:val="auto"/>
                <w:sz w:val="24"/>
                <w:szCs w:val="24"/>
                <w:lang w:val="en-US" w:eastAsia="zh-CN"/>
              </w:rPr>
              <w:t>经</w:t>
            </w:r>
            <w:r>
              <w:rPr>
                <w:rFonts w:hint="default" w:ascii="Times New Roman" w:hAnsi="Times New Roman" w:eastAsia="宋体" w:cs="Times New Roman"/>
                <w:b w:val="0"/>
                <w:bCs w:val="0"/>
                <w:color w:val="auto"/>
                <w:sz w:val="24"/>
                <w:szCs w:val="24"/>
                <w:lang w:val="en-US" w:eastAsia="zh-CN"/>
              </w:rPr>
              <w:t>化粪池处理后排入市政管网，</w:t>
            </w:r>
            <w:r>
              <w:rPr>
                <w:rFonts w:hint="default" w:ascii="Times New Roman" w:hAnsi="Times New Roman" w:eastAsia="宋体" w:cs="Times New Roman"/>
                <w:b w:val="0"/>
                <w:bCs w:val="0"/>
                <w:color w:val="000000"/>
                <w:kern w:val="0"/>
                <w:sz w:val="24"/>
                <w:szCs w:val="24"/>
                <w:lang w:val="en-US" w:eastAsia="zh-CN" w:bidi="ar"/>
              </w:rPr>
              <w:t>化粪池是将生活污水分格沉淀，及对污泥进行厌氧消化的小型处理构筑物。化粪池属最初级污水处理阶段，可去除50%的悬浮杂质（粪便、较大病原虫等），并使积泥在厌氧条件下分解为稳定状态。其沉淀原理类似于平流式沉淀池，分为酸性发酵和碱性发酵两个阶段。第一阶段为酸性发酵阶段，产生H</w:t>
            </w:r>
            <w:r>
              <w:rPr>
                <w:rFonts w:hint="default" w:ascii="Times New Roman" w:hAnsi="Times New Roman" w:eastAsia="宋体" w:cs="Times New Roman"/>
                <w:b w:val="0"/>
                <w:bCs w:val="0"/>
                <w:color w:val="000000"/>
                <w:kern w:val="0"/>
                <w:sz w:val="24"/>
                <w:szCs w:val="24"/>
                <w:vertAlign w:val="subscript"/>
                <w:lang w:val="en-US" w:eastAsia="zh-CN" w:bidi="ar"/>
              </w:rPr>
              <w:t>2</w:t>
            </w:r>
            <w:r>
              <w:rPr>
                <w:rFonts w:hint="default" w:ascii="Times New Roman" w:hAnsi="Times New Roman" w:eastAsia="宋体" w:cs="Times New Roman"/>
                <w:b w:val="0"/>
                <w:bCs w:val="0"/>
                <w:color w:val="000000"/>
                <w:kern w:val="0"/>
                <w:sz w:val="24"/>
                <w:szCs w:val="24"/>
                <w:lang w:val="en-US" w:eastAsia="zh-CN" w:bidi="ar"/>
              </w:rPr>
              <w:t>S、硫醇、吲哚、粪臭素等有害气体和腐臭味，粪便污水pH为5.0～6.0。悬浮杂质吸附气泡浮于水面后，又因气体释放而沉入池底，循环的沉浮运动使悬浮杂质块逐渐变小，粪块中的寄生虫卵也随之剥离沉入池底。第二阶段是碱性发酵阶段，第一阶段产生的氨基酸在甲烷基作用下分解为CO</w:t>
            </w:r>
            <w:r>
              <w:rPr>
                <w:rFonts w:hint="default" w:ascii="Times New Roman" w:hAnsi="Times New Roman" w:eastAsia="宋体" w:cs="Times New Roman"/>
                <w:b w:val="0"/>
                <w:bCs w:val="0"/>
                <w:color w:val="000000"/>
                <w:kern w:val="0"/>
                <w:sz w:val="24"/>
                <w:szCs w:val="24"/>
                <w:vertAlign w:val="subscript"/>
                <w:lang w:val="en-US" w:eastAsia="zh-CN" w:bidi="ar"/>
              </w:rPr>
              <w:t>2</w:t>
            </w:r>
            <w:r>
              <w:rPr>
                <w:rFonts w:hint="default" w:ascii="Times New Roman" w:hAnsi="Times New Roman" w:eastAsia="宋体" w:cs="Times New Roman"/>
                <w:b w:val="0"/>
                <w:bCs w:val="0"/>
                <w:color w:val="000000"/>
                <w:kern w:val="0"/>
                <w:sz w:val="24"/>
                <w:szCs w:val="24"/>
                <w:lang w:val="en-US" w:eastAsia="zh-CN" w:bidi="ar"/>
              </w:rPr>
              <w:t>、CH</w:t>
            </w:r>
            <w:r>
              <w:rPr>
                <w:rFonts w:hint="default" w:ascii="Times New Roman" w:hAnsi="Times New Roman" w:eastAsia="宋体" w:cs="Times New Roman"/>
                <w:b w:val="0"/>
                <w:bCs w:val="0"/>
                <w:color w:val="000000"/>
                <w:kern w:val="0"/>
                <w:sz w:val="24"/>
                <w:szCs w:val="24"/>
                <w:vertAlign w:val="subscript"/>
                <w:lang w:val="en-US" w:eastAsia="zh-CN" w:bidi="ar"/>
              </w:rPr>
              <w:t>4</w:t>
            </w:r>
            <w:r>
              <w:rPr>
                <w:rFonts w:hint="default" w:ascii="Times New Roman" w:hAnsi="Times New Roman" w:eastAsia="宋体" w:cs="Times New Roman"/>
                <w:b w:val="0"/>
                <w:bCs w:val="0"/>
                <w:color w:val="000000"/>
                <w:kern w:val="0"/>
                <w:sz w:val="24"/>
                <w:szCs w:val="24"/>
                <w:lang w:val="en-US" w:eastAsia="zh-CN" w:bidi="ar"/>
              </w:rPr>
              <w:t>、氨，池内粪液 pH 为7.5左右。为减少污水与污泥的接触时间，也使酸性发酵、碱性发酵两个过程互不干扰，并便于清掏，化粪池一般设两格或三格。</w:t>
            </w:r>
          </w:p>
          <w:p>
            <w:pPr>
              <w:bidi w:val="0"/>
              <w:rPr>
                <w:rFonts w:hint="default" w:ascii="Times New Roman" w:hAnsi="Times New Roman" w:cs="Times New Roman"/>
                <w:lang w:val="en-US" w:eastAsia="zh-CN"/>
              </w:rPr>
            </w:pPr>
            <w:r>
              <w:rPr>
                <w:rFonts w:hint="default" w:ascii="Times New Roman" w:hAnsi="Times New Roman" w:eastAsia="宋体" w:cs="Times New Roman"/>
                <w:b w:val="0"/>
                <w:bCs w:val="0"/>
                <w:color w:val="000000"/>
                <w:kern w:val="0"/>
                <w:sz w:val="24"/>
                <w:szCs w:val="24"/>
                <w:lang w:val="en-US" w:eastAsia="zh-CN" w:bidi="ar"/>
              </w:rPr>
              <w:t>本项目</w:t>
            </w:r>
            <w:r>
              <w:rPr>
                <w:rFonts w:hint="default" w:ascii="Times New Roman" w:hAnsi="Times New Roman" w:cs="Times New Roman"/>
                <w:b w:val="0"/>
                <w:bCs w:val="0"/>
                <w:color w:val="000000"/>
                <w:kern w:val="0"/>
                <w:sz w:val="24"/>
                <w:szCs w:val="24"/>
                <w:lang w:val="en-US" w:eastAsia="zh-CN" w:bidi="ar"/>
              </w:rPr>
              <w:t>厂区拟设置一个20</w:t>
            </w:r>
            <w:r>
              <w:rPr>
                <w:rFonts w:hint="default" w:ascii="Times New Roman" w:hAnsi="Times New Roman" w:eastAsia="宋体" w:cs="Times New Roman"/>
                <w:b w:val="0"/>
                <w:bCs w:val="0"/>
                <w:color w:val="000000"/>
                <w:kern w:val="0"/>
                <w:sz w:val="24"/>
                <w:szCs w:val="24"/>
                <w:lang w:val="en-US" w:eastAsia="zh-CN" w:bidi="ar"/>
              </w:rPr>
              <w:t>m</w:t>
            </w:r>
            <w:r>
              <w:rPr>
                <w:rFonts w:hint="default" w:ascii="Times New Roman" w:hAnsi="Times New Roman" w:eastAsia="宋体" w:cs="Times New Roman"/>
                <w:b w:val="0"/>
                <w:bCs w:val="0"/>
                <w:color w:val="000000"/>
                <w:kern w:val="0"/>
                <w:sz w:val="24"/>
                <w:szCs w:val="24"/>
                <w:vertAlign w:val="superscript"/>
                <w:lang w:val="en-US" w:eastAsia="zh-CN" w:bidi="ar"/>
              </w:rPr>
              <w:t>3</w:t>
            </w:r>
            <w:r>
              <w:rPr>
                <w:rFonts w:hint="default" w:ascii="Times New Roman" w:hAnsi="Times New Roman" w:cs="Times New Roman"/>
                <w:b w:val="0"/>
                <w:bCs w:val="0"/>
                <w:color w:val="000000"/>
                <w:kern w:val="0"/>
                <w:sz w:val="24"/>
                <w:szCs w:val="24"/>
                <w:lang w:val="en-US" w:eastAsia="zh-CN" w:bidi="ar"/>
              </w:rPr>
              <w:t>的</w:t>
            </w:r>
            <w:r>
              <w:rPr>
                <w:rFonts w:hint="default" w:ascii="Times New Roman" w:hAnsi="Times New Roman" w:eastAsia="宋体" w:cs="Times New Roman"/>
                <w:b w:val="0"/>
                <w:bCs w:val="0"/>
                <w:color w:val="000000"/>
                <w:kern w:val="0"/>
                <w:sz w:val="24"/>
                <w:szCs w:val="24"/>
                <w:lang w:val="en-US" w:eastAsia="zh-CN" w:bidi="ar"/>
              </w:rPr>
              <w:t>化粪池，化粪池可接纳和处理</w:t>
            </w:r>
            <w:r>
              <w:rPr>
                <w:rFonts w:hint="default" w:ascii="Times New Roman" w:hAnsi="Times New Roman" w:cs="Times New Roman"/>
                <w:b w:val="0"/>
                <w:bCs w:val="0"/>
                <w:color w:val="000000"/>
                <w:kern w:val="0"/>
                <w:sz w:val="24"/>
                <w:szCs w:val="24"/>
                <w:lang w:val="en-US" w:eastAsia="zh-CN" w:bidi="ar"/>
              </w:rPr>
              <w:t>本项目的生活污水</w:t>
            </w:r>
            <w:r>
              <w:rPr>
                <w:rFonts w:hint="default" w:ascii="Times New Roman" w:hAnsi="Times New Roman" w:eastAsia="宋体" w:cs="Times New Roman"/>
                <w:b w:val="0"/>
                <w:bCs w:val="0"/>
                <w:color w:val="000000"/>
                <w:kern w:val="0"/>
                <w:sz w:val="24"/>
                <w:szCs w:val="24"/>
                <w:lang w:val="en-US" w:eastAsia="zh-CN" w:bidi="ar"/>
              </w:rPr>
              <w:t>污水</w:t>
            </w:r>
            <w:r>
              <w:rPr>
                <w:rFonts w:hint="default" w:ascii="Times New Roman" w:hAnsi="Times New Roman" w:cs="Times New Roman"/>
                <w:b w:val="0"/>
                <w:bCs w:val="0"/>
                <w:color w:val="000000"/>
                <w:kern w:val="0"/>
                <w:sz w:val="24"/>
                <w:szCs w:val="24"/>
                <w:lang w:val="en-US" w:eastAsia="zh-CN" w:bidi="ar"/>
              </w:rPr>
              <w:t>，污水经</w:t>
            </w:r>
            <w:r>
              <w:rPr>
                <w:rFonts w:hint="default" w:ascii="Times New Roman" w:hAnsi="Times New Roman" w:eastAsia="宋体" w:cs="Times New Roman"/>
                <w:b w:val="0"/>
                <w:bCs w:val="0"/>
                <w:color w:val="000000"/>
                <w:kern w:val="0"/>
                <w:sz w:val="24"/>
                <w:szCs w:val="24"/>
                <w:lang w:val="en-US" w:eastAsia="zh-CN" w:bidi="ar"/>
              </w:rPr>
              <w:t>化粪池处理后废水</w:t>
            </w:r>
            <w:r>
              <w:rPr>
                <w:rFonts w:hint="default" w:ascii="Times New Roman" w:hAnsi="Times New Roman" w:eastAsia="宋体" w:cs="Times New Roman"/>
                <w:color w:val="000000"/>
                <w:kern w:val="0"/>
                <w:sz w:val="24"/>
                <w:szCs w:val="24"/>
                <w:lang w:val="en-US" w:eastAsia="zh-CN" w:bidi="ar"/>
              </w:rPr>
              <w:t>可满足《污水综合排放标准》（GB8978</w:t>
            </w:r>
            <w:r>
              <w:rPr>
                <w:rFonts w:hint="default" w:ascii="Times New Roman" w:hAnsi="Times New Roman"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1996）表4中的三级标准，</w:t>
            </w:r>
            <w:r>
              <w:rPr>
                <w:rFonts w:hint="default" w:ascii="Times New Roman" w:hAnsi="Times New Roman" w:eastAsia="宋体" w:cs="Times New Roman"/>
                <w:b w:val="0"/>
                <w:bCs w:val="0"/>
                <w:color w:val="000000"/>
                <w:kern w:val="0"/>
                <w:sz w:val="24"/>
                <w:szCs w:val="24"/>
                <w:lang w:val="en-US" w:eastAsia="zh-CN" w:bidi="ar"/>
              </w:rPr>
              <w:t>因此本项目生活污水处理方式可行。</w:t>
            </w:r>
          </w:p>
          <w:p>
            <w:pPr>
              <w:bidi w:val="0"/>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4.7.3</w:t>
            </w:r>
            <w:r>
              <w:rPr>
                <w:rFonts w:hint="default" w:ascii="Times New Roman" w:hAnsi="Times New Roman" w:eastAsia="黑体" w:cs="Times New Roman"/>
                <w:lang w:val="en-US" w:eastAsia="zh-CN"/>
              </w:rPr>
              <w:t>项目依托湘阴县第一污水处理厂的可行性分析</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湘阴县第一污水处理厂位于湘阴县城区，</w:t>
            </w:r>
            <w:r>
              <w:rPr>
                <w:rFonts w:hint="default" w:ascii="Times New Roman" w:hAnsi="Times New Roman" w:cs="Times New Roman" w:eastAsiaTheme="minorEastAsia"/>
                <w:color w:val="auto"/>
                <w:u w:val="none"/>
              </w:rPr>
              <w:t>服务范围为湘阴县城白水江以北建成区范围内的生活污水，纳污范围27km</w:t>
            </w:r>
            <w:r>
              <w:rPr>
                <w:rFonts w:hint="default" w:ascii="Times New Roman" w:hAnsi="Times New Roman" w:cs="Times New Roman" w:eastAsiaTheme="minorEastAsia"/>
                <w:color w:val="auto"/>
                <w:u w:val="none"/>
                <w:vertAlign w:val="superscript"/>
              </w:rPr>
              <w:t>2</w:t>
            </w:r>
            <w:r>
              <w:rPr>
                <w:rFonts w:hint="default" w:ascii="Times New Roman" w:hAnsi="Times New Roman" w:cs="Times New Roman" w:eastAsiaTheme="minorEastAsia"/>
                <w:color w:val="auto"/>
                <w:u w:val="none"/>
              </w:rPr>
              <w:t>，服务人口30万人</w:t>
            </w:r>
            <w:r>
              <w:rPr>
                <w:rFonts w:hint="default" w:ascii="Times New Roman" w:hAnsi="Times New Roman" w:cs="Times New Roman"/>
                <w:color w:val="auto"/>
                <w:u w:val="none"/>
              </w:rPr>
              <w:t>，扩建工程污水处理工艺采用A/A/O池处理工艺，一期工程为A/C/C氧化沟改良工艺，出厂水水质达到国家《城镇污水处理厂污染物排放标准》(GB 18918-2002)一级标准的A标准。总处理规模为4万吨/日，</w:t>
            </w:r>
            <w:r>
              <w:rPr>
                <w:rFonts w:hint="default" w:ascii="Times New Roman" w:hAnsi="Times New Roman" w:cs="Times New Roman"/>
                <w:lang w:val="en-US" w:eastAsia="zh-CN"/>
              </w:rPr>
              <w:t>尾水排入白水江最终进入湘江湘阴段（洋沙湖至磊石段）。本项目生活污水排放量为9.95t/d（919.2t/a），占湘阴县第一污水处理厂日处理能力的0.02%，项目废水量较少，水质为简单的生活污水，不会对该厂水质、水量造成冲击。</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本项目位于湘阴县第一污水处理厂规划范围内，市政污水管网已建成并接通湘阴县第一污水处理厂，现区域配套市政污水管网已完成并投入使用。因此，本项目污水纳入湘阴县第一污水处理厂集中处理是可行的。</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项目生活污水经湘阴县第一污水处理厂处理后，达到《城镇污水处理厂污染物排放标准》（GB18918-2002）中的一级标准（A标准）后排入白沙河最终进入湘江。因此，项目废水达标排放后对湘江水质影响较小。</w:t>
            </w:r>
          </w:p>
          <w:p>
            <w:pPr>
              <w:bidi w:val="0"/>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4.7.4</w:t>
            </w:r>
            <w:r>
              <w:rPr>
                <w:rFonts w:hint="default" w:ascii="Times New Roman" w:hAnsi="Times New Roman" w:eastAsia="黑体" w:cs="Times New Roman"/>
                <w:lang w:val="en-US" w:eastAsia="zh-CN"/>
              </w:rPr>
              <w:t>建设项目废水排放信息</w:t>
            </w:r>
          </w:p>
          <w:p>
            <w:pPr>
              <w:rPr>
                <w:rFonts w:hint="default" w:ascii="Times New Roman" w:hAnsi="Times New Roman" w:cs="Times New Roman"/>
                <w:lang w:val="en-US" w:eastAsia="zh-CN"/>
              </w:rPr>
            </w:pPr>
            <w:r>
              <w:rPr>
                <w:rFonts w:hint="default" w:ascii="Times New Roman" w:hAnsi="Times New Roman" w:cs="Times New Roman"/>
                <w:lang w:val="en-US" w:eastAsia="zh-CN"/>
              </w:rPr>
              <w:t>（1）废水类别、污染物及污染治理设施信息</w:t>
            </w:r>
          </w:p>
          <w:p>
            <w:pPr>
              <w:ind w:left="0" w:leftChars="0" w:firstLine="0" w:firstLineChars="0"/>
              <w:jc w:val="center"/>
              <w:rPr>
                <w:rFonts w:hint="default" w:ascii="Times New Roman" w:hAnsi="Times New Roman" w:cs="Times New Roman"/>
                <w:vertAlign w:val="baseline"/>
                <w:lang w:val="en-US" w:eastAsia="zh-CN"/>
              </w:rPr>
            </w:pPr>
            <w:r>
              <w:rPr>
                <w:rFonts w:hint="default" w:ascii="Times New Roman" w:hAnsi="Times New Roman" w:cs="Times New Roman"/>
                <w:lang w:val="en-US" w:eastAsia="zh-CN"/>
              </w:rPr>
              <w:t>表4-19 废水类别、污染物及污染治理措施一览表</w:t>
            </w:r>
          </w:p>
          <w:tbl>
            <w:tblPr>
              <w:tblStyle w:val="22"/>
              <w:tblW w:w="8653"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658"/>
              <w:gridCol w:w="2075"/>
              <w:gridCol w:w="1990"/>
              <w:gridCol w:w="1539"/>
              <w:gridCol w:w="945"/>
              <w:gridCol w:w="10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序号</w:t>
                  </w:r>
                </w:p>
              </w:tc>
              <w:tc>
                <w:tcPr>
                  <w:tcW w:w="65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废水类别</w:t>
                  </w:r>
                </w:p>
              </w:tc>
              <w:tc>
                <w:tcPr>
                  <w:tcW w:w="207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污染物种类</w:t>
                  </w:r>
                </w:p>
              </w:tc>
              <w:tc>
                <w:tcPr>
                  <w:tcW w:w="199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污染治理设施名称</w:t>
                  </w:r>
                </w:p>
              </w:tc>
              <w:tc>
                <w:tcPr>
                  <w:tcW w:w="153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污染治理设施工艺</w:t>
                  </w:r>
                </w:p>
              </w:tc>
              <w:tc>
                <w:tcPr>
                  <w:tcW w:w="94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排放口</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编号</w:t>
                  </w:r>
                </w:p>
              </w:tc>
              <w:tc>
                <w:tcPr>
                  <w:tcW w:w="10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排放口类型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w:t>
                  </w:r>
                </w:p>
              </w:tc>
              <w:tc>
                <w:tcPr>
                  <w:tcW w:w="65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生活污水</w:t>
                  </w:r>
                </w:p>
              </w:tc>
              <w:tc>
                <w:tcPr>
                  <w:tcW w:w="207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COD</w:t>
                  </w:r>
                  <w:r>
                    <w:rPr>
                      <w:rFonts w:hint="default" w:ascii="Times New Roman" w:hAnsi="Times New Roman" w:cs="Times New Roman"/>
                      <w:sz w:val="21"/>
                      <w:szCs w:val="21"/>
                      <w:vertAlign w:val="subscript"/>
                      <w:lang w:val="en-US" w:eastAsia="zh-CN"/>
                    </w:rPr>
                    <w:t>Cr</w:t>
                  </w:r>
                  <w:r>
                    <w:rPr>
                      <w:rFonts w:hint="default" w:ascii="Times New Roman" w:hAnsi="Times New Roman" w:cs="Times New Roman"/>
                      <w:sz w:val="21"/>
                      <w:szCs w:val="21"/>
                      <w:vertAlign w:val="baseline"/>
                      <w:lang w:val="en-US" w:eastAsia="zh-CN"/>
                    </w:rPr>
                    <w:t>、BOD</w:t>
                  </w:r>
                  <w:r>
                    <w:rPr>
                      <w:rFonts w:hint="default" w:ascii="Times New Roman" w:hAnsi="Times New Roman" w:cs="Times New Roman"/>
                      <w:sz w:val="21"/>
                      <w:szCs w:val="21"/>
                      <w:vertAlign w:val="subscript"/>
                      <w:lang w:val="en-US" w:eastAsia="zh-CN"/>
                    </w:rPr>
                    <w:t>5</w:t>
                  </w:r>
                  <w:r>
                    <w:rPr>
                      <w:rFonts w:hint="default" w:ascii="Times New Roman" w:hAnsi="Times New Roman" w:cs="Times New Roman"/>
                      <w:sz w:val="21"/>
                      <w:szCs w:val="21"/>
                      <w:vertAlign w:val="baseline"/>
                      <w:lang w:val="en-US" w:eastAsia="zh-CN"/>
                    </w:rPr>
                    <w:t>、SS、氨氮、pH</w:t>
                  </w:r>
                </w:p>
              </w:tc>
              <w:tc>
                <w:tcPr>
                  <w:tcW w:w="199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化粪池</w:t>
                  </w:r>
                </w:p>
              </w:tc>
              <w:tc>
                <w:tcPr>
                  <w:tcW w:w="153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厌氧</w:t>
                  </w:r>
                </w:p>
              </w:tc>
              <w:tc>
                <w:tcPr>
                  <w:tcW w:w="94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DW001</w:t>
                  </w:r>
                </w:p>
              </w:tc>
              <w:tc>
                <w:tcPr>
                  <w:tcW w:w="102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一般排放口</w:t>
                  </w:r>
                </w:p>
              </w:tc>
            </w:tr>
          </w:tbl>
          <w:p>
            <w:pPr>
              <w:bidi w:val="0"/>
              <w:rPr>
                <w:rFonts w:hint="default" w:ascii="Times New Roman" w:hAnsi="Times New Roman" w:cs="Times New Roman"/>
                <w:lang w:val="en-US" w:eastAsia="zh-CN"/>
              </w:rPr>
            </w:pPr>
            <w:r>
              <w:rPr>
                <w:rFonts w:hint="default" w:ascii="Times New Roman" w:hAnsi="Times New Roman" w:cs="Times New Roman"/>
                <w:lang w:val="en-US" w:eastAsia="zh-CN"/>
              </w:rPr>
              <w:t>（2）废水污染物排放信息</w:t>
            </w:r>
          </w:p>
          <w:p>
            <w:pPr>
              <w:bidi w:val="0"/>
              <w:ind w:left="0" w:leftChars="0" w:firstLine="0" w:firstLineChars="0"/>
              <w:jc w:val="center"/>
              <w:rPr>
                <w:rFonts w:hint="default" w:ascii="Times New Roman" w:hAnsi="Times New Roman" w:cs="Times New Roman"/>
                <w:vertAlign w:val="baseline"/>
                <w:lang w:val="en-US" w:eastAsia="zh-CN"/>
              </w:rPr>
            </w:pPr>
            <w:r>
              <w:rPr>
                <w:rFonts w:hint="default" w:ascii="Times New Roman" w:hAnsi="Times New Roman" w:cs="Times New Roman"/>
                <w:lang w:val="en-US" w:eastAsia="zh-CN"/>
              </w:rPr>
              <w:t>表4-20 废水间接排放口基本情况</w:t>
            </w:r>
          </w:p>
          <w:tbl>
            <w:tblPr>
              <w:tblStyle w:val="22"/>
              <w:tblW w:w="8639" w:type="dxa"/>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9"/>
              <w:gridCol w:w="760"/>
              <w:gridCol w:w="1430"/>
              <w:gridCol w:w="788"/>
              <w:gridCol w:w="643"/>
              <w:gridCol w:w="813"/>
              <w:gridCol w:w="787"/>
              <w:gridCol w:w="1488"/>
              <w:gridCol w:w="15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419"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序号</w:t>
                  </w:r>
                </w:p>
              </w:tc>
              <w:tc>
                <w:tcPr>
                  <w:tcW w:w="76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排放口编号</w:t>
                  </w:r>
                </w:p>
              </w:tc>
              <w:tc>
                <w:tcPr>
                  <w:tcW w:w="143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排放口地理坐标</w:t>
                  </w:r>
                </w:p>
              </w:tc>
              <w:tc>
                <w:tcPr>
                  <w:tcW w:w="788"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废水排放量</w:t>
                  </w:r>
                </w:p>
              </w:tc>
              <w:tc>
                <w:tcPr>
                  <w:tcW w:w="643"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排放去向</w:t>
                  </w:r>
                </w:p>
              </w:tc>
              <w:tc>
                <w:tcPr>
                  <w:tcW w:w="813"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排放规律</w:t>
                  </w:r>
                </w:p>
              </w:tc>
              <w:tc>
                <w:tcPr>
                  <w:tcW w:w="3786" w:type="dxa"/>
                  <w:gridSpan w:val="3"/>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受纳污水处理厂信息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41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rPr>
                  </w:pPr>
                </w:p>
              </w:tc>
              <w:tc>
                <w:tcPr>
                  <w:tcW w:w="76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rPr>
                  </w:pPr>
                </w:p>
              </w:tc>
              <w:tc>
                <w:tcPr>
                  <w:tcW w:w="143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rPr>
                  </w:pPr>
                </w:p>
              </w:tc>
              <w:tc>
                <w:tcPr>
                  <w:tcW w:w="78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rPr>
                  </w:pPr>
                </w:p>
              </w:tc>
              <w:tc>
                <w:tcPr>
                  <w:tcW w:w="64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rPr>
                  </w:pPr>
                </w:p>
              </w:tc>
              <w:tc>
                <w:tcPr>
                  <w:tcW w:w="813"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rPr>
                  </w:pPr>
                </w:p>
              </w:tc>
              <w:tc>
                <w:tcPr>
                  <w:tcW w:w="78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名称</w:t>
                  </w:r>
                </w:p>
              </w:tc>
              <w:tc>
                <w:tcPr>
                  <w:tcW w:w="148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进水水质标准</w:t>
                  </w:r>
                </w:p>
              </w:tc>
              <w:tc>
                <w:tcPr>
                  <w:tcW w:w="151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出水水质标准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w:t>
                  </w:r>
                </w:p>
              </w:tc>
              <w:tc>
                <w:tcPr>
                  <w:tcW w:w="76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DW001</w:t>
                  </w:r>
                </w:p>
              </w:tc>
              <w:tc>
                <w:tcPr>
                  <w:tcW w:w="143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E112.869294</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N28.6976739</w:t>
                  </w:r>
                </w:p>
              </w:tc>
              <w:tc>
                <w:tcPr>
                  <w:tcW w:w="78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3.01</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t/d</w:t>
                  </w:r>
                </w:p>
              </w:tc>
              <w:tc>
                <w:tcPr>
                  <w:tcW w:w="64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进入污水处理厂</w:t>
                  </w:r>
                </w:p>
              </w:tc>
              <w:tc>
                <w:tcPr>
                  <w:tcW w:w="81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间接排放，排放期间流量稳定</w:t>
                  </w:r>
                </w:p>
              </w:tc>
              <w:tc>
                <w:tcPr>
                  <w:tcW w:w="78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湘阴县第一污水处理厂</w:t>
                  </w:r>
                </w:p>
              </w:tc>
              <w:tc>
                <w:tcPr>
                  <w:tcW w:w="148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《污水综合排放标准》（GB8978-1996）表4中的三级标准</w:t>
                  </w:r>
                </w:p>
              </w:tc>
              <w:tc>
                <w:tcPr>
                  <w:tcW w:w="151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《城镇污水处理厂污染物排放标准》（GB18918-2002）一级标准的A标准</w:t>
                  </w:r>
                </w:p>
              </w:tc>
            </w:tr>
          </w:tbl>
          <w:p>
            <w:pPr>
              <w:bidi w:val="0"/>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4.7.5</w:t>
            </w:r>
            <w:r>
              <w:rPr>
                <w:rFonts w:hint="default" w:ascii="Times New Roman" w:hAnsi="Times New Roman" w:eastAsia="黑体" w:cs="Times New Roman"/>
                <w:lang w:val="en-US" w:eastAsia="zh-CN"/>
              </w:rPr>
              <w:t>自行监测计划</w:t>
            </w:r>
          </w:p>
          <w:p>
            <w:pPr>
              <w:bidi w:val="0"/>
              <w:ind w:left="0" w:leftChars="0" w:firstLine="480" w:firstLineChars="200"/>
              <w:rPr>
                <w:rFonts w:hint="default" w:ascii="Times New Roman" w:hAnsi="Times New Roman" w:cs="Times New Roman"/>
                <w:lang w:val="en-US" w:eastAsia="zh-CN"/>
              </w:rPr>
            </w:pPr>
            <w:r>
              <w:rPr>
                <w:rFonts w:hint="default" w:ascii="Times New Roman" w:hAnsi="Times New Roman" w:cs="Times New Roman"/>
                <w:lang w:val="en-US" w:eastAsia="zh-CN"/>
              </w:rPr>
              <w:t>根据《固定污染源排污许可分类管理名录（2019年版）》，本项目为简化管理，废水主要为生活污水，无生产性废水产生。因此无需进行废水监测。</w:t>
            </w:r>
          </w:p>
          <w:p>
            <w:pPr>
              <w:bidi w:val="0"/>
              <w:ind w:left="0" w:leftChars="0" w:firstLine="0" w:firstLineChars="0"/>
              <w:rPr>
                <w:rFonts w:hint="default" w:ascii="Times New Roman" w:hAnsi="Times New Roman" w:eastAsia="黑体" w:cs="Times New Roman"/>
                <w:lang w:val="en-US" w:eastAsia="zh-CN"/>
              </w:rPr>
            </w:pPr>
            <w:r>
              <w:rPr>
                <w:rFonts w:hint="default" w:ascii="Times New Roman" w:hAnsi="Times New Roman" w:cs="Times New Roman"/>
                <w:lang w:val="en-US" w:eastAsia="zh-CN"/>
              </w:rPr>
              <w:t xml:space="preserve">4.8 </w:t>
            </w:r>
            <w:r>
              <w:rPr>
                <w:rFonts w:hint="default" w:ascii="Times New Roman" w:hAnsi="Times New Roman" w:eastAsia="黑体" w:cs="Times New Roman"/>
                <w:lang w:val="en-US" w:eastAsia="zh-CN"/>
              </w:rPr>
              <w:t>运营期噪声</w:t>
            </w:r>
          </w:p>
          <w:p>
            <w:pPr>
              <w:bidi w:val="0"/>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4.8.1</w:t>
            </w:r>
            <w:r>
              <w:rPr>
                <w:rFonts w:hint="default" w:ascii="Times New Roman" w:hAnsi="Times New Roman" w:eastAsia="黑体" w:cs="Times New Roman"/>
                <w:lang w:val="en-US" w:eastAsia="zh-CN"/>
              </w:rPr>
              <w:t>噪声源强</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本项目设备均选用最先进设备。噪声源主要为各生产线设备。各噪声源强详见下表。</w:t>
            </w:r>
          </w:p>
          <w:p>
            <w:pPr>
              <w:bidi w:val="0"/>
              <w:ind w:left="0" w:lef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表4-21 运营期主要噪声源强一览表</w:t>
            </w:r>
          </w:p>
          <w:tbl>
            <w:tblPr>
              <w:tblStyle w:val="21"/>
              <w:tblW w:w="8608" w:type="dxa"/>
              <w:tblInd w:w="-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468"/>
              <w:gridCol w:w="1435"/>
              <w:gridCol w:w="1172"/>
              <w:gridCol w:w="662"/>
              <w:gridCol w:w="621"/>
              <w:gridCol w:w="489"/>
              <w:gridCol w:w="602"/>
              <w:gridCol w:w="602"/>
              <w:gridCol w:w="554"/>
              <w:gridCol w:w="554"/>
              <w:gridCol w:w="847"/>
              <w:gridCol w:w="6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restart"/>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生产线</w:t>
                  </w:r>
                </w:p>
              </w:tc>
              <w:tc>
                <w:tcPr>
                  <w:tcW w:w="1435" w:type="dxa"/>
                  <w:vMerge w:val="restart"/>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设备名称</w:t>
                  </w:r>
                </w:p>
              </w:tc>
              <w:tc>
                <w:tcPr>
                  <w:tcW w:w="1172" w:type="dxa"/>
                  <w:vMerge w:val="restart"/>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型号</w:t>
                  </w:r>
                </w:p>
              </w:tc>
              <w:tc>
                <w:tcPr>
                  <w:tcW w:w="662" w:type="dxa"/>
                  <w:vMerge w:val="restart"/>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数量</w:t>
                  </w:r>
                </w:p>
              </w:tc>
              <w:tc>
                <w:tcPr>
                  <w:tcW w:w="621" w:type="dxa"/>
                  <w:vMerge w:val="restart"/>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声压级（dB(A)）</w:t>
                  </w:r>
                </w:p>
              </w:tc>
              <w:tc>
                <w:tcPr>
                  <w:tcW w:w="489" w:type="dxa"/>
                  <w:vMerge w:val="restart"/>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声源控制措施</w:t>
                  </w:r>
                </w:p>
              </w:tc>
              <w:tc>
                <w:tcPr>
                  <w:tcW w:w="602" w:type="dxa"/>
                  <w:vMerge w:val="restart"/>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距室内边界的距离（m）</w:t>
                  </w:r>
                </w:p>
              </w:tc>
              <w:tc>
                <w:tcPr>
                  <w:tcW w:w="602" w:type="dxa"/>
                  <w:vMerge w:val="restart"/>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距室外边界的距离（m）</w:t>
                  </w:r>
                </w:p>
              </w:tc>
              <w:tc>
                <w:tcPr>
                  <w:tcW w:w="554" w:type="dxa"/>
                  <w:vMerge w:val="restart"/>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运行时段</w:t>
                  </w:r>
                </w:p>
              </w:tc>
              <w:tc>
                <w:tcPr>
                  <w:tcW w:w="554" w:type="dxa"/>
                  <w:vMerge w:val="restart"/>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建筑物插入损失</w:t>
                  </w:r>
                </w:p>
              </w:tc>
              <w:tc>
                <w:tcPr>
                  <w:tcW w:w="1449" w:type="dxa"/>
                  <w:gridSpan w:val="2"/>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建筑物外噪声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1435"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172"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21"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02"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554"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554"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847"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声压级（dB(A)）</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restart"/>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机制砂车间</w:t>
                  </w: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给料机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DBC800-2700</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4套</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85</w:t>
                  </w:r>
                </w:p>
              </w:tc>
              <w:tc>
                <w:tcPr>
                  <w:tcW w:w="489" w:type="dxa"/>
                  <w:vMerge w:val="restart"/>
                  <w:shd w:val="clear" w:color="auto" w:fill="auto"/>
                  <w:noWrap/>
                  <w:vAlign w:val="center"/>
                </w:tcPr>
                <w:p>
                  <w:pPr>
                    <w:pStyle w:val="31"/>
                    <w:bidi w:val="0"/>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隔声、减震、距离衰减</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58</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圆筛</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ZSC1542</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1套</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82</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49</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球磨机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GMG2740</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1套</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95</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62</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圆锥破</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ZFC200</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1套</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95</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62</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烘干筒</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¢3.2X7m</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80</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47</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选粉系统</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YFSF1000</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1套</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80</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47</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振动筛</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2624VM</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2套</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85</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脉冲布袋+除尘器风机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1套</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90</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67</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空压机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90</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64</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空气干燥机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3台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77</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49</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散装机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SZ-1</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3台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65</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37</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斗提机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TD400-20</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70</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43</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干砂提升机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NE-50</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71</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41</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喂料机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72</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39</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烘干筒</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ZKZRSH3270</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80</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47</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筛分</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ZS1640-V</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82</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49</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振动器</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MVE100/3</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85</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皮带</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4根</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80</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56</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螺旋</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2根</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80</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50</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鼓风机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85</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52</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空气干燥机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77</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44</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脉冲布袋+除尘器风机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lang w:val="en-US"/>
                    </w:rPr>
                  </w:pPr>
                  <w:r>
                    <w:rPr>
                      <w:rFonts w:hint="default" w:ascii="Times New Roman" w:hAnsi="Times New Roman" w:cs="Times New Roman"/>
                      <w:sz w:val="18"/>
                      <w:szCs w:val="18"/>
                      <w:lang w:val="en-US" w:eastAsia="zh-CN"/>
                    </w:rPr>
                    <w:t>1套</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80</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52</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restart"/>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石灰石制砂线</w:t>
                  </w: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制砂机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PLS-1200</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90</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60</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筛分机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4GLS2030</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82</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振动器</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85</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52</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给料机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85</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52</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干砂提升机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NSE450</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71</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41</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提升机辅修电机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71</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41</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电动葫芦</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CD-2T</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80</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47</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螺旋输送机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2根</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70</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40</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散装头电机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90</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57</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脉冲布袋+除尘器风机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lang w:val="en-US"/>
                    </w:rPr>
                  </w:pPr>
                  <w:r>
                    <w:rPr>
                      <w:rFonts w:hint="default" w:ascii="Times New Roman" w:hAnsi="Times New Roman" w:cs="Times New Roman"/>
                      <w:sz w:val="18"/>
                      <w:szCs w:val="18"/>
                      <w:lang w:val="en-US" w:eastAsia="zh-CN"/>
                    </w:rPr>
                    <w:t>1套</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80</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50</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独立风扇</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71</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38</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restart"/>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干粉砂浆线</w:t>
                  </w: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干砂提升机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NE100</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71</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44</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干砂提升机辅修电机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71</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44</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给料机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YJDF-BP-33-R33</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85</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52</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振动给料机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GZGF1900-3000</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85</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振动筛</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4GLS2530</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85</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振动器</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45台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85</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66</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空气干燥机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ADH150F</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7台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90</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64</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混合机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MR310V、MR150V</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3台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90</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64</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螺旋</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2根</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75</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电梯</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LTHW-2000-0.75</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60</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30</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提升机辅修电机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71</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41</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提升机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NE100</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71</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38</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添加剂螺旋输送机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DSA125、DSA150</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20根</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71</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46</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G140空压机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G140</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90</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60</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散装头电机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DMC-20ho-H-10-BH</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100</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83</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电动葫芦</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CD-2T</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9台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80</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58</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电动振动器</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3台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85</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57</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电动振动器</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MVE100</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85</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空压机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SAV90A</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7台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90</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64</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包装</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4套</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85</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58</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码垛</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5套</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85</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58</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吨包</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2套</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85</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卸料器</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YJDF-BP-33-R33</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3台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85</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53</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脉冲布袋+除尘器风机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YMC-6ho-10-BH</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lang w:val="en-US"/>
                    </w:rPr>
                  </w:pPr>
                  <w:r>
                    <w:rPr>
                      <w:rFonts w:hint="default" w:ascii="Times New Roman" w:hAnsi="Times New Roman" w:cs="Times New Roman"/>
                      <w:sz w:val="18"/>
                      <w:szCs w:val="18"/>
                      <w:lang w:val="en-US" w:eastAsia="zh-CN"/>
                    </w:rPr>
                    <w:t>1套</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90</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70</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筛分机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ZSP-800-00</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85</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混合机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MR150V</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90</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57</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干砂提升机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NE100</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71</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38</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干砂提升机辅修电机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71</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38</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输送机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18台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71</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49</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振动器</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7台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85</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60</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卸料器</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YJDF-BP-33-R33</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85</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52</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电动葫芦</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CD-2T</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80</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47</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包装机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3台</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80</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52</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468" w:type="dxa"/>
                  <w:vMerge w:val="continue"/>
                  <w:shd w:val="clear" w:color="auto" w:fill="auto"/>
                  <w:vAlign w:val="center"/>
                </w:tcPr>
                <w:p>
                  <w:pPr>
                    <w:pStyle w:val="31"/>
                    <w:bidi w:val="0"/>
                    <w:spacing w:line="240" w:lineRule="auto"/>
                    <w:jc w:val="center"/>
                    <w:rPr>
                      <w:rFonts w:hint="default" w:ascii="Times New Roman" w:hAnsi="Times New Roman" w:cs="Times New Roman"/>
                      <w:sz w:val="18"/>
                      <w:szCs w:val="18"/>
                    </w:rPr>
                  </w:pPr>
                </w:p>
              </w:tc>
              <w:tc>
                <w:tcPr>
                  <w:tcW w:w="1435"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脉冲布袋+除尘器风机</w:t>
                  </w:r>
                </w:p>
              </w:tc>
              <w:tc>
                <w:tcPr>
                  <w:tcW w:w="1172" w:type="dxa"/>
                  <w:shd w:val="clear" w:color="auto" w:fill="auto"/>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YMC-6ho-10-BH</w:t>
                  </w:r>
                </w:p>
              </w:tc>
              <w:tc>
                <w:tcPr>
                  <w:tcW w:w="662" w:type="dxa"/>
                  <w:shd w:val="clear" w:color="auto" w:fill="auto"/>
                  <w:vAlign w:val="center"/>
                </w:tcPr>
                <w:p>
                  <w:pPr>
                    <w:pStyle w:val="31"/>
                    <w:bidi w:val="0"/>
                    <w:spacing w:line="240" w:lineRule="auto"/>
                    <w:jc w:val="center"/>
                    <w:rPr>
                      <w:rFonts w:hint="default" w:ascii="Times New Roman" w:hAnsi="Times New Roman" w:cs="Times New Roman"/>
                      <w:sz w:val="18"/>
                      <w:szCs w:val="18"/>
                      <w:lang w:val="en-US"/>
                    </w:rPr>
                  </w:pPr>
                  <w:r>
                    <w:rPr>
                      <w:rFonts w:hint="default" w:ascii="Times New Roman" w:hAnsi="Times New Roman" w:cs="Times New Roman"/>
                      <w:sz w:val="18"/>
                      <w:szCs w:val="18"/>
                      <w:lang w:val="en-US" w:eastAsia="zh-CN"/>
                    </w:rPr>
                    <w:t>1套</w:t>
                  </w:r>
                </w:p>
              </w:tc>
              <w:tc>
                <w:tcPr>
                  <w:tcW w:w="621"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90</w:t>
                  </w:r>
                </w:p>
              </w:tc>
              <w:tc>
                <w:tcPr>
                  <w:tcW w:w="489" w:type="dxa"/>
                  <w:vMerge w:val="continue"/>
                  <w:shd w:val="clear" w:color="auto" w:fill="auto"/>
                  <w:noWrap/>
                  <w:vAlign w:val="center"/>
                </w:tcPr>
                <w:p>
                  <w:pPr>
                    <w:pStyle w:val="31"/>
                    <w:bidi w:val="0"/>
                    <w:spacing w:line="240" w:lineRule="auto"/>
                    <w:jc w:val="center"/>
                    <w:rPr>
                      <w:rFonts w:hint="default" w:ascii="Times New Roman" w:hAnsi="Times New Roman" w:cs="Times New Roman"/>
                      <w:sz w:val="18"/>
                      <w:szCs w:val="18"/>
                    </w:rPr>
                  </w:pPr>
                </w:p>
              </w:tc>
              <w:tc>
                <w:tcPr>
                  <w:tcW w:w="602" w:type="dxa"/>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lang w:val="en-US" w:eastAsia="zh-CN"/>
                    </w:rPr>
                    <w:t>5</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16</w:t>
                  </w:r>
                </w:p>
              </w:tc>
              <w:tc>
                <w:tcPr>
                  <w:tcW w:w="554"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20</w:t>
                  </w:r>
                </w:p>
              </w:tc>
              <w:tc>
                <w:tcPr>
                  <w:tcW w:w="847"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68</w:t>
                  </w:r>
                </w:p>
              </w:tc>
              <w:tc>
                <w:tcPr>
                  <w:tcW w:w="602" w:type="dxa"/>
                  <w:shd w:val="clear" w:color="auto" w:fill="auto"/>
                  <w:noWrap/>
                  <w:vAlign w:val="center"/>
                </w:tcPr>
                <w:p>
                  <w:pPr>
                    <w:pStyle w:val="31"/>
                    <w:bidi w:val="0"/>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1</w:t>
                  </w:r>
                </w:p>
              </w:tc>
            </w:tr>
          </w:tbl>
          <w:p>
            <w:pPr>
              <w:bidi w:val="0"/>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4.8.2</w:t>
            </w:r>
            <w:r>
              <w:rPr>
                <w:rFonts w:hint="default" w:ascii="Times New Roman" w:hAnsi="Times New Roman" w:eastAsia="黑体" w:cs="Times New Roman"/>
                <w:lang w:val="en-US" w:eastAsia="zh-CN"/>
              </w:rPr>
              <w:t>噪声预测</w:t>
            </w:r>
          </w:p>
          <w:p>
            <w:pPr>
              <w:bidi w:val="0"/>
              <w:ind w:left="480" w:leftChars="20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噪声预测采用《环境影响评价技术导则声环境》（HJ4.2-2021）推荐的模式。（1）项目设备多个噪声源叠加的综合噪声计算公式如下：</w:t>
            </w:r>
          </w:p>
          <w:p>
            <w:pPr>
              <w:bidi w:val="0"/>
              <w:ind w:left="0" w:leftChars="0" w:firstLine="0" w:firstLineChars="0"/>
              <w:jc w:val="center"/>
              <w:rPr>
                <w:rFonts w:hint="default" w:ascii="Times New Roman" w:hAnsi="Times New Roman" w:cs="Times New Roman"/>
                <w:lang w:val="en-US" w:eastAsia="zh-CN"/>
              </w:rPr>
            </w:pPr>
            <w:r>
              <w:rPr>
                <w:rFonts w:hint="default" w:ascii="Times New Roman" w:hAnsi="Times New Roman" w:cs="Times New Roman"/>
                <w:lang w:val="en-US" w:eastAsia="zh-CN"/>
              </w:rPr>
              <w:object>
                <v:shape id="_x0000_i1029" o:spt="75" type="#_x0000_t75" style="height:36pt;width:105pt;" o:ole="t" filled="f" o:preferrelative="t" stroked="f" coordsize="21600,21600">
                  <v:path/>
                  <v:fill on="f" focussize="0,0"/>
                  <v:stroke on="f"/>
                  <v:imagedata r:id="rId26" o:title=""/>
                  <o:lock v:ext="edit" aspectratio="t"/>
                  <w10:wrap type="none"/>
                  <w10:anchorlock/>
                </v:shape>
                <o:OLEObject Type="Embed" ProgID="Equation.3" ShapeID="_x0000_i1029" DrawAspect="Content" ObjectID="_1468075729" r:id="rId25">
                  <o:LockedField>false</o:LockedField>
                </o:OLEObject>
              </w:objec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式中：</w:t>
            </w:r>
            <w:r>
              <w:rPr>
                <w:rFonts w:hint="default" w:ascii="Times New Roman" w:hAnsi="Times New Roman" w:cs="Times New Roman"/>
                <w:lang w:val="en-US" w:eastAsia="zh-CN"/>
              </w:rPr>
              <w:object>
                <v:shape id="_x0000_i1030" o:spt="75" type="#_x0000_t75" style="height:18pt;width:16.5pt;" o:ole="t" filled="f" o:preferrelative="t" stroked="f" coordsize="21600,21600">
                  <v:path/>
                  <v:fill on="f" focussize="0,0"/>
                  <v:stroke on="f"/>
                  <v:imagedata r:id="rId28" o:title=""/>
                  <o:lock v:ext="edit" aspectratio="t"/>
                  <w10:wrap type="none"/>
                  <w10:anchorlock/>
                </v:shape>
                <o:OLEObject Type="Embed" ProgID="Equation.3" ShapeID="_x0000_i1030" DrawAspect="Content" ObjectID="_1468075730" r:id="rId27">
                  <o:LockedField>false</o:LockedField>
                </o:OLEObject>
              </w:object>
            </w:r>
            <w:r>
              <w:rPr>
                <w:rFonts w:hint="default" w:ascii="Times New Roman" w:hAnsi="Times New Roman" w:cs="Times New Roman"/>
                <w:lang w:val="en-US" w:eastAsia="zh-CN"/>
              </w:rPr>
              <w:t>—多个噪声源叠加的综合噪声声级，dB（A）；</w:t>
            </w:r>
          </w:p>
          <w:p>
            <w:pPr>
              <w:bidi w:val="0"/>
              <w:ind w:firstLine="1200" w:firstLineChars="500"/>
              <w:rPr>
                <w:rFonts w:hint="default" w:ascii="Times New Roman" w:hAnsi="Times New Roman" w:cs="Times New Roman"/>
                <w:lang w:val="en-US" w:eastAsia="zh-CN"/>
              </w:rPr>
            </w:pPr>
            <w:r>
              <w:rPr>
                <w:rFonts w:hint="default" w:ascii="Times New Roman" w:hAnsi="Times New Roman" w:cs="Times New Roman"/>
                <w:lang w:val="en-US" w:eastAsia="zh-CN"/>
              </w:rPr>
              <w:object>
                <v:shape id="_x0000_i1031" o:spt="75" type="#_x0000_t75" style="height:18pt;width:12pt;" o:ole="t" filled="f" o:preferrelative="t" stroked="f" coordsize="21600,21600">
                  <v:path/>
                  <v:fill on="f" focussize="0,0"/>
                  <v:stroke on="f"/>
                  <v:imagedata r:id="rId30" o:title=""/>
                  <o:lock v:ext="edit" aspectratio="t"/>
                  <w10:wrap type="none"/>
                  <w10:anchorlock/>
                </v:shape>
                <o:OLEObject Type="Embed" ProgID="Equation.3" ShapeID="_x0000_i1031" DrawAspect="Content" ObjectID="_1468075731" r:id="rId29">
                  <o:LockedField>false</o:LockedField>
                </o:OLEObject>
              </w:object>
            </w:r>
            <w:r>
              <w:rPr>
                <w:rFonts w:hint="default" w:ascii="Times New Roman" w:hAnsi="Times New Roman" w:cs="Times New Roman"/>
                <w:lang w:val="en-US" w:eastAsia="zh-CN"/>
              </w:rPr>
              <w:t>—第I个噪声源的声级，dB（A）；</w:t>
            </w:r>
          </w:p>
          <w:p>
            <w:pPr>
              <w:bidi w:val="0"/>
              <w:ind w:firstLine="1200" w:firstLineChars="500"/>
              <w:rPr>
                <w:rFonts w:hint="default" w:ascii="Times New Roman" w:hAnsi="Times New Roman" w:cs="Times New Roman"/>
                <w:lang w:val="en-US" w:eastAsia="zh-CN"/>
              </w:rPr>
            </w:pPr>
            <w:r>
              <w:rPr>
                <w:rFonts w:hint="default" w:ascii="Times New Roman" w:hAnsi="Times New Roman" w:cs="Times New Roman"/>
                <w:lang w:val="en-US" w:eastAsia="zh-CN"/>
              </w:rPr>
              <w:object>
                <v:shape id="_x0000_i1032" o:spt="75" type="#_x0000_t75" style="height:10.5pt;width:10.5pt;" o:ole="t" filled="f" o:preferrelative="t" stroked="f" coordsize="21600,21600">
                  <v:path/>
                  <v:fill on="f" focussize="0,0"/>
                  <v:stroke on="f"/>
                  <v:imagedata r:id="rId32" o:title=""/>
                  <o:lock v:ext="edit" aspectratio="t"/>
                  <w10:wrap type="none"/>
                  <w10:anchorlock/>
                </v:shape>
                <o:OLEObject Type="Embed" ProgID="Equation.3" ShapeID="_x0000_i1032" DrawAspect="Content" ObjectID="_1468075732" r:id="rId31">
                  <o:LockedField>false</o:LockedField>
                </o:OLEObject>
              </w:object>
            </w:r>
            <w:r>
              <w:rPr>
                <w:rFonts w:hint="default" w:ascii="Times New Roman" w:hAnsi="Times New Roman" w:cs="Times New Roman"/>
                <w:lang w:val="en-US" w:eastAsia="zh-CN"/>
              </w:rPr>
              <w:t>—噪声源的个数。</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（2）点源衰减模式为：</w:t>
            </w:r>
          </w:p>
          <w:p>
            <w:pPr>
              <w:bidi w:val="0"/>
              <w:ind w:left="0" w:leftChars="0" w:firstLine="0" w:firstLineChars="0"/>
              <w:jc w:val="center"/>
              <w:rPr>
                <w:rFonts w:hint="default" w:ascii="Times New Roman" w:hAnsi="Times New Roman" w:cs="Times New Roman"/>
                <w:lang w:val="en-US" w:eastAsia="zh-CN"/>
              </w:rPr>
            </w:pPr>
            <w:r>
              <w:rPr>
                <w:rFonts w:hint="default" w:ascii="Times New Roman" w:hAnsi="Times New Roman" w:cs="Times New Roman"/>
                <w:lang w:val="en-US" w:eastAsia="zh-CN"/>
              </w:rPr>
              <w:t>L</w:t>
            </w:r>
            <w:r>
              <w:rPr>
                <w:rFonts w:hint="default" w:ascii="Times New Roman" w:hAnsi="Times New Roman" w:cs="Times New Roman"/>
                <w:vertAlign w:val="subscript"/>
                <w:lang w:val="en-US" w:eastAsia="zh-CN"/>
              </w:rPr>
              <w:t>A</w:t>
            </w:r>
            <w:r>
              <w:rPr>
                <w:rFonts w:hint="default" w:ascii="Times New Roman" w:hAnsi="Times New Roman" w:cs="Times New Roman"/>
                <w:lang w:val="en-US" w:eastAsia="zh-CN"/>
              </w:rPr>
              <w:t>=L</w:t>
            </w:r>
            <w:r>
              <w:rPr>
                <w:rFonts w:hint="default" w:ascii="Times New Roman" w:hAnsi="Times New Roman" w:cs="Times New Roman"/>
                <w:vertAlign w:val="subscript"/>
                <w:lang w:val="en-US" w:eastAsia="zh-CN"/>
              </w:rPr>
              <w:t>0</w:t>
            </w:r>
            <w:r>
              <w:rPr>
                <w:rFonts w:hint="default" w:ascii="Times New Roman" w:hAnsi="Times New Roman" w:cs="Times New Roman"/>
                <w:lang w:val="en-US" w:eastAsia="zh-CN"/>
              </w:rPr>
              <w:t>—20lg(r</w:t>
            </w:r>
            <w:r>
              <w:rPr>
                <w:rFonts w:hint="default" w:ascii="Times New Roman" w:hAnsi="Times New Roman" w:cs="Times New Roman"/>
                <w:vertAlign w:val="subscript"/>
                <w:lang w:val="en-US" w:eastAsia="zh-CN"/>
              </w:rPr>
              <w:t>a</w:t>
            </w:r>
            <w:r>
              <w:rPr>
                <w:rFonts w:hint="default" w:ascii="Times New Roman" w:hAnsi="Times New Roman" w:cs="Times New Roman"/>
                <w:lang w:val="en-US" w:eastAsia="zh-CN"/>
              </w:rPr>
              <w:t>/r</w:t>
            </w:r>
            <w:r>
              <w:rPr>
                <w:rFonts w:hint="default" w:ascii="Times New Roman" w:hAnsi="Times New Roman" w:cs="Times New Roman"/>
                <w:vertAlign w:val="subscript"/>
                <w:lang w:val="en-US" w:eastAsia="zh-CN"/>
              </w:rPr>
              <w:t>0</w:t>
            </w:r>
            <w:r>
              <w:rPr>
                <w:rFonts w:hint="default" w:ascii="Times New Roman" w:hAnsi="Times New Roman" w:cs="Times New Roman"/>
                <w:lang w:val="en-US" w:eastAsia="zh-CN"/>
              </w:rPr>
              <w:t>)</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式中：L</w:t>
            </w:r>
            <w:r>
              <w:rPr>
                <w:rFonts w:hint="default" w:ascii="Times New Roman" w:hAnsi="Times New Roman" w:cs="Times New Roman"/>
                <w:vertAlign w:val="subscript"/>
                <w:lang w:val="en-US" w:eastAsia="zh-CN"/>
              </w:rPr>
              <w:t>A</w:t>
            </w:r>
            <w:r>
              <w:rPr>
                <w:rFonts w:hint="default" w:ascii="Times New Roman" w:hAnsi="Times New Roman" w:cs="Times New Roman"/>
                <w:lang w:val="en-US" w:eastAsia="zh-CN"/>
              </w:rPr>
              <w:t>：距声源为r</w:t>
            </w:r>
            <w:r>
              <w:rPr>
                <w:rFonts w:hint="default" w:ascii="Times New Roman" w:hAnsi="Times New Roman" w:cs="Times New Roman"/>
                <w:vertAlign w:val="subscript"/>
                <w:lang w:val="en-US" w:eastAsia="zh-CN"/>
              </w:rPr>
              <w:t>a</w:t>
            </w:r>
            <w:r>
              <w:rPr>
                <w:rFonts w:hint="default" w:ascii="Times New Roman" w:hAnsi="Times New Roman" w:cs="Times New Roman"/>
                <w:lang w:val="en-US" w:eastAsia="zh-CN"/>
              </w:rPr>
              <w:t>米处的声级，dB（A）；</w:t>
            </w:r>
          </w:p>
          <w:p>
            <w:pPr>
              <w:keepNext w:val="0"/>
              <w:keepLines w:val="0"/>
              <w:pageBreakBefore w:val="0"/>
              <w:widowControl w:val="0"/>
              <w:kinsoku/>
              <w:wordWrap/>
              <w:overflowPunct/>
              <w:topLinePunct w:val="0"/>
              <w:autoSpaceDE/>
              <w:autoSpaceDN/>
              <w:bidi w:val="0"/>
              <w:adjustRightInd/>
              <w:snapToGrid/>
              <w:ind w:left="0" w:leftChars="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 xml:space="preserve">      L</w:t>
            </w:r>
            <w:r>
              <w:rPr>
                <w:rFonts w:hint="default" w:ascii="Times New Roman" w:hAnsi="Times New Roman" w:cs="Times New Roman"/>
                <w:vertAlign w:val="subscript"/>
                <w:lang w:val="en-US" w:eastAsia="zh-CN"/>
              </w:rPr>
              <w:t>0</w:t>
            </w:r>
            <w:r>
              <w:rPr>
                <w:rFonts w:hint="default" w:ascii="Times New Roman" w:hAnsi="Times New Roman" w:cs="Times New Roman"/>
                <w:lang w:val="en-US" w:eastAsia="zh-CN"/>
              </w:rPr>
              <w:t>：距声源为r</w:t>
            </w:r>
            <w:r>
              <w:rPr>
                <w:rFonts w:hint="default" w:ascii="Times New Roman" w:hAnsi="Times New Roman" w:cs="Times New Roman"/>
                <w:vertAlign w:val="subscript"/>
                <w:lang w:val="en-US" w:eastAsia="zh-CN"/>
              </w:rPr>
              <w:t>0</w:t>
            </w:r>
            <w:r>
              <w:rPr>
                <w:rFonts w:hint="default" w:ascii="Times New Roman" w:hAnsi="Times New Roman" w:cs="Times New Roman"/>
                <w:lang w:val="en-US" w:eastAsia="zh-CN"/>
              </w:rPr>
              <w:t>米处的声级，dB（A）。</w:t>
            </w:r>
          </w:p>
          <w:p>
            <w:pPr>
              <w:keepNext w:val="0"/>
              <w:keepLines w:val="0"/>
              <w:pageBreakBefore w:val="0"/>
              <w:widowControl w:val="0"/>
              <w:kinsoku/>
              <w:wordWrap/>
              <w:overflowPunct/>
              <w:topLinePunct w:val="0"/>
              <w:autoSpaceDE/>
              <w:autoSpaceDN/>
              <w:bidi w:val="0"/>
              <w:adjustRightInd/>
              <w:snapToGrid/>
              <w:ind w:left="0" w:leftChars="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（3）室内声源等效室外声源声功率级计算方法：</w:t>
            </w:r>
          </w:p>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L</w:t>
            </w:r>
            <w:r>
              <w:rPr>
                <w:rFonts w:hint="default" w:ascii="Times New Roman" w:hAnsi="Times New Roman" w:cs="Times New Roman"/>
                <w:vertAlign w:val="subscript"/>
                <w:lang w:val="en-US" w:eastAsia="zh-CN"/>
              </w:rPr>
              <w:t>p2</w:t>
            </w:r>
            <w:r>
              <w:rPr>
                <w:rFonts w:hint="default" w:ascii="Times New Roman" w:hAnsi="Times New Roman" w:cs="Times New Roman"/>
                <w:lang w:val="en-US" w:eastAsia="zh-CN"/>
              </w:rPr>
              <w:t>=L</w:t>
            </w:r>
            <w:r>
              <w:rPr>
                <w:rFonts w:hint="default" w:ascii="Times New Roman" w:hAnsi="Times New Roman" w:cs="Times New Roman"/>
                <w:vertAlign w:val="subscript"/>
                <w:lang w:val="en-US" w:eastAsia="zh-CN"/>
              </w:rPr>
              <w:t>p1</w:t>
            </w:r>
            <w:r>
              <w:rPr>
                <w:rFonts w:hint="default" w:ascii="Times New Roman" w:hAnsi="Times New Roman" w:cs="Times New Roman"/>
                <w:lang w:val="en-US" w:eastAsia="zh-CN"/>
              </w:rPr>
              <w:t>—TL+6</w:t>
            </w:r>
          </w:p>
          <w:p>
            <w:pPr>
              <w:pStyle w:val="2"/>
              <w:keepNext w:val="0"/>
              <w:keepLines w:val="0"/>
              <w:pageBreakBefore w:val="0"/>
              <w:widowControl w:val="0"/>
              <w:kinsoku/>
              <w:wordWrap/>
              <w:overflowPunct/>
              <w:topLinePunct w:val="0"/>
              <w:autoSpaceDE/>
              <w:autoSpaceDN/>
              <w:bidi w:val="0"/>
              <w:adjustRightInd/>
              <w:snapToGrid/>
              <w:spacing w:after="0" w:afterLines="0"/>
              <w:ind w:left="0" w:leftChars="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式中：L</w:t>
            </w:r>
            <w:r>
              <w:rPr>
                <w:rFonts w:hint="default" w:ascii="Times New Roman" w:hAnsi="Times New Roman" w:cs="Times New Roman"/>
                <w:vertAlign w:val="subscript"/>
                <w:lang w:val="en-US" w:eastAsia="zh-CN"/>
              </w:rPr>
              <w:t>p2</w:t>
            </w:r>
            <w:r>
              <w:rPr>
                <w:rFonts w:hint="default" w:ascii="Times New Roman" w:hAnsi="Times New Roman" w:cs="Times New Roman"/>
                <w:vertAlign w:val="baseline"/>
                <w:lang w:val="en-US" w:eastAsia="zh-CN"/>
              </w:rPr>
              <w:t>：靠近开口处（或窗户）室内某倍频带的声压级或A声级，dB；</w:t>
            </w:r>
          </w:p>
          <w:p>
            <w:pPr>
              <w:pStyle w:val="2"/>
              <w:keepNext w:val="0"/>
              <w:keepLines w:val="0"/>
              <w:pageBreakBefore w:val="0"/>
              <w:widowControl w:val="0"/>
              <w:kinsoku/>
              <w:wordWrap/>
              <w:overflowPunct/>
              <w:topLinePunct w:val="0"/>
              <w:autoSpaceDE/>
              <w:autoSpaceDN/>
              <w:bidi w:val="0"/>
              <w:adjustRightInd/>
              <w:snapToGrid/>
              <w:spacing w:after="0" w:afterLines="0"/>
              <w:ind w:left="0" w:leftChars="0" w:firstLine="1200" w:firstLineChars="500"/>
              <w:textAlignment w:val="auto"/>
              <w:rPr>
                <w:rFonts w:hint="default" w:ascii="Times New Roman" w:hAnsi="Times New Roman" w:cs="Times New Roman"/>
                <w:vertAlign w:val="baseline"/>
                <w:lang w:val="en-US" w:eastAsia="zh-CN"/>
              </w:rPr>
            </w:pPr>
            <w:r>
              <w:rPr>
                <w:rFonts w:hint="default" w:ascii="Times New Roman" w:hAnsi="Times New Roman" w:cs="Times New Roman"/>
                <w:lang w:val="en-US" w:eastAsia="zh-CN"/>
              </w:rPr>
              <w:t>L</w:t>
            </w:r>
            <w:r>
              <w:rPr>
                <w:rFonts w:hint="default" w:ascii="Times New Roman" w:hAnsi="Times New Roman" w:cs="Times New Roman"/>
                <w:vertAlign w:val="subscript"/>
                <w:lang w:val="en-US" w:eastAsia="zh-CN"/>
              </w:rPr>
              <w:t>p1</w:t>
            </w:r>
            <w:r>
              <w:rPr>
                <w:rFonts w:hint="default" w:ascii="Times New Roman" w:hAnsi="Times New Roman" w:cs="Times New Roman"/>
                <w:vertAlign w:val="baseline"/>
                <w:lang w:val="en-US" w:eastAsia="zh-CN"/>
              </w:rPr>
              <w:t>：靠近开口处（或窗户）室内某倍频带的声压级或A声级，dB；</w:t>
            </w:r>
          </w:p>
          <w:p>
            <w:pPr>
              <w:keepNext w:val="0"/>
              <w:keepLines w:val="0"/>
              <w:pageBreakBefore w:val="0"/>
              <w:widowControl w:val="0"/>
              <w:kinsoku/>
              <w:wordWrap/>
              <w:overflowPunct/>
              <w:topLinePunct w:val="0"/>
              <w:autoSpaceDE/>
              <w:autoSpaceDN/>
              <w:bidi w:val="0"/>
              <w:adjustRightInd/>
              <w:snapToGrid/>
              <w:ind w:left="0" w:leftChars="0" w:firstLine="1200" w:firstLineChars="500"/>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t>TL：隔墙（或窗户）倍频带或A声级的隔声量，dB。</w:t>
            </w:r>
          </w:p>
          <w:p>
            <w:pPr>
              <w:pStyle w:val="2"/>
              <w:rPr>
                <w:rFonts w:hint="default" w:ascii="Times New Roman" w:hAnsi="Times New Roman" w:cs="Times New Roman"/>
                <w:lang w:val="en-US" w:eastAsia="zh-CN"/>
              </w:rPr>
            </w:pPr>
            <w:r>
              <w:rPr>
                <w:rFonts w:hint="default" w:ascii="Times New Roman" w:hAnsi="Times New Roman" w:cs="Times New Roman"/>
                <w:lang w:val="en-US" w:eastAsia="zh-CN"/>
              </w:rPr>
              <w:t>由于每条生产线设备布置较为集中，因此将每条线设备简化成一个点声源。项目声源见下表。</w:t>
            </w:r>
          </w:p>
          <w:p>
            <w:pPr>
              <w:bidi w:val="0"/>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4.8.3</w:t>
            </w:r>
            <w:r>
              <w:rPr>
                <w:rFonts w:hint="default" w:ascii="Times New Roman" w:hAnsi="Times New Roman" w:eastAsia="黑体" w:cs="Times New Roman"/>
                <w:lang w:val="en-US" w:eastAsia="zh-CN"/>
              </w:rPr>
              <w:t>达标情况分析</w:t>
            </w:r>
          </w:p>
          <w:p>
            <w:pPr>
              <w:numPr>
                <w:ilvl w:val="0"/>
                <w:numId w:val="0"/>
              </w:numPr>
              <w:bidi w:val="0"/>
              <w:ind w:left="566" w:leftChars="0"/>
              <w:rPr>
                <w:rFonts w:hint="default" w:ascii="Times New Roman" w:hAnsi="Times New Roman" w:cs="Times New Roman"/>
                <w:lang w:val="en-US" w:eastAsia="zh-CN"/>
              </w:rPr>
            </w:pPr>
            <w:r>
              <w:rPr>
                <w:rFonts w:hint="default" w:ascii="Times New Roman" w:hAnsi="Times New Roman" w:cs="Times New Roman"/>
                <w:lang w:val="en-US" w:eastAsia="zh-CN"/>
              </w:rPr>
              <w:t>（1）厂界噪声预测</w:t>
            </w:r>
          </w:p>
          <w:p>
            <w:pPr>
              <w:numPr>
                <w:ilvl w:val="0"/>
                <w:numId w:val="0"/>
              </w:numPr>
              <w:bidi w:val="0"/>
              <w:ind w:left="566" w:leftChars="0"/>
              <w:rPr>
                <w:rFonts w:hint="default" w:ascii="Times New Roman" w:hAnsi="Times New Roman" w:cs="Times New Roman"/>
                <w:lang w:val="en-US" w:eastAsia="zh-CN"/>
              </w:rPr>
            </w:pPr>
            <w:r>
              <w:rPr>
                <w:rFonts w:hint="default" w:ascii="Times New Roman" w:hAnsi="Times New Roman" w:cs="Times New Roman"/>
                <w:lang w:val="en-US" w:eastAsia="zh-CN"/>
              </w:rPr>
              <w:t>厂界噪声预测结果详见下表。</w:t>
            </w:r>
          </w:p>
          <w:p>
            <w:pPr>
              <w:numPr>
                <w:ilvl w:val="0"/>
                <w:numId w:val="0"/>
              </w:numPr>
              <w:bidi w:val="0"/>
              <w:jc w:val="center"/>
              <w:rPr>
                <w:rFonts w:hint="default" w:ascii="Times New Roman" w:hAnsi="Times New Roman" w:cs="Times New Roman"/>
                <w:highlight w:val="none"/>
                <w:lang w:val="en-US" w:eastAsia="zh-CN"/>
              </w:rPr>
            </w:pPr>
          </w:p>
          <w:p>
            <w:pPr>
              <w:numPr>
                <w:ilvl w:val="0"/>
                <w:numId w:val="0"/>
              </w:numPr>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表4-22 厂界噪声预测结果表</w:t>
            </w:r>
          </w:p>
          <w:tbl>
            <w:tblPr>
              <w:tblStyle w:val="21"/>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736"/>
              <w:gridCol w:w="1297"/>
              <w:gridCol w:w="894"/>
              <w:gridCol w:w="951"/>
              <w:gridCol w:w="724"/>
              <w:gridCol w:w="726"/>
              <w:gridCol w:w="653"/>
              <w:gridCol w:w="596"/>
              <w:gridCol w:w="562"/>
              <w:gridCol w:w="4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59" w:hRule="atLeast"/>
              </w:trPr>
              <w:tc>
                <w:tcPr>
                  <w:tcW w:w="1736" w:type="dxa"/>
                  <w:vMerge w:val="restart"/>
                  <w:shd w:val="clear" w:color="auto" w:fill="auto"/>
                  <w:noWrap/>
                  <w:vAlign w:val="center"/>
                </w:tcPr>
                <w:p>
                  <w:pPr>
                    <w:pStyle w:val="31"/>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声源</w:t>
                  </w:r>
                </w:p>
              </w:tc>
              <w:tc>
                <w:tcPr>
                  <w:tcW w:w="1297" w:type="dxa"/>
                  <w:vMerge w:val="restart"/>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源强（dB（A））</w:t>
                  </w:r>
                </w:p>
              </w:tc>
              <w:tc>
                <w:tcPr>
                  <w:tcW w:w="3295" w:type="dxa"/>
                  <w:gridSpan w:val="4"/>
                  <w:shd w:val="clear" w:color="auto" w:fill="auto"/>
                  <w:noWrap/>
                  <w:vAlign w:val="center"/>
                </w:tcPr>
                <w:p>
                  <w:pPr>
                    <w:pStyle w:val="31"/>
                    <w:bidi w:val="0"/>
                    <w:rPr>
                      <w:rFonts w:hint="default" w:ascii="Times New Roman" w:hAnsi="Times New Roman" w:cs="Times New Roman"/>
                      <w:lang w:val="en-US"/>
                    </w:rPr>
                  </w:pPr>
                  <w:r>
                    <w:rPr>
                      <w:rFonts w:hint="default" w:ascii="Times New Roman" w:hAnsi="Times New Roman" w:cs="Times New Roman"/>
                      <w:lang w:val="en-US" w:eastAsia="zh-CN"/>
                    </w:rPr>
                    <w:t>距离厂界的距离(m)</w:t>
                  </w:r>
                </w:p>
              </w:tc>
              <w:tc>
                <w:tcPr>
                  <w:tcW w:w="2251" w:type="dxa"/>
                  <w:gridSpan w:val="4"/>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厂界贡献值（dB（A））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59" w:hRule="atLeast"/>
              </w:trPr>
              <w:tc>
                <w:tcPr>
                  <w:tcW w:w="1736" w:type="dxa"/>
                  <w:vMerge w:val="continue"/>
                  <w:shd w:val="clear" w:color="auto" w:fill="auto"/>
                  <w:noWrap/>
                  <w:vAlign w:val="center"/>
                </w:tcPr>
                <w:p>
                  <w:pPr>
                    <w:pStyle w:val="31"/>
                    <w:bidi w:val="0"/>
                    <w:rPr>
                      <w:rFonts w:hint="default" w:ascii="Times New Roman" w:hAnsi="Times New Roman" w:cs="Times New Roman"/>
                    </w:rPr>
                  </w:pPr>
                </w:p>
              </w:tc>
              <w:tc>
                <w:tcPr>
                  <w:tcW w:w="1297" w:type="dxa"/>
                  <w:vMerge w:val="continue"/>
                  <w:shd w:val="clear" w:color="auto" w:fill="auto"/>
                  <w:noWrap/>
                  <w:vAlign w:val="center"/>
                </w:tcPr>
                <w:p>
                  <w:pPr>
                    <w:pStyle w:val="31"/>
                    <w:bidi w:val="0"/>
                    <w:rPr>
                      <w:rFonts w:hint="default" w:ascii="Times New Roman" w:hAnsi="Times New Roman" w:cs="Times New Roman"/>
                    </w:rPr>
                  </w:pPr>
                </w:p>
              </w:tc>
              <w:tc>
                <w:tcPr>
                  <w:tcW w:w="894"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东</w:t>
                  </w:r>
                </w:p>
              </w:tc>
              <w:tc>
                <w:tcPr>
                  <w:tcW w:w="951"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西</w:t>
                  </w:r>
                </w:p>
              </w:tc>
              <w:tc>
                <w:tcPr>
                  <w:tcW w:w="724"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南</w:t>
                  </w:r>
                </w:p>
              </w:tc>
              <w:tc>
                <w:tcPr>
                  <w:tcW w:w="726"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北</w:t>
                  </w:r>
                </w:p>
              </w:tc>
              <w:tc>
                <w:tcPr>
                  <w:tcW w:w="653"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东</w:t>
                  </w:r>
                </w:p>
              </w:tc>
              <w:tc>
                <w:tcPr>
                  <w:tcW w:w="596"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西</w:t>
                  </w:r>
                </w:p>
              </w:tc>
              <w:tc>
                <w:tcPr>
                  <w:tcW w:w="562"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南</w:t>
                  </w:r>
                </w:p>
              </w:tc>
              <w:tc>
                <w:tcPr>
                  <w:tcW w:w="440"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59" w:hRule="atLeast"/>
              </w:trPr>
              <w:tc>
                <w:tcPr>
                  <w:tcW w:w="1736"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制砂车间</w:t>
                  </w:r>
                </w:p>
              </w:tc>
              <w:tc>
                <w:tcPr>
                  <w:tcW w:w="1297"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72</w:t>
                  </w:r>
                </w:p>
              </w:tc>
              <w:tc>
                <w:tcPr>
                  <w:tcW w:w="894"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180</w:t>
                  </w:r>
                </w:p>
              </w:tc>
              <w:tc>
                <w:tcPr>
                  <w:tcW w:w="951"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120</w:t>
                  </w:r>
                </w:p>
              </w:tc>
              <w:tc>
                <w:tcPr>
                  <w:tcW w:w="724"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15</w:t>
                  </w:r>
                </w:p>
              </w:tc>
              <w:tc>
                <w:tcPr>
                  <w:tcW w:w="726"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64</w:t>
                  </w:r>
                </w:p>
              </w:tc>
              <w:tc>
                <w:tcPr>
                  <w:tcW w:w="653"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26</w:t>
                  </w:r>
                </w:p>
              </w:tc>
              <w:tc>
                <w:tcPr>
                  <w:tcW w:w="596"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30</w:t>
                  </w:r>
                </w:p>
              </w:tc>
              <w:tc>
                <w:tcPr>
                  <w:tcW w:w="562"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48</w:t>
                  </w:r>
                </w:p>
              </w:tc>
              <w:tc>
                <w:tcPr>
                  <w:tcW w:w="440"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59" w:hRule="atLeast"/>
              </w:trPr>
              <w:tc>
                <w:tcPr>
                  <w:tcW w:w="1736"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石灰生产线</w:t>
                  </w:r>
                </w:p>
              </w:tc>
              <w:tc>
                <w:tcPr>
                  <w:tcW w:w="1297"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63</w:t>
                  </w:r>
                </w:p>
              </w:tc>
              <w:tc>
                <w:tcPr>
                  <w:tcW w:w="894"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65</w:t>
                  </w:r>
                </w:p>
              </w:tc>
              <w:tc>
                <w:tcPr>
                  <w:tcW w:w="951"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180</w:t>
                  </w:r>
                </w:p>
              </w:tc>
              <w:tc>
                <w:tcPr>
                  <w:tcW w:w="724"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60</w:t>
                  </w:r>
                </w:p>
              </w:tc>
              <w:tc>
                <w:tcPr>
                  <w:tcW w:w="726"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15</w:t>
                  </w:r>
                </w:p>
              </w:tc>
              <w:tc>
                <w:tcPr>
                  <w:tcW w:w="653"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26</w:t>
                  </w:r>
                </w:p>
              </w:tc>
              <w:tc>
                <w:tcPr>
                  <w:tcW w:w="596"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18</w:t>
                  </w:r>
                </w:p>
              </w:tc>
              <w:tc>
                <w:tcPr>
                  <w:tcW w:w="562"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27</w:t>
                  </w:r>
                </w:p>
              </w:tc>
              <w:tc>
                <w:tcPr>
                  <w:tcW w:w="440"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59" w:hRule="atLeast"/>
              </w:trPr>
              <w:tc>
                <w:tcPr>
                  <w:tcW w:w="1736" w:type="dxa"/>
                  <w:shd w:val="clear" w:color="auto" w:fill="auto"/>
                  <w:noWrap/>
                  <w:vAlign w:val="center"/>
                </w:tcPr>
                <w:p>
                  <w:pPr>
                    <w:pStyle w:val="31"/>
                    <w:bidi w:val="0"/>
                    <w:rPr>
                      <w:rFonts w:hint="default" w:ascii="Times New Roman" w:hAnsi="Times New Roman" w:cs="Times New Roman"/>
                      <w:lang w:val="en-US"/>
                    </w:rPr>
                  </w:pPr>
                  <w:r>
                    <w:rPr>
                      <w:rFonts w:hint="default" w:ascii="Times New Roman" w:hAnsi="Times New Roman" w:cs="Times New Roman"/>
                      <w:lang w:val="en-US" w:eastAsia="zh-CN"/>
                    </w:rPr>
                    <w:t>干粉砂浆生产线</w:t>
                  </w:r>
                </w:p>
              </w:tc>
              <w:tc>
                <w:tcPr>
                  <w:tcW w:w="1297"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83</w:t>
                  </w:r>
                </w:p>
              </w:tc>
              <w:tc>
                <w:tcPr>
                  <w:tcW w:w="894"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65</w:t>
                  </w:r>
                </w:p>
              </w:tc>
              <w:tc>
                <w:tcPr>
                  <w:tcW w:w="951"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180</w:t>
                  </w:r>
                </w:p>
              </w:tc>
              <w:tc>
                <w:tcPr>
                  <w:tcW w:w="724"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15</w:t>
                  </w:r>
                </w:p>
              </w:tc>
              <w:tc>
                <w:tcPr>
                  <w:tcW w:w="726"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60</w:t>
                  </w:r>
                </w:p>
              </w:tc>
              <w:tc>
                <w:tcPr>
                  <w:tcW w:w="653"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47</w:t>
                  </w:r>
                </w:p>
              </w:tc>
              <w:tc>
                <w:tcPr>
                  <w:tcW w:w="596"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38</w:t>
                  </w:r>
                </w:p>
              </w:tc>
              <w:tc>
                <w:tcPr>
                  <w:tcW w:w="562"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59</w:t>
                  </w:r>
                </w:p>
              </w:tc>
              <w:tc>
                <w:tcPr>
                  <w:tcW w:w="440"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9" w:hRule="atLeast"/>
              </w:trPr>
              <w:tc>
                <w:tcPr>
                  <w:tcW w:w="1736"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叠加值</w:t>
                  </w:r>
                </w:p>
              </w:tc>
              <w:tc>
                <w:tcPr>
                  <w:tcW w:w="1297" w:type="dxa"/>
                  <w:shd w:val="clear" w:color="auto" w:fill="auto"/>
                  <w:noWrap/>
                  <w:vAlign w:val="center"/>
                </w:tcPr>
                <w:p>
                  <w:pPr>
                    <w:pStyle w:val="31"/>
                    <w:bidi w:val="0"/>
                    <w:rPr>
                      <w:rFonts w:hint="default" w:ascii="Times New Roman" w:hAnsi="Times New Roman" w:cs="Times New Roman"/>
                    </w:rPr>
                  </w:pPr>
                </w:p>
              </w:tc>
              <w:tc>
                <w:tcPr>
                  <w:tcW w:w="894" w:type="dxa"/>
                  <w:shd w:val="clear" w:color="auto" w:fill="auto"/>
                  <w:noWrap/>
                  <w:vAlign w:val="center"/>
                </w:tcPr>
                <w:p>
                  <w:pPr>
                    <w:pStyle w:val="31"/>
                    <w:bidi w:val="0"/>
                    <w:rPr>
                      <w:rFonts w:hint="default" w:ascii="Times New Roman" w:hAnsi="Times New Roman" w:cs="Times New Roman"/>
                    </w:rPr>
                  </w:pPr>
                </w:p>
              </w:tc>
              <w:tc>
                <w:tcPr>
                  <w:tcW w:w="951" w:type="dxa"/>
                  <w:shd w:val="clear" w:color="auto" w:fill="auto"/>
                  <w:noWrap/>
                  <w:vAlign w:val="center"/>
                </w:tcPr>
                <w:p>
                  <w:pPr>
                    <w:pStyle w:val="31"/>
                    <w:bidi w:val="0"/>
                    <w:rPr>
                      <w:rFonts w:hint="default" w:ascii="Times New Roman" w:hAnsi="Times New Roman" w:cs="Times New Roman"/>
                    </w:rPr>
                  </w:pPr>
                </w:p>
              </w:tc>
              <w:tc>
                <w:tcPr>
                  <w:tcW w:w="724" w:type="dxa"/>
                  <w:shd w:val="clear" w:color="auto" w:fill="auto"/>
                  <w:noWrap/>
                  <w:vAlign w:val="center"/>
                </w:tcPr>
                <w:p>
                  <w:pPr>
                    <w:pStyle w:val="31"/>
                    <w:bidi w:val="0"/>
                    <w:rPr>
                      <w:rFonts w:hint="default" w:ascii="Times New Roman" w:hAnsi="Times New Roman" w:cs="Times New Roman"/>
                    </w:rPr>
                  </w:pPr>
                </w:p>
              </w:tc>
              <w:tc>
                <w:tcPr>
                  <w:tcW w:w="726" w:type="dxa"/>
                  <w:shd w:val="clear" w:color="auto" w:fill="auto"/>
                  <w:noWrap/>
                  <w:vAlign w:val="center"/>
                </w:tcPr>
                <w:p>
                  <w:pPr>
                    <w:pStyle w:val="31"/>
                    <w:bidi w:val="0"/>
                    <w:rPr>
                      <w:rFonts w:hint="default" w:ascii="Times New Roman" w:hAnsi="Times New Roman" w:cs="Times New Roman"/>
                    </w:rPr>
                  </w:pPr>
                </w:p>
              </w:tc>
              <w:tc>
                <w:tcPr>
                  <w:tcW w:w="653"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47</w:t>
                  </w:r>
                </w:p>
              </w:tc>
              <w:tc>
                <w:tcPr>
                  <w:tcW w:w="596"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38</w:t>
                  </w:r>
                </w:p>
              </w:tc>
              <w:tc>
                <w:tcPr>
                  <w:tcW w:w="562"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59</w:t>
                  </w:r>
                </w:p>
              </w:tc>
              <w:tc>
                <w:tcPr>
                  <w:tcW w:w="440" w:type="dxa"/>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47</w:t>
                  </w:r>
                </w:p>
              </w:tc>
            </w:tr>
          </w:tbl>
          <w:p>
            <w:pPr>
              <w:bidi w:val="0"/>
              <w:rPr>
                <w:rFonts w:hint="default" w:ascii="Times New Roman" w:hAnsi="Times New Roman" w:cs="Times New Roman"/>
                <w:lang w:val="en-US" w:eastAsia="zh-CN"/>
              </w:rPr>
            </w:pPr>
            <w:r>
              <w:rPr>
                <w:rFonts w:hint="default" w:ascii="Times New Roman" w:hAnsi="Times New Roman" w:cs="Times New Roman"/>
                <w:lang w:val="en-US" w:eastAsia="zh-CN"/>
              </w:rPr>
              <w:t>根据厂界噪声预测结果，在采取选用低噪设备、基础减震、设备消声以及建筑隔声等降噪措施的情况下，厂界噪声昼夜间均能满足《工业企业厂界环境噪声排放标准》（GB12348-2008）中3类标准。</w:t>
            </w:r>
          </w:p>
          <w:p>
            <w:pPr>
              <w:keepNext w:val="0"/>
              <w:keepLines w:val="0"/>
              <w:pageBreakBefore w:val="0"/>
              <w:widowControl w:val="0"/>
              <w:numPr>
                <w:ilvl w:val="0"/>
                <w:numId w:val="0"/>
              </w:numPr>
              <w:kinsoku/>
              <w:wordWrap/>
              <w:overflowPunct/>
              <w:topLinePunct w:val="0"/>
              <w:autoSpaceDE/>
              <w:autoSpaceDN/>
              <w:bidi w:val="0"/>
              <w:adjustRightInd/>
              <w:snapToGrid/>
              <w:ind w:leftChars="200"/>
              <w:jc w:val="both"/>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（2）环境敏感点噪声预测</w:t>
            </w:r>
          </w:p>
          <w:p>
            <w:pPr>
              <w:numPr>
                <w:ilvl w:val="0"/>
                <w:numId w:val="0"/>
              </w:numPr>
              <w:bidi w:val="0"/>
              <w:ind w:left="566" w:leftChars="0"/>
              <w:rPr>
                <w:rFonts w:hint="default" w:ascii="Times New Roman" w:hAnsi="Times New Roman" w:cs="Times New Roman"/>
                <w:lang w:val="en-US" w:eastAsia="zh-CN"/>
              </w:rPr>
            </w:pPr>
            <w:r>
              <w:rPr>
                <w:rFonts w:hint="default" w:ascii="Times New Roman" w:hAnsi="Times New Roman" w:cs="Times New Roman"/>
                <w:lang w:val="en-US" w:eastAsia="zh-CN"/>
              </w:rPr>
              <w:t>环境敏感点噪声预测结果详见下表。</w:t>
            </w:r>
          </w:p>
          <w:p>
            <w:pPr>
              <w:bidi w:val="0"/>
              <w:ind w:left="0" w:leftChars="0"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表4-23 声环境保护目标噪声预测结果表</w:t>
            </w:r>
          </w:p>
          <w:tbl>
            <w:tblPr>
              <w:tblStyle w:val="21"/>
              <w:tblW w:w="8653"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64"/>
              <w:gridCol w:w="776"/>
              <w:gridCol w:w="627"/>
              <w:gridCol w:w="807"/>
              <w:gridCol w:w="1006"/>
              <w:gridCol w:w="610"/>
              <w:gridCol w:w="611"/>
              <w:gridCol w:w="610"/>
              <w:gridCol w:w="611"/>
              <w:gridCol w:w="610"/>
              <w:gridCol w:w="611"/>
              <w:gridCol w:w="6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27" w:hRule="atLeast"/>
              </w:trPr>
              <w:tc>
                <w:tcPr>
                  <w:tcW w:w="672" w:type="pct"/>
                  <w:vMerge w:val="restar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声环境保护目标</w:t>
                  </w:r>
                </w:p>
              </w:tc>
              <w:tc>
                <w:tcPr>
                  <w:tcW w:w="810" w:type="pct"/>
                  <w:gridSpan w:val="2"/>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噪噪声背景值（dB（A））</w:t>
                  </w:r>
                </w:p>
              </w:tc>
              <w:tc>
                <w:tcPr>
                  <w:tcW w:w="1047" w:type="pct"/>
                  <w:gridSpan w:val="2"/>
                  <w:shd w:val="clear" w:color="auto" w:fill="auto"/>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噪声贡献值</w:t>
                  </w:r>
                </w:p>
                <w:p>
                  <w:pPr>
                    <w:pStyle w:val="31"/>
                    <w:bidi w:val="0"/>
                    <w:rPr>
                      <w:rFonts w:hint="default" w:ascii="Times New Roman" w:hAnsi="Times New Roman" w:cs="Times New Roman"/>
                    </w:rPr>
                  </w:pPr>
                  <w:r>
                    <w:rPr>
                      <w:rFonts w:hint="default" w:ascii="Times New Roman" w:hAnsi="Times New Roman" w:cs="Times New Roman"/>
                      <w:lang w:val="en-US" w:eastAsia="zh-CN"/>
                    </w:rPr>
                    <w:t>（dB（A））</w:t>
                  </w:r>
                </w:p>
              </w:tc>
              <w:tc>
                <w:tcPr>
                  <w:tcW w:w="705" w:type="pct"/>
                  <w:gridSpan w:val="2"/>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噪声预测值（dB（A））</w:t>
                  </w:r>
                </w:p>
              </w:tc>
              <w:tc>
                <w:tcPr>
                  <w:tcW w:w="705" w:type="pct"/>
                  <w:gridSpan w:val="2"/>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较现状增量（dB（A））</w:t>
                  </w:r>
                </w:p>
              </w:tc>
              <w:tc>
                <w:tcPr>
                  <w:tcW w:w="705" w:type="pct"/>
                  <w:gridSpan w:val="2"/>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噪声标准（dB（A））</w:t>
                  </w:r>
                </w:p>
              </w:tc>
              <w:tc>
                <w:tcPr>
                  <w:tcW w:w="352" w:type="pct"/>
                  <w:vMerge w:val="restar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27" w:hRule="atLeast"/>
              </w:trPr>
              <w:tc>
                <w:tcPr>
                  <w:tcW w:w="672" w:type="pct"/>
                  <w:vMerge w:val="continue"/>
                  <w:shd w:val="clear" w:color="auto" w:fill="auto"/>
                  <w:vAlign w:val="center"/>
                </w:tcPr>
                <w:p>
                  <w:pPr>
                    <w:pStyle w:val="31"/>
                    <w:bidi w:val="0"/>
                    <w:rPr>
                      <w:rFonts w:hint="default" w:ascii="Times New Roman" w:hAnsi="Times New Roman" w:cs="Times New Roman"/>
                    </w:rPr>
                  </w:pPr>
                </w:p>
              </w:tc>
              <w:tc>
                <w:tcPr>
                  <w:tcW w:w="448"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昼</w:t>
                  </w:r>
                </w:p>
              </w:tc>
              <w:tc>
                <w:tcPr>
                  <w:tcW w:w="362"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夜</w:t>
                  </w:r>
                </w:p>
              </w:tc>
              <w:tc>
                <w:tcPr>
                  <w:tcW w:w="466"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昼</w:t>
                  </w:r>
                </w:p>
              </w:tc>
              <w:tc>
                <w:tcPr>
                  <w:tcW w:w="581"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夜</w:t>
                  </w:r>
                </w:p>
              </w:tc>
              <w:tc>
                <w:tcPr>
                  <w:tcW w:w="352"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昼</w:t>
                  </w:r>
                </w:p>
              </w:tc>
              <w:tc>
                <w:tcPr>
                  <w:tcW w:w="353"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夜</w:t>
                  </w:r>
                </w:p>
              </w:tc>
              <w:tc>
                <w:tcPr>
                  <w:tcW w:w="352"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昼</w:t>
                  </w:r>
                </w:p>
              </w:tc>
              <w:tc>
                <w:tcPr>
                  <w:tcW w:w="353"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夜</w:t>
                  </w:r>
                </w:p>
              </w:tc>
              <w:tc>
                <w:tcPr>
                  <w:tcW w:w="352"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昼</w:t>
                  </w:r>
                </w:p>
              </w:tc>
              <w:tc>
                <w:tcPr>
                  <w:tcW w:w="353"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夜</w:t>
                  </w:r>
                </w:p>
              </w:tc>
              <w:tc>
                <w:tcPr>
                  <w:tcW w:w="352" w:type="pct"/>
                  <w:vMerge w:val="continue"/>
                  <w:shd w:val="clear" w:color="auto" w:fill="auto"/>
                  <w:vAlign w:val="center"/>
                </w:tcPr>
                <w:p>
                  <w:pPr>
                    <w:pStyle w:val="31"/>
                    <w:bidi w:val="0"/>
                    <w:rPr>
                      <w:rFonts w:hint="default" w:ascii="Times New Roman" w:hAnsi="Times New Roman"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879" w:hRule="atLeast"/>
              </w:trPr>
              <w:tc>
                <w:tcPr>
                  <w:tcW w:w="672"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北侧27m处居民点</w:t>
                  </w:r>
                </w:p>
              </w:tc>
              <w:tc>
                <w:tcPr>
                  <w:tcW w:w="448"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54</w:t>
                  </w:r>
                </w:p>
              </w:tc>
              <w:tc>
                <w:tcPr>
                  <w:tcW w:w="362"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41</w:t>
                  </w:r>
                </w:p>
              </w:tc>
              <w:tc>
                <w:tcPr>
                  <w:tcW w:w="466"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18</w:t>
                  </w:r>
                </w:p>
              </w:tc>
              <w:tc>
                <w:tcPr>
                  <w:tcW w:w="581"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18</w:t>
                  </w:r>
                </w:p>
              </w:tc>
              <w:tc>
                <w:tcPr>
                  <w:tcW w:w="352"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54</w:t>
                  </w:r>
                </w:p>
              </w:tc>
              <w:tc>
                <w:tcPr>
                  <w:tcW w:w="353"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41</w:t>
                  </w:r>
                </w:p>
              </w:tc>
              <w:tc>
                <w:tcPr>
                  <w:tcW w:w="352"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0</w:t>
                  </w:r>
                </w:p>
              </w:tc>
              <w:tc>
                <w:tcPr>
                  <w:tcW w:w="353"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0</w:t>
                  </w:r>
                </w:p>
              </w:tc>
              <w:tc>
                <w:tcPr>
                  <w:tcW w:w="352"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60</w:t>
                  </w:r>
                </w:p>
              </w:tc>
              <w:tc>
                <w:tcPr>
                  <w:tcW w:w="353"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50</w:t>
                  </w:r>
                </w:p>
              </w:tc>
              <w:tc>
                <w:tcPr>
                  <w:tcW w:w="352"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879" w:hRule="atLeast"/>
              </w:trPr>
              <w:tc>
                <w:tcPr>
                  <w:tcW w:w="672"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东侧22m处居民点</w:t>
                  </w:r>
                </w:p>
              </w:tc>
              <w:tc>
                <w:tcPr>
                  <w:tcW w:w="448"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56</w:t>
                  </w:r>
                </w:p>
              </w:tc>
              <w:tc>
                <w:tcPr>
                  <w:tcW w:w="362"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41</w:t>
                  </w:r>
                </w:p>
              </w:tc>
              <w:tc>
                <w:tcPr>
                  <w:tcW w:w="466"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20</w:t>
                  </w:r>
                </w:p>
              </w:tc>
              <w:tc>
                <w:tcPr>
                  <w:tcW w:w="581"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20</w:t>
                  </w:r>
                </w:p>
              </w:tc>
              <w:tc>
                <w:tcPr>
                  <w:tcW w:w="352"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56</w:t>
                  </w:r>
                </w:p>
              </w:tc>
              <w:tc>
                <w:tcPr>
                  <w:tcW w:w="353"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41</w:t>
                  </w:r>
                </w:p>
              </w:tc>
              <w:tc>
                <w:tcPr>
                  <w:tcW w:w="352"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0</w:t>
                  </w:r>
                </w:p>
              </w:tc>
              <w:tc>
                <w:tcPr>
                  <w:tcW w:w="353"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0</w:t>
                  </w:r>
                </w:p>
              </w:tc>
              <w:tc>
                <w:tcPr>
                  <w:tcW w:w="352"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60</w:t>
                  </w:r>
                </w:p>
              </w:tc>
              <w:tc>
                <w:tcPr>
                  <w:tcW w:w="353"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50</w:t>
                  </w:r>
                </w:p>
              </w:tc>
              <w:tc>
                <w:tcPr>
                  <w:tcW w:w="352"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879" w:hRule="atLeast"/>
              </w:trPr>
              <w:tc>
                <w:tcPr>
                  <w:tcW w:w="672"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东南30m处居民点</w:t>
                  </w:r>
                </w:p>
              </w:tc>
              <w:tc>
                <w:tcPr>
                  <w:tcW w:w="448"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55</w:t>
                  </w:r>
                </w:p>
              </w:tc>
              <w:tc>
                <w:tcPr>
                  <w:tcW w:w="362"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40</w:t>
                  </w:r>
                </w:p>
              </w:tc>
              <w:tc>
                <w:tcPr>
                  <w:tcW w:w="466"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29</w:t>
                  </w:r>
                </w:p>
              </w:tc>
              <w:tc>
                <w:tcPr>
                  <w:tcW w:w="581"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29</w:t>
                  </w:r>
                </w:p>
              </w:tc>
              <w:tc>
                <w:tcPr>
                  <w:tcW w:w="352"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55</w:t>
                  </w:r>
                </w:p>
              </w:tc>
              <w:tc>
                <w:tcPr>
                  <w:tcW w:w="353"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40</w:t>
                  </w:r>
                </w:p>
              </w:tc>
              <w:tc>
                <w:tcPr>
                  <w:tcW w:w="352"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0</w:t>
                  </w:r>
                </w:p>
              </w:tc>
              <w:tc>
                <w:tcPr>
                  <w:tcW w:w="353"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0</w:t>
                  </w:r>
                </w:p>
              </w:tc>
              <w:tc>
                <w:tcPr>
                  <w:tcW w:w="352"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60</w:t>
                  </w:r>
                </w:p>
              </w:tc>
              <w:tc>
                <w:tcPr>
                  <w:tcW w:w="353" w:type="pct"/>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50</w:t>
                  </w:r>
                </w:p>
              </w:tc>
              <w:tc>
                <w:tcPr>
                  <w:tcW w:w="352" w:type="pct"/>
                  <w:shd w:val="clear" w:color="auto" w:fill="auto"/>
                  <w:noWrap/>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是</w:t>
                  </w:r>
                </w:p>
              </w:tc>
            </w:tr>
          </w:tbl>
          <w:p>
            <w:pPr>
              <w:pStyle w:val="2"/>
              <w:rPr>
                <w:rFonts w:hint="default" w:ascii="Times New Roman" w:hAnsi="Times New Roman" w:cs="Times New Roman"/>
                <w:lang w:val="en-US" w:eastAsia="zh-CN"/>
              </w:rPr>
            </w:pPr>
            <w:r>
              <w:rPr>
                <w:rFonts w:hint="default" w:ascii="Times New Roman" w:hAnsi="Times New Roman" w:cs="Times New Roman"/>
                <w:lang w:val="en-US" w:eastAsia="zh-CN"/>
              </w:rPr>
              <w:t>根据对敏感点的预测结果，项目对敏感点影响较小。</w:t>
            </w:r>
          </w:p>
          <w:p>
            <w:pPr>
              <w:bidi w:val="0"/>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4.8.4</w:t>
            </w:r>
            <w:r>
              <w:rPr>
                <w:rFonts w:hint="default" w:ascii="Times New Roman" w:hAnsi="Times New Roman" w:eastAsia="黑体" w:cs="Times New Roman"/>
                <w:lang w:val="en-US" w:eastAsia="zh-CN"/>
              </w:rPr>
              <w:t>降噪措施</w:t>
            </w:r>
          </w:p>
          <w:p>
            <w:pPr>
              <w:bidi w:val="0"/>
              <w:rPr>
                <w:rFonts w:hint="default" w:ascii="Times New Roman" w:hAnsi="Times New Roman" w:cs="Times New Roman"/>
                <w:color w:val="FF0000"/>
                <w:highlight w:val="none"/>
                <w:lang w:val="en-US" w:eastAsia="zh-CN"/>
              </w:rPr>
            </w:pPr>
            <w:r>
              <w:rPr>
                <w:rFonts w:hint="default" w:ascii="Times New Roman" w:hAnsi="Times New Roman" w:cs="Times New Roman"/>
                <w:lang w:val="en-US" w:eastAsia="zh-CN"/>
              </w:rPr>
              <w:t>为</w:t>
            </w:r>
            <w:r>
              <w:rPr>
                <w:rFonts w:hint="default" w:ascii="Times New Roman" w:hAnsi="Times New Roman" w:cs="Times New Roman"/>
                <w:color w:val="FF0000"/>
                <w:highlight w:val="none"/>
                <w:lang w:val="en-US" w:eastAsia="zh-CN"/>
              </w:rPr>
              <w:t>确保项目运营过程中厂界噪声达标排放，并进一步减轻噪声对周边居民的影响，建设单位应采取以下措施：</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（1）应加强设备的保养和维修，使设备随时处于良好的运行状态，避免偶发强噪声产生。高噪声设备操作人员，操作时应佩戴防护头盔或耳套。</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（2）生产作业时关闭部分门窗，加强职工环保意识教育，提倡文明生产；</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color w:val="FF0000"/>
                <w:sz w:val="24"/>
                <w:szCs w:val="24"/>
                <w:highlight w:val="none"/>
                <w:lang w:val="en-US" w:eastAsia="zh-CN"/>
              </w:rPr>
            </w:pPr>
            <w:r>
              <w:rPr>
                <w:rFonts w:hint="default" w:ascii="Times New Roman" w:hAnsi="Times New Roman" w:eastAsia="宋体" w:cs="Times New Roman"/>
                <w:color w:val="FF0000"/>
                <w:sz w:val="24"/>
                <w:szCs w:val="24"/>
                <w:highlight w:val="none"/>
                <w:lang w:val="en-US" w:eastAsia="zh-CN"/>
              </w:rPr>
              <w:t>（3）加强设备维护与保养；</w:t>
            </w:r>
          </w:p>
          <w:p>
            <w:pPr>
              <w:bidi w:val="0"/>
              <w:rPr>
                <w:rFonts w:hint="default" w:ascii="Times New Roman" w:hAnsi="Times New Roman" w:cs="Times New Roman"/>
                <w:color w:val="FF0000"/>
                <w:highlight w:val="none"/>
                <w:lang w:val="en-US" w:eastAsia="zh-CN"/>
              </w:rPr>
            </w:pPr>
            <w:r>
              <w:rPr>
                <w:rFonts w:hint="default" w:ascii="Times New Roman" w:hAnsi="Times New Roman" w:cs="Times New Roman"/>
                <w:color w:val="FF0000"/>
                <w:highlight w:val="none"/>
                <w:lang w:val="en-US" w:eastAsia="zh-CN"/>
              </w:rPr>
              <w:t>（4）优先选用先进设备，减小噪声源强；</w:t>
            </w:r>
          </w:p>
          <w:p>
            <w:pPr>
              <w:pStyle w:val="2"/>
              <w:rPr>
                <w:rFonts w:hint="default" w:ascii="Times New Roman" w:hAnsi="Times New Roman" w:cs="Times New Roman"/>
                <w:color w:val="FF0000"/>
                <w:highlight w:val="none"/>
                <w:lang w:val="en-US" w:eastAsia="zh-CN"/>
              </w:rPr>
            </w:pPr>
            <w:r>
              <w:rPr>
                <w:rFonts w:hint="default" w:ascii="Times New Roman" w:hAnsi="Times New Roman" w:cs="Times New Roman"/>
                <w:color w:val="FF0000"/>
                <w:highlight w:val="none"/>
                <w:lang w:val="en-US" w:eastAsia="zh-CN"/>
              </w:rPr>
              <w:t>（5）所有噪声设备设置在车间或辅助用房内，安装减震、消声等措施，减小对环境的影响；</w:t>
            </w:r>
          </w:p>
          <w:p>
            <w:pPr>
              <w:pStyle w:val="2"/>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（6）机制砂车间设备尽量布置在车间南侧，远离北厂界布置，减少设备噪声对北侧居民的影响。</w:t>
            </w:r>
          </w:p>
          <w:p>
            <w:pPr>
              <w:bidi w:val="0"/>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4.8.5</w:t>
            </w:r>
            <w:r>
              <w:rPr>
                <w:rFonts w:hint="default" w:ascii="Times New Roman" w:hAnsi="Times New Roman" w:eastAsia="黑体" w:cs="Times New Roman"/>
                <w:lang w:val="en-US" w:eastAsia="zh-CN"/>
              </w:rPr>
              <w:t>自行监测计划</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根据《排污单位自行监测技术指南 总则》（HJ 819-2017）中的相关要求，噪声监测计划详见下表。</w:t>
            </w:r>
          </w:p>
          <w:p>
            <w:pPr>
              <w:bidi w:val="0"/>
              <w:ind w:left="0" w:leftChars="0" w:firstLine="0" w:firstLineChars="0"/>
              <w:jc w:val="center"/>
              <w:rPr>
                <w:rFonts w:hint="default" w:ascii="Times New Roman" w:hAnsi="Times New Roman" w:cs="Times New Roman"/>
                <w:vertAlign w:val="baseline"/>
                <w:lang w:val="en-US" w:eastAsia="zh-CN"/>
              </w:rPr>
            </w:pPr>
            <w:r>
              <w:rPr>
                <w:rFonts w:hint="default" w:ascii="Times New Roman" w:hAnsi="Times New Roman" w:cs="Times New Roman"/>
                <w:lang w:val="en-US" w:eastAsia="zh-CN"/>
              </w:rPr>
              <w:t>表4-24 运营期噪声排放监测计划</w:t>
            </w:r>
          </w:p>
          <w:tbl>
            <w:tblPr>
              <w:tblStyle w:val="22"/>
              <w:tblW w:w="8653"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7"/>
              <w:gridCol w:w="1095"/>
              <w:gridCol w:w="1170"/>
              <w:gridCol w:w="1230"/>
              <w:gridCol w:w="40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监测项目</w:t>
                  </w:r>
                </w:p>
              </w:tc>
              <w:tc>
                <w:tcPr>
                  <w:tcW w:w="109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监测布点</w:t>
                  </w:r>
                </w:p>
              </w:tc>
              <w:tc>
                <w:tcPr>
                  <w:tcW w:w="117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监测项目</w:t>
                  </w:r>
                </w:p>
              </w:tc>
              <w:tc>
                <w:tcPr>
                  <w:tcW w:w="123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监测频率</w:t>
                  </w:r>
                </w:p>
              </w:tc>
              <w:tc>
                <w:tcPr>
                  <w:tcW w:w="403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噪声</w:t>
                  </w:r>
                </w:p>
              </w:tc>
              <w:tc>
                <w:tcPr>
                  <w:tcW w:w="109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厂界</w:t>
                  </w:r>
                </w:p>
              </w:tc>
              <w:tc>
                <w:tcPr>
                  <w:tcW w:w="117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LeqdB（A）</w:t>
                  </w:r>
                </w:p>
              </w:tc>
              <w:tc>
                <w:tcPr>
                  <w:tcW w:w="1230"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1次/季度</w:t>
                  </w:r>
                </w:p>
              </w:tc>
              <w:tc>
                <w:tcPr>
                  <w:tcW w:w="403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《工业企业厂界环境噪声排放标准》（GB12348-2008）中的3类标准限值</w:t>
                  </w:r>
                </w:p>
              </w:tc>
            </w:tr>
          </w:tbl>
          <w:p>
            <w:pPr>
              <w:bidi w:val="0"/>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 xml:space="preserve">4.9 </w:t>
            </w:r>
            <w:r>
              <w:rPr>
                <w:rFonts w:hint="default" w:ascii="Times New Roman" w:hAnsi="Times New Roman" w:eastAsia="黑体" w:cs="Times New Roman"/>
                <w:lang w:val="en-US" w:eastAsia="zh-CN"/>
              </w:rPr>
              <w:t>运营期固废</w:t>
            </w:r>
          </w:p>
          <w:p>
            <w:pPr>
              <w:bidi w:val="0"/>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 xml:space="preserve">4.9.1 </w:t>
            </w:r>
            <w:r>
              <w:rPr>
                <w:rFonts w:hint="default" w:ascii="Times New Roman" w:hAnsi="Times New Roman" w:eastAsia="黑体" w:cs="Times New Roman"/>
                <w:lang w:val="en-US" w:eastAsia="zh-CN"/>
              </w:rPr>
              <w:t>污染源强核算</w:t>
            </w:r>
          </w:p>
          <w:p>
            <w:pPr>
              <w:keepNext w:val="0"/>
              <w:keepLines w:val="0"/>
              <w:widowControl/>
              <w:suppressLineNumbers w:val="0"/>
              <w:jc w:val="left"/>
              <w:rPr>
                <w:rFonts w:hint="default" w:ascii="Times New Roman" w:hAnsi="Times New Roman" w:cs="Times New Roman"/>
              </w:rPr>
            </w:pPr>
            <w:r>
              <w:rPr>
                <w:rFonts w:hint="default" w:ascii="Times New Roman" w:hAnsi="Times New Roman" w:eastAsia="宋体" w:cs="Times New Roman"/>
                <w:color w:val="000000"/>
                <w:kern w:val="0"/>
                <w:sz w:val="24"/>
                <w:szCs w:val="24"/>
                <w:lang w:val="en-US" w:eastAsia="zh-CN" w:bidi="ar"/>
              </w:rPr>
              <w:t>本项目固体废物主要包括废包装袋、不合格产品、脉冲</w:t>
            </w:r>
            <w:r>
              <w:rPr>
                <w:rFonts w:hint="default" w:ascii="Times New Roman" w:hAnsi="Times New Roman" w:cs="Times New Roman"/>
                <w:color w:val="000000"/>
                <w:kern w:val="0"/>
                <w:sz w:val="24"/>
                <w:szCs w:val="24"/>
                <w:lang w:val="en-US" w:eastAsia="zh-CN" w:bidi="ar"/>
              </w:rPr>
              <w:t>布袋</w:t>
            </w:r>
            <w:r>
              <w:rPr>
                <w:rFonts w:hint="default" w:ascii="Times New Roman" w:hAnsi="Times New Roman" w:eastAsia="宋体" w:cs="Times New Roman"/>
                <w:color w:val="000000"/>
                <w:kern w:val="0"/>
                <w:sz w:val="24"/>
                <w:szCs w:val="24"/>
                <w:lang w:val="en-US" w:eastAsia="zh-CN" w:bidi="ar"/>
              </w:rPr>
              <w:t>除尘器收集的粉尘、沉淀池沉渣、员工生活垃圾以及废机油及包装桶、废油墨包装桶等。</w:t>
            </w:r>
          </w:p>
          <w:p>
            <w:pPr>
              <w:keepNext w:val="0"/>
              <w:keepLines w:val="0"/>
              <w:widowControl/>
              <w:suppressLineNumbers w:val="0"/>
              <w:jc w:val="left"/>
              <w:rPr>
                <w:rFonts w:hint="default" w:ascii="Times New Roman" w:hAnsi="Times New Roman" w:cs="Times New Roman"/>
              </w:rPr>
            </w:pPr>
            <w:r>
              <w:rPr>
                <w:rFonts w:hint="default" w:ascii="Times New Roman" w:hAnsi="Times New Roman" w:eastAsia="宋体" w:cs="Times New Roman"/>
                <w:color w:val="000000"/>
                <w:kern w:val="0"/>
                <w:sz w:val="24"/>
                <w:szCs w:val="24"/>
                <w:lang w:val="en-US" w:eastAsia="zh-CN" w:bidi="ar"/>
              </w:rPr>
              <w:t xml:space="preserve">（1）生活垃圾 </w:t>
            </w:r>
          </w:p>
          <w:p>
            <w:pPr>
              <w:keepNext w:val="0"/>
              <w:keepLines w:val="0"/>
              <w:widowControl/>
              <w:suppressLineNumbers w:val="0"/>
              <w:jc w:val="left"/>
              <w:rPr>
                <w:rFonts w:hint="default" w:ascii="Times New Roman" w:hAnsi="Times New Roman" w:cs="Times New Roman"/>
              </w:rPr>
            </w:pPr>
            <w:r>
              <w:rPr>
                <w:rFonts w:hint="default" w:ascii="Times New Roman" w:hAnsi="Times New Roman" w:eastAsia="宋体" w:cs="Times New Roman"/>
                <w:color w:val="000000"/>
                <w:kern w:val="0"/>
                <w:sz w:val="24"/>
                <w:szCs w:val="24"/>
                <w:lang w:val="en-US" w:eastAsia="zh-CN" w:bidi="ar"/>
              </w:rPr>
              <w:t>工作人员产生的生活垃圾，按人均 0.5kg/d 计算，工作人员85人，全年产生量为12.75t/a。该生活垃圾</w:t>
            </w:r>
            <w:r>
              <w:rPr>
                <w:rFonts w:hint="default" w:ascii="Times New Roman" w:hAnsi="Times New Roman" w:cs="Times New Roman"/>
                <w:color w:val="000000"/>
                <w:kern w:val="0"/>
                <w:sz w:val="24"/>
                <w:szCs w:val="24"/>
                <w:lang w:val="en-US" w:eastAsia="zh-CN" w:bidi="ar"/>
              </w:rPr>
              <w:t>设置垃圾桶收集暂存，</w:t>
            </w:r>
            <w:r>
              <w:rPr>
                <w:rFonts w:hint="default" w:ascii="Times New Roman" w:hAnsi="Times New Roman" w:eastAsia="宋体" w:cs="Times New Roman"/>
                <w:color w:val="000000"/>
                <w:kern w:val="0"/>
                <w:sz w:val="24"/>
                <w:szCs w:val="24"/>
                <w:lang w:val="en-US" w:eastAsia="zh-CN" w:bidi="ar"/>
              </w:rPr>
              <w:t xml:space="preserve">由环卫部门及时清运，符合环境卫生管理要求，对环境的影响较小。 </w:t>
            </w:r>
          </w:p>
          <w:p>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（2）一般工业固废</w:t>
            </w:r>
          </w:p>
          <w:p>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①不合格产品：本项目不合格的产品产生量约0.01% ，项目总产品量为98万t/a，则不合格产品产生量约98t/a，全部返回生产线重复利用。</w:t>
            </w:r>
          </w:p>
          <w:p>
            <w:pPr>
              <w:pStyle w:val="2"/>
              <w:rPr>
                <w:rFonts w:hint="default" w:ascii="Times New Roman" w:hAnsi="Times New Roman" w:cs="Times New Roman"/>
              </w:rPr>
            </w:pPr>
            <w:r>
              <w:rPr>
                <w:rFonts w:hint="default" w:ascii="Times New Roman" w:hAnsi="Times New Roman" w:eastAsia="宋体" w:cs="Times New Roman"/>
                <w:color w:val="000000"/>
                <w:kern w:val="0"/>
                <w:sz w:val="24"/>
                <w:szCs w:val="24"/>
                <w:lang w:val="en-US" w:eastAsia="zh-CN" w:bidi="ar"/>
              </w:rPr>
              <w:t xml:space="preserve">②脉冲布袋除尘器收集的粉尘：本项目原料筒仓、河砂烘干线、机制砂生产线粉尘以及干粉砂浆生产线中烘干粉尘采用布袋除尘器处理，根据废气源强分析，布袋除尘器收集的粉尘量约2034.07t/a，收集后全部回用于生产。 </w:t>
            </w:r>
          </w:p>
          <w:p>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③沉淀池沉渣：本项目生产废料主要为车轮冲洗废水中含有少量的原料废料。根据废水源强类比同类型企业，生产废水中沉淀物处理量约为0.5t/a，经</w:t>
            </w:r>
            <w:r>
              <w:rPr>
                <w:rFonts w:hint="default" w:ascii="Times New Roman" w:hAnsi="Times New Roman" w:cs="Times New Roman"/>
                <w:color w:val="000000"/>
                <w:kern w:val="0"/>
                <w:sz w:val="24"/>
                <w:szCs w:val="24"/>
                <w:lang w:val="en-US" w:eastAsia="zh-CN" w:bidi="ar"/>
              </w:rPr>
              <w:t>收集</w:t>
            </w:r>
            <w:r>
              <w:rPr>
                <w:rFonts w:hint="default" w:ascii="Times New Roman" w:hAnsi="Times New Roman" w:eastAsia="宋体" w:cs="Times New Roman"/>
                <w:color w:val="000000"/>
                <w:kern w:val="0"/>
                <w:sz w:val="24"/>
                <w:szCs w:val="24"/>
                <w:lang w:val="en-US" w:eastAsia="zh-CN" w:bidi="ar"/>
              </w:rPr>
              <w:t>后，砂、石等骨料送入</w:t>
            </w:r>
            <w:r>
              <w:rPr>
                <w:rFonts w:hint="default" w:ascii="Times New Roman" w:hAnsi="Times New Roman" w:cs="Times New Roman"/>
                <w:color w:val="000000"/>
                <w:kern w:val="0"/>
                <w:sz w:val="24"/>
                <w:szCs w:val="24"/>
                <w:lang w:val="en-US" w:eastAsia="zh-CN" w:bidi="ar"/>
              </w:rPr>
              <w:t>原料堆场</w:t>
            </w:r>
            <w:r>
              <w:rPr>
                <w:rFonts w:hint="default" w:ascii="Times New Roman" w:hAnsi="Times New Roman" w:eastAsia="宋体" w:cs="Times New Roman"/>
                <w:color w:val="000000"/>
                <w:kern w:val="0"/>
                <w:sz w:val="24"/>
                <w:szCs w:val="24"/>
                <w:lang w:val="en-US" w:eastAsia="zh-CN" w:bidi="ar"/>
              </w:rPr>
              <w:t xml:space="preserve">回收利用。 </w:t>
            </w:r>
          </w:p>
          <w:p>
            <w:pPr>
              <w:pStyle w:val="2"/>
              <w:rPr>
                <w:rFonts w:hint="default" w:ascii="Times New Roman" w:hAnsi="Times New Roman" w:cs="Times New Roman"/>
                <w:lang w:val="en-US" w:eastAsia="zh-CN"/>
              </w:rPr>
            </w:pPr>
            <w:r>
              <w:rPr>
                <w:rFonts w:hint="default" w:ascii="Times New Roman" w:hAnsi="Times New Roman" w:eastAsia="宋体" w:cs="Times New Roman"/>
                <w:color w:val="000000"/>
                <w:kern w:val="0"/>
                <w:sz w:val="24"/>
                <w:szCs w:val="24"/>
                <w:lang w:val="en-US" w:eastAsia="zh-CN" w:bidi="ar"/>
              </w:rPr>
              <w:t>④废包装：本项目部分原料为袋装，根据提供的资料，废包装产生量预计2.0t/a。</w:t>
            </w:r>
          </w:p>
          <w:p>
            <w:pPr>
              <w:keepNext w:val="0"/>
              <w:keepLines w:val="0"/>
              <w:widowControl/>
              <w:suppressLineNumbers w:val="0"/>
              <w:jc w:val="left"/>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（2）危险废物</w:t>
            </w:r>
          </w:p>
          <w:p>
            <w:pPr>
              <w:keepNext w:val="0"/>
              <w:keepLines w:val="0"/>
              <w:widowControl/>
              <w:suppressLineNumbers w:val="0"/>
              <w:jc w:val="left"/>
              <w:rPr>
                <w:rFonts w:hint="default" w:ascii="Times New Roman" w:hAnsi="Times New Roman" w:cs="Times New Roman"/>
                <w:color w:val="FF0000"/>
              </w:rPr>
            </w:pPr>
            <w:r>
              <w:rPr>
                <w:rFonts w:hint="default" w:ascii="Times New Roman" w:hAnsi="Times New Roman" w:eastAsia="宋体" w:cs="Times New Roman"/>
                <w:color w:val="FF0000"/>
                <w:kern w:val="0"/>
                <w:sz w:val="24"/>
                <w:szCs w:val="24"/>
                <w:lang w:val="en-US" w:eastAsia="zh-CN" w:bidi="ar"/>
              </w:rPr>
              <w:t>①废矿物油及其包装桶：本项目液压油和机油用量为1.5t/a，由于在使用过程中不停的混入粉尘等杂物，需要定期更换，约产生80%的废液，本项目废</w:t>
            </w:r>
            <w:r>
              <w:rPr>
                <w:rFonts w:hint="default" w:ascii="Times New Roman" w:hAnsi="Times New Roman" w:cs="Times New Roman"/>
                <w:color w:val="FF0000"/>
                <w:kern w:val="0"/>
                <w:sz w:val="24"/>
                <w:szCs w:val="24"/>
                <w:lang w:val="en-US" w:eastAsia="zh-CN" w:bidi="ar"/>
              </w:rPr>
              <w:t>矿物油</w:t>
            </w:r>
            <w:r>
              <w:rPr>
                <w:rFonts w:hint="default" w:ascii="Times New Roman" w:hAnsi="Times New Roman" w:eastAsia="宋体" w:cs="Times New Roman"/>
                <w:color w:val="FF0000"/>
                <w:kern w:val="0"/>
                <w:sz w:val="24"/>
                <w:szCs w:val="24"/>
                <w:lang w:val="en-US" w:eastAsia="zh-CN" w:bidi="ar"/>
              </w:rPr>
              <w:t>产生量为1.2t/a。根据《国家危险废物名录》（2021 年本）进行鉴别，废润滑油属于危险废物，废物类别为“HW08废矿物油与含矿物油废物”，废物代码为“900-214-08”。废液压油和机油采用</w:t>
            </w:r>
            <w:r>
              <w:rPr>
                <w:rFonts w:hint="default" w:ascii="Times New Roman" w:hAnsi="Times New Roman" w:cs="Times New Roman"/>
                <w:color w:val="FF0000"/>
                <w:kern w:val="0"/>
                <w:sz w:val="24"/>
                <w:szCs w:val="24"/>
                <w:lang w:val="en-US" w:eastAsia="zh-CN" w:bidi="ar"/>
              </w:rPr>
              <w:t>原装的</w:t>
            </w:r>
            <w:r>
              <w:rPr>
                <w:rFonts w:hint="default" w:ascii="Times New Roman" w:hAnsi="Times New Roman" w:eastAsia="宋体" w:cs="Times New Roman"/>
                <w:color w:val="FF0000"/>
                <w:kern w:val="0"/>
                <w:sz w:val="24"/>
                <w:szCs w:val="24"/>
                <w:lang w:val="en-US" w:eastAsia="zh-CN" w:bidi="ar"/>
              </w:rPr>
              <w:t>油桶收集，暂存于危废暂存间内，并定期交有危险废物处理资质的单位处置。</w:t>
            </w:r>
          </w:p>
          <w:p>
            <w:pPr>
              <w:pStyle w:val="2"/>
              <w:numPr>
                <w:ilvl w:val="0"/>
                <w:numId w:val="0"/>
              </w:numPr>
              <w:ind w:firstLine="480" w:firstLineChars="20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lang w:val="en-US" w:eastAsia="zh-CN"/>
              </w:rPr>
              <w:t>②废油墨盒：</w:t>
            </w:r>
            <w:r>
              <w:rPr>
                <w:rFonts w:hint="default" w:ascii="Times New Roman" w:hAnsi="Times New Roman" w:cs="Times New Roman"/>
                <w:color w:val="000000" w:themeColor="text1"/>
                <w:lang w:val="en-US" w:eastAsia="zh-CN"/>
                <w14:textFill>
                  <w14:solidFill>
                    <w14:schemeClr w14:val="tx1"/>
                  </w14:solidFill>
                </w14:textFill>
              </w:rPr>
              <w:t>本项目喷码工序产生废油墨盒，根据业主提供资料，本项目废油墨盒年产生量约50个，约为0.02t/a。根据《国家危险废物名录》（2021年版），废油墨盒属于HW49-900-041-49（危废代码），废油墨盒经收集后暂存于危险废物暂存间定期交由有资质单位处置。</w:t>
            </w:r>
          </w:p>
          <w:p>
            <w:pPr>
              <w:bidi w:val="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③废含油抹布：本项目机械维修时可能产生少量含油抹布，产生量约0.05t/a，含油抹布属于HW49-900-041-49（危废代码）</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lang w:val="en-US" w:eastAsia="zh-CN"/>
                <w14:textFill>
                  <w14:solidFill>
                    <w14:schemeClr w14:val="tx1"/>
                  </w14:solidFill>
                </w14:textFill>
              </w:rPr>
              <w:t>本项目含油抹布分类收集后，应该分别存放在设置的危险废物暂存间内，含油抹布经收集后暂存于危险废物暂存间定期交由有资质的单位处置。</w:t>
            </w:r>
          </w:p>
          <w:p>
            <w:pPr>
              <w:pStyle w:val="2"/>
              <w:numPr>
                <w:ilvl w:val="0"/>
                <w:numId w:val="0"/>
              </w:numPr>
              <w:ind w:firstLine="480" w:firstLineChars="200"/>
              <w:rPr>
                <w:rFonts w:hint="default" w:ascii="Times New Roman" w:hAnsi="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（4）固废产生情况汇总</w:t>
            </w:r>
          </w:p>
          <w:p>
            <w:pPr>
              <w:pStyle w:val="2"/>
              <w:numPr>
                <w:ilvl w:val="0"/>
                <w:numId w:val="0"/>
              </w:numPr>
              <w:ind w:leftChars="200"/>
              <w:jc w:val="center"/>
              <w:rPr>
                <w:rFonts w:hint="default" w:ascii="Times New Roman" w:hAnsi="Times New Roman" w:cs="Times New Roman"/>
                <w:lang w:val="en-US" w:eastAsia="zh-CN"/>
              </w:rPr>
            </w:pPr>
            <w:r>
              <w:rPr>
                <w:rFonts w:hint="default" w:ascii="Times New Roman" w:hAnsi="Times New Roman" w:cs="Times New Roman"/>
                <w:lang w:val="en-US" w:eastAsia="zh-CN"/>
              </w:rPr>
              <w:t>表4-25 一般工业固废汇总一览表</w:t>
            </w:r>
          </w:p>
          <w:tbl>
            <w:tblPr>
              <w:tblStyle w:val="2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2"/>
              <w:gridCol w:w="658"/>
              <w:gridCol w:w="911"/>
              <w:gridCol w:w="642"/>
              <w:gridCol w:w="1390"/>
              <w:gridCol w:w="895"/>
              <w:gridCol w:w="968"/>
              <w:gridCol w:w="914"/>
              <w:gridCol w:w="687"/>
              <w:gridCol w:w="11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1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rPr>
                  </w:pPr>
                  <w:r>
                    <w:rPr>
                      <w:rFonts w:hint="default" w:ascii="Times New Roman" w:hAnsi="Times New Roman" w:eastAsia="宋体" w:cs="Times New Roman"/>
                      <w:sz w:val="21"/>
                      <w:szCs w:val="21"/>
                      <w:u w:val="none"/>
                    </w:rPr>
                    <w:t>序号</w:t>
                  </w:r>
                </w:p>
              </w:tc>
              <w:tc>
                <w:tcPr>
                  <w:tcW w:w="38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rPr>
                  </w:pPr>
                  <w:r>
                    <w:rPr>
                      <w:rFonts w:hint="default" w:ascii="Times New Roman" w:hAnsi="Times New Roman" w:eastAsia="宋体" w:cs="Times New Roman"/>
                      <w:sz w:val="21"/>
                      <w:szCs w:val="21"/>
                      <w:u w:val="none"/>
                    </w:rPr>
                    <w:t>固废属性</w:t>
                  </w:r>
                </w:p>
              </w:tc>
              <w:tc>
                <w:tcPr>
                  <w:tcW w:w="52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rPr>
                  </w:pPr>
                  <w:r>
                    <w:rPr>
                      <w:rFonts w:hint="default" w:ascii="Times New Roman" w:hAnsi="Times New Roman" w:eastAsia="宋体" w:cs="Times New Roman"/>
                      <w:sz w:val="21"/>
                      <w:szCs w:val="21"/>
                      <w:u w:val="none"/>
                    </w:rPr>
                    <w:t>固体</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rPr>
                  </w:pPr>
                  <w:r>
                    <w:rPr>
                      <w:rFonts w:hint="default" w:ascii="Times New Roman" w:hAnsi="Times New Roman" w:eastAsia="宋体" w:cs="Times New Roman"/>
                      <w:sz w:val="21"/>
                      <w:szCs w:val="21"/>
                      <w:u w:val="none"/>
                    </w:rPr>
                    <w:t>名称</w:t>
                  </w:r>
                </w:p>
              </w:tc>
              <w:tc>
                <w:tcPr>
                  <w:tcW w:w="37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rPr>
                  </w:pPr>
                  <w:r>
                    <w:rPr>
                      <w:rFonts w:hint="default" w:ascii="Times New Roman" w:hAnsi="Times New Roman" w:eastAsia="宋体" w:cs="Times New Roman"/>
                      <w:sz w:val="21"/>
                      <w:szCs w:val="21"/>
                      <w:u w:val="none"/>
                    </w:rPr>
                    <w:t>形态</w:t>
                  </w:r>
                </w:p>
              </w:tc>
              <w:tc>
                <w:tcPr>
                  <w:tcW w:w="8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rPr>
                  </w:pPr>
                  <w:r>
                    <w:rPr>
                      <w:rFonts w:hint="default" w:ascii="Times New Roman" w:hAnsi="Times New Roman" w:eastAsia="宋体" w:cs="Times New Roman"/>
                      <w:sz w:val="21"/>
                      <w:szCs w:val="21"/>
                      <w:u w:val="none"/>
                    </w:rPr>
                    <w:t>废物类别及代码</w:t>
                  </w:r>
                </w:p>
              </w:tc>
              <w:tc>
                <w:tcPr>
                  <w:tcW w:w="5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sz w:val="21"/>
                      <w:szCs w:val="21"/>
                      <w:u w:val="none"/>
                      <w:lang w:val="en-US" w:eastAsia="zh-CN"/>
                    </w:rPr>
                  </w:pPr>
                  <w:r>
                    <w:rPr>
                      <w:rFonts w:hint="default" w:ascii="Times New Roman" w:hAnsi="Times New Roman" w:cs="Times New Roman"/>
                      <w:sz w:val="21"/>
                      <w:szCs w:val="21"/>
                      <w:u w:val="none"/>
                      <w:lang w:val="en-US" w:eastAsia="zh-CN"/>
                    </w:rPr>
                    <w:t>危害</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lang w:val="en-US" w:eastAsia="zh-CN"/>
                    </w:rPr>
                  </w:pPr>
                  <w:r>
                    <w:rPr>
                      <w:rFonts w:hint="default" w:ascii="Times New Roman" w:hAnsi="Times New Roman" w:cs="Times New Roman"/>
                      <w:sz w:val="21"/>
                      <w:szCs w:val="21"/>
                      <w:u w:val="none"/>
                      <w:lang w:val="en-US" w:eastAsia="zh-CN"/>
                    </w:rPr>
                    <w:t>特性</w:t>
                  </w:r>
                </w:p>
              </w:tc>
              <w:tc>
                <w:tcPr>
                  <w:tcW w:w="56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rPr>
                  </w:pPr>
                  <w:r>
                    <w:rPr>
                      <w:rFonts w:hint="default" w:ascii="Times New Roman" w:hAnsi="Times New Roman" w:eastAsia="宋体" w:cs="Times New Roman"/>
                      <w:sz w:val="21"/>
                      <w:szCs w:val="21"/>
                      <w:u w:val="none"/>
                    </w:rPr>
                    <w:t>产生量（t/a）</w:t>
                  </w:r>
                </w:p>
              </w:tc>
              <w:tc>
                <w:tcPr>
                  <w:tcW w:w="53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rPr>
                  </w:pPr>
                  <w:r>
                    <w:rPr>
                      <w:rFonts w:hint="default" w:ascii="Times New Roman" w:hAnsi="Times New Roman" w:eastAsia="宋体" w:cs="Times New Roman"/>
                      <w:sz w:val="21"/>
                      <w:szCs w:val="21"/>
                      <w:u w:val="none"/>
                    </w:rPr>
                    <w:t>收集</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rPr>
                  </w:pPr>
                  <w:r>
                    <w:rPr>
                      <w:rFonts w:hint="default" w:ascii="Times New Roman" w:hAnsi="Times New Roman" w:eastAsia="宋体" w:cs="Times New Roman"/>
                      <w:sz w:val="21"/>
                      <w:szCs w:val="21"/>
                      <w:u w:val="none"/>
                    </w:rPr>
                    <w:t>方式</w:t>
                  </w:r>
                </w:p>
              </w:tc>
              <w:tc>
                <w:tcPr>
                  <w:tcW w:w="3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rPr>
                  </w:pPr>
                  <w:r>
                    <w:rPr>
                      <w:rFonts w:hint="default" w:ascii="Times New Roman" w:hAnsi="Times New Roman" w:eastAsia="宋体" w:cs="Times New Roman"/>
                      <w:sz w:val="21"/>
                      <w:szCs w:val="21"/>
                      <w:u w:val="none"/>
                    </w:rPr>
                    <w:t>贮存周期</w:t>
                  </w:r>
                </w:p>
              </w:tc>
              <w:tc>
                <w:tcPr>
                  <w:tcW w:w="68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rPr>
                  </w:pPr>
                  <w:r>
                    <w:rPr>
                      <w:rFonts w:hint="default" w:ascii="Times New Roman" w:hAnsi="Times New Roman" w:eastAsia="宋体" w:cs="Times New Roman"/>
                      <w:sz w:val="21"/>
                      <w:szCs w:val="21"/>
                      <w:u w:val="none"/>
                    </w:rPr>
                    <w:t>暂存及处理措施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1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rPr>
                  </w:pPr>
                  <w:r>
                    <w:rPr>
                      <w:rFonts w:hint="default" w:ascii="Times New Roman" w:hAnsi="Times New Roman" w:eastAsia="宋体" w:cs="Times New Roman"/>
                      <w:sz w:val="21"/>
                      <w:szCs w:val="21"/>
                      <w:u w:val="none"/>
                    </w:rPr>
                    <w:t>1</w:t>
                  </w:r>
                </w:p>
              </w:tc>
              <w:tc>
                <w:tcPr>
                  <w:tcW w:w="38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rPr>
                  </w:pPr>
                  <w:r>
                    <w:rPr>
                      <w:rFonts w:hint="default" w:ascii="Times New Roman" w:hAnsi="Times New Roman" w:eastAsia="宋体" w:cs="Times New Roman"/>
                      <w:sz w:val="21"/>
                      <w:szCs w:val="21"/>
                      <w:u w:val="none"/>
                    </w:rPr>
                    <w:t>生活垃圾</w:t>
                  </w:r>
                </w:p>
              </w:tc>
              <w:tc>
                <w:tcPr>
                  <w:tcW w:w="52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rPr>
                  </w:pPr>
                  <w:r>
                    <w:rPr>
                      <w:rFonts w:hint="default" w:ascii="Times New Roman" w:hAnsi="Times New Roman" w:eastAsia="宋体" w:cs="Times New Roman"/>
                      <w:sz w:val="21"/>
                      <w:szCs w:val="21"/>
                      <w:u w:val="none"/>
                    </w:rPr>
                    <w:t>生活垃圾</w:t>
                  </w:r>
                </w:p>
              </w:tc>
              <w:tc>
                <w:tcPr>
                  <w:tcW w:w="37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rPr>
                  </w:pPr>
                  <w:r>
                    <w:rPr>
                      <w:rFonts w:hint="default" w:ascii="Times New Roman" w:hAnsi="Times New Roman" w:eastAsia="宋体" w:cs="Times New Roman"/>
                      <w:sz w:val="21"/>
                      <w:szCs w:val="21"/>
                      <w:u w:val="none"/>
                    </w:rPr>
                    <w:t>固态</w:t>
                  </w:r>
                </w:p>
              </w:tc>
              <w:tc>
                <w:tcPr>
                  <w:tcW w:w="8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rPr>
                  </w:pPr>
                  <w:r>
                    <w:rPr>
                      <w:rFonts w:hint="default" w:ascii="Times New Roman" w:hAnsi="Times New Roman" w:eastAsia="宋体" w:cs="Times New Roman"/>
                      <w:sz w:val="21"/>
                      <w:szCs w:val="21"/>
                      <w:u w:val="none"/>
                    </w:rPr>
                    <w:t>/</w:t>
                  </w:r>
                </w:p>
              </w:tc>
              <w:tc>
                <w:tcPr>
                  <w:tcW w:w="5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lang w:val="en-US" w:eastAsia="zh-CN"/>
                    </w:rPr>
                  </w:pPr>
                  <w:r>
                    <w:rPr>
                      <w:rFonts w:hint="default" w:ascii="Times New Roman" w:hAnsi="Times New Roman" w:cs="Times New Roman"/>
                      <w:sz w:val="21"/>
                      <w:szCs w:val="21"/>
                      <w:u w:val="none"/>
                      <w:lang w:val="en-US" w:eastAsia="zh-CN"/>
                    </w:rPr>
                    <w:t>/</w:t>
                  </w:r>
                </w:p>
              </w:tc>
              <w:tc>
                <w:tcPr>
                  <w:tcW w:w="56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lang w:val="en-US"/>
                    </w:rPr>
                  </w:pPr>
                  <w:r>
                    <w:rPr>
                      <w:rFonts w:hint="default" w:ascii="Times New Roman" w:hAnsi="Times New Roman" w:cs="Times New Roman"/>
                      <w:sz w:val="21"/>
                      <w:szCs w:val="21"/>
                      <w:lang w:val="en-US" w:eastAsia="zh-CN"/>
                    </w:rPr>
                    <w:t>12.75</w:t>
                  </w:r>
                </w:p>
              </w:tc>
              <w:tc>
                <w:tcPr>
                  <w:tcW w:w="53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rPr>
                  </w:pPr>
                  <w:r>
                    <w:rPr>
                      <w:rFonts w:hint="default" w:ascii="Times New Roman" w:hAnsi="Times New Roman" w:eastAsia="宋体" w:cs="Times New Roman"/>
                      <w:sz w:val="21"/>
                      <w:szCs w:val="21"/>
                      <w:u w:val="none"/>
                    </w:rPr>
                    <w:t>垃圾桶</w:t>
                  </w:r>
                </w:p>
              </w:tc>
              <w:tc>
                <w:tcPr>
                  <w:tcW w:w="3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rPr>
                  </w:pPr>
                  <w:r>
                    <w:rPr>
                      <w:rFonts w:hint="default" w:ascii="Times New Roman" w:hAnsi="Times New Roman" w:eastAsia="宋体" w:cs="Times New Roman"/>
                      <w:sz w:val="21"/>
                      <w:szCs w:val="21"/>
                      <w:u w:val="none"/>
                    </w:rPr>
                    <w:t>/</w:t>
                  </w:r>
                </w:p>
              </w:tc>
              <w:tc>
                <w:tcPr>
                  <w:tcW w:w="68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rPr>
                  </w:pPr>
                  <w:r>
                    <w:rPr>
                      <w:rFonts w:hint="default" w:ascii="Times New Roman" w:hAnsi="Times New Roman" w:eastAsia="宋体" w:cs="Times New Roman"/>
                      <w:sz w:val="21"/>
                      <w:szCs w:val="21"/>
                      <w:u w:val="none"/>
                    </w:rPr>
                    <w:t>交由环卫部门处理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1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rPr>
                  </w:pPr>
                  <w:r>
                    <w:rPr>
                      <w:rFonts w:hint="default" w:ascii="Times New Roman" w:hAnsi="Times New Roman" w:eastAsia="宋体" w:cs="Times New Roman"/>
                      <w:sz w:val="21"/>
                      <w:szCs w:val="21"/>
                      <w:u w:val="none"/>
                    </w:rPr>
                    <w:t>2</w:t>
                  </w:r>
                </w:p>
              </w:tc>
              <w:tc>
                <w:tcPr>
                  <w:tcW w:w="382"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rPr>
                  </w:pPr>
                  <w:r>
                    <w:rPr>
                      <w:rFonts w:hint="default" w:ascii="Times New Roman" w:hAnsi="Times New Roman" w:eastAsia="宋体" w:cs="Times New Roman"/>
                      <w:sz w:val="21"/>
                      <w:szCs w:val="21"/>
                      <w:u w:val="none"/>
                    </w:rPr>
                    <w:t>一般固废</w:t>
                  </w:r>
                </w:p>
              </w:tc>
              <w:tc>
                <w:tcPr>
                  <w:tcW w:w="52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2"/>
                      <w:sz w:val="21"/>
                      <w:szCs w:val="21"/>
                      <w:u w:val="none"/>
                      <w:lang w:val="en-US" w:eastAsia="zh-CN" w:bidi="ar-SA"/>
                    </w:rPr>
                  </w:pPr>
                  <w:r>
                    <w:rPr>
                      <w:rFonts w:hint="default" w:ascii="Times New Roman" w:hAnsi="Times New Roman" w:cs="Times New Roman"/>
                      <w:sz w:val="21"/>
                      <w:szCs w:val="21"/>
                      <w:u w:val="none"/>
                      <w:lang w:val="en-US" w:eastAsia="zh-CN"/>
                    </w:rPr>
                    <w:t>废包装材料</w:t>
                  </w:r>
                </w:p>
              </w:tc>
              <w:tc>
                <w:tcPr>
                  <w:tcW w:w="37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2"/>
                      <w:sz w:val="21"/>
                      <w:szCs w:val="21"/>
                      <w:u w:val="none"/>
                      <w:lang w:val="en-US" w:eastAsia="zh-CN" w:bidi="ar-SA"/>
                    </w:rPr>
                  </w:pPr>
                  <w:r>
                    <w:rPr>
                      <w:rFonts w:hint="default" w:ascii="Times New Roman" w:hAnsi="Times New Roman" w:cs="Times New Roman"/>
                      <w:sz w:val="21"/>
                      <w:szCs w:val="21"/>
                      <w:u w:val="none"/>
                      <w:lang w:val="en-US" w:eastAsia="zh-CN"/>
                    </w:rPr>
                    <w:t>固态</w:t>
                  </w:r>
                </w:p>
              </w:tc>
              <w:tc>
                <w:tcPr>
                  <w:tcW w:w="8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2"/>
                      <w:sz w:val="21"/>
                      <w:szCs w:val="21"/>
                      <w:u w:val="none"/>
                      <w:lang w:val="en-US" w:eastAsia="zh-CN" w:bidi="ar-SA"/>
                    </w:rPr>
                  </w:pPr>
                  <w:r>
                    <w:rPr>
                      <w:rFonts w:hint="default" w:ascii="Times New Roman" w:hAnsi="Times New Roman" w:eastAsia="宋体" w:cs="Times New Roman"/>
                      <w:sz w:val="21"/>
                      <w:szCs w:val="21"/>
                      <w:highlight w:val="none"/>
                      <w:lang w:val="en-US" w:eastAsia="zh-CN"/>
                    </w:rPr>
                    <w:t>302-009-99-</w:t>
                  </w:r>
                  <w:r>
                    <w:rPr>
                      <w:rFonts w:hint="default" w:ascii="Times New Roman" w:hAnsi="Times New Roman" w:cs="Times New Roman"/>
                      <w:sz w:val="21"/>
                      <w:szCs w:val="21"/>
                      <w:highlight w:val="none"/>
                      <w:vertAlign w:val="baseline"/>
                      <w:lang w:val="en-US" w:eastAsia="zh-CN"/>
                    </w:rPr>
                    <w:t>（0001）</w:t>
                  </w:r>
                </w:p>
              </w:tc>
              <w:tc>
                <w:tcPr>
                  <w:tcW w:w="5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2"/>
                      <w:sz w:val="21"/>
                      <w:szCs w:val="21"/>
                      <w:u w:val="none"/>
                      <w:lang w:val="en-US" w:eastAsia="zh-CN" w:bidi="ar-SA"/>
                    </w:rPr>
                  </w:pPr>
                  <w:r>
                    <w:rPr>
                      <w:rFonts w:hint="default" w:ascii="Times New Roman" w:hAnsi="Times New Roman" w:cs="Times New Roman"/>
                      <w:sz w:val="21"/>
                      <w:szCs w:val="21"/>
                      <w:u w:val="none"/>
                      <w:lang w:val="en-US" w:eastAsia="zh-CN"/>
                    </w:rPr>
                    <w:t>/</w:t>
                  </w:r>
                </w:p>
              </w:tc>
              <w:tc>
                <w:tcPr>
                  <w:tcW w:w="56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2"/>
                      <w:sz w:val="21"/>
                      <w:szCs w:val="21"/>
                      <w:u w:val="none"/>
                      <w:lang w:val="en-US" w:eastAsia="zh-CN" w:bidi="ar-SA"/>
                    </w:rPr>
                  </w:pPr>
                  <w:r>
                    <w:rPr>
                      <w:rFonts w:hint="default" w:ascii="Times New Roman" w:hAnsi="Times New Roman" w:cs="Times New Roman"/>
                      <w:sz w:val="21"/>
                      <w:szCs w:val="21"/>
                      <w:u w:val="none"/>
                      <w:lang w:val="en-US" w:eastAsia="zh-CN"/>
                    </w:rPr>
                    <w:t>2.0</w:t>
                  </w:r>
                </w:p>
              </w:tc>
              <w:tc>
                <w:tcPr>
                  <w:tcW w:w="53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2"/>
                      <w:sz w:val="21"/>
                      <w:szCs w:val="21"/>
                      <w:u w:val="none"/>
                      <w:lang w:val="en-US" w:eastAsia="zh-CN" w:bidi="ar-SA"/>
                    </w:rPr>
                  </w:pPr>
                  <w:r>
                    <w:rPr>
                      <w:rFonts w:hint="default" w:ascii="Times New Roman" w:hAnsi="Times New Roman" w:cs="Times New Roman"/>
                      <w:sz w:val="21"/>
                      <w:szCs w:val="21"/>
                      <w:u w:val="none"/>
                      <w:lang w:val="en-US" w:eastAsia="zh-CN"/>
                    </w:rPr>
                    <w:t>暂存</w:t>
                  </w:r>
                </w:p>
              </w:tc>
              <w:tc>
                <w:tcPr>
                  <w:tcW w:w="3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2"/>
                      <w:sz w:val="21"/>
                      <w:szCs w:val="21"/>
                      <w:u w:val="none"/>
                      <w:lang w:val="en-US" w:eastAsia="zh-CN" w:bidi="ar-SA"/>
                    </w:rPr>
                  </w:pPr>
                  <w:r>
                    <w:rPr>
                      <w:rFonts w:hint="default" w:ascii="Times New Roman" w:hAnsi="Times New Roman" w:cs="Times New Roman"/>
                      <w:sz w:val="21"/>
                      <w:szCs w:val="21"/>
                      <w:u w:val="none"/>
                      <w:lang w:val="en-US" w:eastAsia="zh-CN"/>
                    </w:rPr>
                    <w:t>/</w:t>
                  </w:r>
                </w:p>
              </w:tc>
              <w:tc>
                <w:tcPr>
                  <w:tcW w:w="68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2"/>
                      <w:sz w:val="21"/>
                      <w:szCs w:val="21"/>
                      <w:u w:val="none"/>
                      <w:lang w:val="en-US" w:eastAsia="zh-CN" w:bidi="ar-SA"/>
                    </w:rPr>
                  </w:pPr>
                  <w:r>
                    <w:rPr>
                      <w:rFonts w:hint="default" w:ascii="Times New Roman" w:hAnsi="Times New Roman" w:cs="Times New Roman"/>
                      <w:sz w:val="21"/>
                      <w:szCs w:val="21"/>
                      <w:u w:val="none"/>
                      <w:lang w:val="en-US" w:eastAsia="zh-CN"/>
                    </w:rPr>
                    <w:t>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1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lang w:val="en-US" w:eastAsia="zh-CN"/>
                    </w:rPr>
                  </w:pPr>
                  <w:r>
                    <w:rPr>
                      <w:rFonts w:hint="default" w:ascii="Times New Roman" w:hAnsi="Times New Roman" w:cs="Times New Roman"/>
                      <w:sz w:val="21"/>
                      <w:szCs w:val="21"/>
                      <w:u w:val="none"/>
                      <w:lang w:val="en-US" w:eastAsia="zh-CN"/>
                    </w:rPr>
                    <w:t>3</w:t>
                  </w:r>
                </w:p>
              </w:tc>
              <w:tc>
                <w:tcPr>
                  <w:tcW w:w="38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rPr>
                  </w:pPr>
                </w:p>
              </w:tc>
              <w:tc>
                <w:tcPr>
                  <w:tcW w:w="52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lang w:val="en-US" w:eastAsia="zh-CN"/>
                    </w:rPr>
                  </w:pPr>
                  <w:r>
                    <w:rPr>
                      <w:rFonts w:hint="default" w:ascii="Times New Roman" w:hAnsi="Times New Roman" w:cs="Times New Roman"/>
                      <w:sz w:val="21"/>
                      <w:szCs w:val="21"/>
                      <w:u w:val="none"/>
                      <w:lang w:val="en-US" w:eastAsia="zh-CN"/>
                    </w:rPr>
                    <w:t>不合格产品</w:t>
                  </w:r>
                </w:p>
              </w:tc>
              <w:tc>
                <w:tcPr>
                  <w:tcW w:w="37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lang w:val="en-US" w:eastAsia="zh-CN"/>
                    </w:rPr>
                  </w:pPr>
                  <w:r>
                    <w:rPr>
                      <w:rFonts w:hint="default" w:ascii="Times New Roman" w:hAnsi="Times New Roman" w:cs="Times New Roman"/>
                      <w:sz w:val="21"/>
                      <w:szCs w:val="21"/>
                      <w:u w:val="none"/>
                      <w:lang w:val="en-US" w:eastAsia="zh-CN"/>
                    </w:rPr>
                    <w:t>固态</w:t>
                  </w:r>
                </w:p>
              </w:tc>
              <w:tc>
                <w:tcPr>
                  <w:tcW w:w="8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2"/>
                      <w:sz w:val="21"/>
                      <w:szCs w:val="21"/>
                      <w:u w:val="none"/>
                      <w:lang w:val="en-US" w:eastAsia="zh-CN" w:bidi="ar-SA"/>
                    </w:rPr>
                  </w:pPr>
                  <w:r>
                    <w:rPr>
                      <w:rFonts w:hint="default" w:ascii="Times New Roman" w:hAnsi="Times New Roman" w:eastAsia="宋体" w:cs="Times New Roman"/>
                      <w:sz w:val="21"/>
                      <w:szCs w:val="21"/>
                      <w:highlight w:val="none"/>
                      <w:lang w:val="en-US" w:eastAsia="zh-CN"/>
                    </w:rPr>
                    <w:t>302-009-99-</w:t>
                  </w:r>
                  <w:r>
                    <w:rPr>
                      <w:rFonts w:hint="default" w:ascii="Times New Roman" w:hAnsi="Times New Roman" w:cs="Times New Roman"/>
                      <w:sz w:val="21"/>
                      <w:szCs w:val="21"/>
                      <w:highlight w:val="none"/>
                      <w:vertAlign w:val="baseline"/>
                      <w:lang w:val="en-US" w:eastAsia="zh-CN"/>
                    </w:rPr>
                    <w:t>（0001）</w:t>
                  </w:r>
                </w:p>
              </w:tc>
              <w:tc>
                <w:tcPr>
                  <w:tcW w:w="5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2"/>
                      <w:sz w:val="21"/>
                      <w:szCs w:val="21"/>
                      <w:u w:val="none"/>
                      <w:lang w:val="en-US" w:eastAsia="zh-CN" w:bidi="ar-SA"/>
                    </w:rPr>
                  </w:pPr>
                  <w:r>
                    <w:rPr>
                      <w:rFonts w:hint="default" w:ascii="Times New Roman" w:hAnsi="Times New Roman" w:cs="Times New Roman"/>
                      <w:sz w:val="21"/>
                      <w:szCs w:val="21"/>
                      <w:u w:val="none"/>
                      <w:lang w:val="en-US" w:eastAsia="zh-CN"/>
                    </w:rPr>
                    <w:t>/</w:t>
                  </w:r>
                </w:p>
              </w:tc>
              <w:tc>
                <w:tcPr>
                  <w:tcW w:w="56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lang w:val="en-US" w:eastAsia="zh-CN"/>
                    </w:rPr>
                  </w:pPr>
                  <w:r>
                    <w:rPr>
                      <w:rFonts w:hint="default" w:ascii="Times New Roman" w:hAnsi="Times New Roman" w:cs="Times New Roman"/>
                      <w:sz w:val="21"/>
                      <w:szCs w:val="21"/>
                      <w:u w:val="none"/>
                      <w:lang w:val="en-US" w:eastAsia="zh-CN"/>
                    </w:rPr>
                    <w:t>98</w:t>
                  </w:r>
                </w:p>
              </w:tc>
              <w:tc>
                <w:tcPr>
                  <w:tcW w:w="53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lang w:val="en-US" w:eastAsia="zh-CN"/>
                    </w:rPr>
                  </w:pPr>
                  <w:r>
                    <w:rPr>
                      <w:rFonts w:hint="default" w:ascii="Times New Roman" w:hAnsi="Times New Roman" w:cs="Times New Roman"/>
                      <w:sz w:val="21"/>
                      <w:szCs w:val="21"/>
                      <w:u w:val="none"/>
                      <w:lang w:val="en-US" w:eastAsia="zh-CN"/>
                    </w:rPr>
                    <w:t>筒仓</w:t>
                  </w:r>
                </w:p>
              </w:tc>
              <w:tc>
                <w:tcPr>
                  <w:tcW w:w="3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lang w:val="en-US" w:eastAsia="zh-CN"/>
                    </w:rPr>
                  </w:pPr>
                  <w:r>
                    <w:rPr>
                      <w:rFonts w:hint="default" w:ascii="Times New Roman" w:hAnsi="Times New Roman" w:cs="Times New Roman"/>
                      <w:sz w:val="21"/>
                      <w:szCs w:val="21"/>
                      <w:u w:val="none"/>
                      <w:lang w:val="en-US" w:eastAsia="zh-CN"/>
                    </w:rPr>
                    <w:t>/</w:t>
                  </w:r>
                </w:p>
              </w:tc>
              <w:tc>
                <w:tcPr>
                  <w:tcW w:w="68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lang w:val="en-US" w:eastAsia="zh-CN"/>
                    </w:rPr>
                  </w:pPr>
                  <w:r>
                    <w:rPr>
                      <w:rFonts w:hint="default" w:ascii="Times New Roman" w:hAnsi="Times New Roman" w:cs="Times New Roman"/>
                      <w:sz w:val="21"/>
                      <w:szCs w:val="21"/>
                      <w:u w:val="none"/>
                      <w:lang w:val="en-US" w:eastAsia="zh-CN"/>
                    </w:rPr>
                    <w:t>返回生产线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1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sz w:val="21"/>
                      <w:szCs w:val="21"/>
                      <w:u w:val="none"/>
                      <w:lang w:val="en-US" w:eastAsia="zh-CN"/>
                    </w:rPr>
                  </w:pPr>
                  <w:r>
                    <w:rPr>
                      <w:rFonts w:hint="default" w:ascii="Times New Roman" w:hAnsi="Times New Roman" w:cs="Times New Roman"/>
                      <w:sz w:val="21"/>
                      <w:szCs w:val="21"/>
                      <w:u w:val="none"/>
                      <w:lang w:val="en-US" w:eastAsia="zh-CN"/>
                    </w:rPr>
                    <w:t>4</w:t>
                  </w:r>
                </w:p>
              </w:tc>
              <w:tc>
                <w:tcPr>
                  <w:tcW w:w="38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rPr>
                  </w:pPr>
                </w:p>
              </w:tc>
              <w:tc>
                <w:tcPr>
                  <w:tcW w:w="52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sz w:val="21"/>
                      <w:szCs w:val="21"/>
                      <w:u w:val="none"/>
                      <w:lang w:val="en-US" w:eastAsia="zh-CN"/>
                    </w:rPr>
                  </w:pPr>
                  <w:r>
                    <w:rPr>
                      <w:rFonts w:hint="default" w:ascii="Times New Roman" w:hAnsi="Times New Roman" w:cs="Times New Roman"/>
                      <w:sz w:val="21"/>
                      <w:szCs w:val="21"/>
                      <w:u w:val="none"/>
                      <w:lang w:val="en-US" w:eastAsia="zh-CN"/>
                    </w:rPr>
                    <w:t>粉尘</w:t>
                  </w:r>
                </w:p>
              </w:tc>
              <w:tc>
                <w:tcPr>
                  <w:tcW w:w="37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sz w:val="21"/>
                      <w:szCs w:val="21"/>
                      <w:u w:val="none"/>
                      <w:lang w:val="en-US" w:eastAsia="zh-CN"/>
                    </w:rPr>
                  </w:pPr>
                  <w:r>
                    <w:rPr>
                      <w:rFonts w:hint="default" w:ascii="Times New Roman" w:hAnsi="Times New Roman" w:cs="Times New Roman"/>
                      <w:sz w:val="21"/>
                      <w:szCs w:val="21"/>
                      <w:u w:val="none"/>
                      <w:lang w:val="en-US" w:eastAsia="zh-CN"/>
                    </w:rPr>
                    <w:t>固态</w:t>
                  </w:r>
                </w:p>
              </w:tc>
              <w:tc>
                <w:tcPr>
                  <w:tcW w:w="8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2"/>
                      <w:sz w:val="21"/>
                      <w:szCs w:val="21"/>
                      <w:u w:val="none"/>
                      <w:lang w:val="en-US" w:eastAsia="zh-CN" w:bidi="ar-SA"/>
                    </w:rPr>
                  </w:pPr>
                  <w:r>
                    <w:rPr>
                      <w:rFonts w:hint="default" w:ascii="Times New Roman" w:hAnsi="Times New Roman" w:eastAsia="宋体" w:cs="Times New Roman"/>
                      <w:sz w:val="21"/>
                      <w:szCs w:val="21"/>
                      <w:highlight w:val="none"/>
                      <w:lang w:val="en-US" w:eastAsia="zh-CN"/>
                    </w:rPr>
                    <w:t>302-009-66</w:t>
                  </w:r>
                  <w:r>
                    <w:rPr>
                      <w:rFonts w:hint="default" w:ascii="Times New Roman" w:hAnsi="Times New Roman" w:cs="Times New Roman"/>
                      <w:sz w:val="21"/>
                      <w:szCs w:val="21"/>
                      <w:highlight w:val="none"/>
                      <w:vertAlign w:val="baseline"/>
                      <w:lang w:val="en-US" w:eastAsia="zh-CN"/>
                    </w:rPr>
                    <w:t>（0001）</w:t>
                  </w:r>
                </w:p>
              </w:tc>
              <w:tc>
                <w:tcPr>
                  <w:tcW w:w="5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2"/>
                      <w:sz w:val="21"/>
                      <w:szCs w:val="21"/>
                      <w:u w:val="none"/>
                      <w:lang w:val="en-US" w:eastAsia="zh-CN" w:bidi="ar-SA"/>
                    </w:rPr>
                  </w:pPr>
                  <w:r>
                    <w:rPr>
                      <w:rFonts w:hint="default" w:ascii="Times New Roman" w:hAnsi="Times New Roman" w:cs="Times New Roman"/>
                      <w:sz w:val="21"/>
                      <w:szCs w:val="21"/>
                      <w:u w:val="none"/>
                      <w:lang w:val="en-US" w:eastAsia="zh-CN"/>
                    </w:rPr>
                    <w:t>/</w:t>
                  </w:r>
                </w:p>
              </w:tc>
              <w:tc>
                <w:tcPr>
                  <w:tcW w:w="56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sz w:val="21"/>
                      <w:szCs w:val="21"/>
                      <w:u w:val="none"/>
                      <w:lang w:val="en-US" w:eastAsia="zh-CN"/>
                    </w:rPr>
                  </w:pPr>
                  <w:r>
                    <w:rPr>
                      <w:rFonts w:hint="default" w:ascii="Times New Roman" w:hAnsi="Times New Roman" w:cs="Times New Roman"/>
                      <w:sz w:val="21"/>
                      <w:szCs w:val="21"/>
                      <w:u w:val="none"/>
                      <w:lang w:val="en-US" w:eastAsia="zh-CN"/>
                    </w:rPr>
                    <w:t>2034.07</w:t>
                  </w:r>
                </w:p>
              </w:tc>
              <w:tc>
                <w:tcPr>
                  <w:tcW w:w="53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2"/>
                      <w:sz w:val="21"/>
                      <w:szCs w:val="21"/>
                      <w:u w:val="none"/>
                      <w:lang w:val="en-US" w:eastAsia="zh-CN" w:bidi="ar-SA"/>
                    </w:rPr>
                  </w:pPr>
                  <w:r>
                    <w:rPr>
                      <w:rFonts w:hint="default" w:ascii="Times New Roman" w:hAnsi="Times New Roman" w:cs="Times New Roman"/>
                      <w:sz w:val="21"/>
                      <w:szCs w:val="21"/>
                      <w:u w:val="none"/>
                      <w:lang w:val="en-US" w:eastAsia="zh-CN"/>
                    </w:rPr>
                    <w:t>筒仓</w:t>
                  </w:r>
                </w:p>
              </w:tc>
              <w:tc>
                <w:tcPr>
                  <w:tcW w:w="3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2"/>
                      <w:sz w:val="21"/>
                      <w:szCs w:val="21"/>
                      <w:u w:val="none"/>
                      <w:lang w:val="en-US" w:eastAsia="zh-CN" w:bidi="ar-SA"/>
                    </w:rPr>
                  </w:pPr>
                  <w:r>
                    <w:rPr>
                      <w:rFonts w:hint="default" w:ascii="Times New Roman" w:hAnsi="Times New Roman" w:cs="Times New Roman"/>
                      <w:sz w:val="21"/>
                      <w:szCs w:val="21"/>
                      <w:u w:val="none"/>
                      <w:lang w:val="en-US" w:eastAsia="zh-CN"/>
                    </w:rPr>
                    <w:t>/</w:t>
                  </w:r>
                </w:p>
              </w:tc>
              <w:tc>
                <w:tcPr>
                  <w:tcW w:w="68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2"/>
                      <w:sz w:val="21"/>
                      <w:szCs w:val="21"/>
                      <w:u w:val="none"/>
                      <w:lang w:val="en-US" w:eastAsia="zh-CN" w:bidi="ar-SA"/>
                    </w:rPr>
                  </w:pPr>
                  <w:r>
                    <w:rPr>
                      <w:rFonts w:hint="default" w:ascii="Times New Roman" w:hAnsi="Times New Roman" w:cs="Times New Roman"/>
                      <w:sz w:val="21"/>
                      <w:szCs w:val="21"/>
                      <w:u w:val="none"/>
                      <w:lang w:val="en-US" w:eastAsia="zh-CN"/>
                    </w:rPr>
                    <w:t>返回生产线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1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sz w:val="21"/>
                      <w:szCs w:val="21"/>
                      <w:u w:val="none"/>
                      <w:lang w:val="en-US" w:eastAsia="zh-CN"/>
                    </w:rPr>
                  </w:pPr>
                  <w:r>
                    <w:rPr>
                      <w:rFonts w:hint="default" w:ascii="Times New Roman" w:hAnsi="Times New Roman" w:cs="Times New Roman"/>
                      <w:sz w:val="21"/>
                      <w:szCs w:val="21"/>
                      <w:u w:val="none"/>
                      <w:lang w:val="en-US" w:eastAsia="zh-CN"/>
                    </w:rPr>
                    <w:t>5</w:t>
                  </w:r>
                </w:p>
              </w:tc>
              <w:tc>
                <w:tcPr>
                  <w:tcW w:w="382"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u w:val="none"/>
                    </w:rPr>
                  </w:pPr>
                </w:p>
              </w:tc>
              <w:tc>
                <w:tcPr>
                  <w:tcW w:w="52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sz w:val="21"/>
                      <w:szCs w:val="21"/>
                      <w:u w:val="none"/>
                      <w:lang w:val="en-US" w:eastAsia="zh-CN"/>
                    </w:rPr>
                  </w:pPr>
                  <w:r>
                    <w:rPr>
                      <w:rFonts w:hint="default" w:ascii="Times New Roman" w:hAnsi="Times New Roman" w:cs="Times New Roman"/>
                      <w:sz w:val="21"/>
                      <w:szCs w:val="21"/>
                      <w:u w:val="none"/>
                      <w:lang w:val="en-US" w:eastAsia="zh-CN"/>
                    </w:rPr>
                    <w:t>沉淀池沉渣</w:t>
                  </w:r>
                </w:p>
              </w:tc>
              <w:tc>
                <w:tcPr>
                  <w:tcW w:w="37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sz w:val="21"/>
                      <w:szCs w:val="21"/>
                      <w:u w:val="none"/>
                      <w:lang w:val="en-US" w:eastAsia="zh-CN"/>
                    </w:rPr>
                  </w:pPr>
                  <w:r>
                    <w:rPr>
                      <w:rFonts w:hint="default" w:ascii="Times New Roman" w:hAnsi="Times New Roman" w:cs="Times New Roman"/>
                      <w:sz w:val="21"/>
                      <w:szCs w:val="21"/>
                      <w:u w:val="none"/>
                      <w:lang w:val="en-US" w:eastAsia="zh-CN"/>
                    </w:rPr>
                    <w:t>固态</w:t>
                  </w:r>
                </w:p>
              </w:tc>
              <w:tc>
                <w:tcPr>
                  <w:tcW w:w="807"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2"/>
                      <w:sz w:val="21"/>
                      <w:szCs w:val="21"/>
                      <w:u w:val="none"/>
                      <w:lang w:val="en-US" w:eastAsia="zh-CN" w:bidi="ar-SA"/>
                    </w:rPr>
                  </w:pPr>
                  <w:r>
                    <w:rPr>
                      <w:rFonts w:hint="default" w:ascii="Times New Roman" w:hAnsi="Times New Roman" w:eastAsia="宋体" w:cs="Times New Roman"/>
                      <w:sz w:val="21"/>
                      <w:szCs w:val="21"/>
                      <w:highlight w:val="none"/>
                      <w:lang w:val="en-US" w:eastAsia="zh-CN"/>
                    </w:rPr>
                    <w:t>302-009-99-</w:t>
                  </w:r>
                  <w:r>
                    <w:rPr>
                      <w:rFonts w:hint="default" w:ascii="Times New Roman" w:hAnsi="Times New Roman" w:cs="Times New Roman"/>
                      <w:sz w:val="21"/>
                      <w:szCs w:val="21"/>
                      <w:highlight w:val="none"/>
                      <w:vertAlign w:val="baseline"/>
                      <w:lang w:val="en-US" w:eastAsia="zh-CN"/>
                    </w:rPr>
                    <w:t>（0001）</w:t>
                  </w:r>
                </w:p>
              </w:tc>
              <w:tc>
                <w:tcPr>
                  <w:tcW w:w="520"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2"/>
                      <w:sz w:val="21"/>
                      <w:szCs w:val="21"/>
                      <w:u w:val="none"/>
                      <w:lang w:val="en-US" w:eastAsia="zh-CN" w:bidi="ar-SA"/>
                    </w:rPr>
                  </w:pPr>
                  <w:r>
                    <w:rPr>
                      <w:rFonts w:hint="default" w:ascii="Times New Roman" w:hAnsi="Times New Roman" w:cs="Times New Roman"/>
                      <w:sz w:val="21"/>
                      <w:szCs w:val="21"/>
                      <w:u w:val="none"/>
                      <w:lang w:val="en-US" w:eastAsia="zh-CN"/>
                    </w:rPr>
                    <w:t>/</w:t>
                  </w:r>
                </w:p>
              </w:tc>
              <w:tc>
                <w:tcPr>
                  <w:tcW w:w="562"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sz w:val="21"/>
                      <w:szCs w:val="21"/>
                      <w:u w:val="none"/>
                      <w:lang w:val="en-US" w:eastAsia="zh-CN"/>
                    </w:rPr>
                  </w:pPr>
                  <w:r>
                    <w:rPr>
                      <w:rFonts w:hint="default" w:ascii="Times New Roman" w:hAnsi="Times New Roman" w:cs="Times New Roman"/>
                      <w:sz w:val="21"/>
                      <w:szCs w:val="21"/>
                      <w:u w:val="none"/>
                      <w:lang w:val="en-US" w:eastAsia="zh-CN"/>
                    </w:rPr>
                    <w:t>0.5</w:t>
                  </w:r>
                </w:p>
              </w:tc>
              <w:tc>
                <w:tcPr>
                  <w:tcW w:w="53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sz w:val="21"/>
                      <w:szCs w:val="21"/>
                      <w:u w:val="none"/>
                      <w:lang w:val="en-US" w:eastAsia="zh-CN"/>
                    </w:rPr>
                  </w:pPr>
                  <w:r>
                    <w:rPr>
                      <w:rFonts w:hint="default" w:ascii="Times New Roman" w:hAnsi="Times New Roman" w:cs="Times New Roman"/>
                      <w:sz w:val="21"/>
                      <w:szCs w:val="21"/>
                      <w:u w:val="none"/>
                      <w:lang w:val="en-US" w:eastAsia="zh-CN"/>
                    </w:rPr>
                    <w:t>堆场</w:t>
                  </w:r>
                </w:p>
              </w:tc>
              <w:tc>
                <w:tcPr>
                  <w:tcW w:w="399"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2"/>
                      <w:sz w:val="21"/>
                      <w:szCs w:val="21"/>
                      <w:u w:val="none"/>
                      <w:lang w:val="en-US" w:eastAsia="zh-CN" w:bidi="ar-SA"/>
                    </w:rPr>
                  </w:pPr>
                  <w:r>
                    <w:rPr>
                      <w:rFonts w:hint="default" w:ascii="Times New Roman" w:hAnsi="Times New Roman" w:cs="Times New Roman"/>
                      <w:sz w:val="21"/>
                      <w:szCs w:val="21"/>
                      <w:u w:val="none"/>
                      <w:lang w:val="en-US" w:eastAsia="zh-CN"/>
                    </w:rPr>
                    <w:t>/</w:t>
                  </w:r>
                </w:p>
              </w:tc>
              <w:tc>
                <w:tcPr>
                  <w:tcW w:w="683"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2"/>
                      <w:sz w:val="21"/>
                      <w:szCs w:val="21"/>
                      <w:u w:val="none"/>
                      <w:lang w:val="en-US" w:eastAsia="zh-CN" w:bidi="ar-SA"/>
                    </w:rPr>
                  </w:pPr>
                  <w:r>
                    <w:rPr>
                      <w:rFonts w:hint="default" w:ascii="Times New Roman" w:hAnsi="Times New Roman" w:cs="Times New Roman"/>
                      <w:sz w:val="21"/>
                      <w:szCs w:val="21"/>
                      <w:u w:val="none"/>
                      <w:lang w:val="en-US" w:eastAsia="zh-CN"/>
                    </w:rPr>
                    <w:t>返回生产线</w:t>
                  </w:r>
                </w:p>
              </w:tc>
            </w:tr>
          </w:tbl>
          <w:p>
            <w:pPr>
              <w:pStyle w:val="20"/>
              <w:keepNext w:val="0"/>
              <w:keepLines w:val="0"/>
              <w:pageBreakBefore w:val="0"/>
              <w:widowControl w:val="0"/>
              <w:kinsoku/>
              <w:wordWrap/>
              <w:overflowPunct/>
              <w:topLinePunct w:val="0"/>
              <w:autoSpaceDE/>
              <w:autoSpaceDN/>
              <w:bidi w:val="0"/>
              <w:adjustRightInd/>
              <w:snapToGrid/>
              <w:spacing w:before="157" w:beforeLines="50" w:after="0" w:line="360" w:lineRule="auto"/>
              <w:ind w:left="0" w:leftChars="0" w:firstLine="0" w:firstLineChars="0"/>
              <w:jc w:val="center"/>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表4-</w:t>
            </w:r>
            <w:r>
              <w:rPr>
                <w:rFonts w:hint="default" w:ascii="Times New Roman" w:hAnsi="Times New Roman" w:cs="Times New Roman"/>
                <w:kern w:val="2"/>
                <w:sz w:val="24"/>
                <w:szCs w:val="24"/>
                <w:lang w:val="en-US" w:eastAsia="zh-CN" w:bidi="ar-SA"/>
              </w:rPr>
              <w:t xml:space="preserve">26 </w:t>
            </w:r>
            <w:r>
              <w:rPr>
                <w:rFonts w:hint="default" w:ascii="Times New Roman" w:hAnsi="Times New Roman" w:eastAsia="宋体" w:cs="Times New Roman"/>
                <w:kern w:val="2"/>
                <w:sz w:val="24"/>
                <w:szCs w:val="24"/>
                <w:lang w:val="en-US" w:eastAsia="zh-CN" w:bidi="ar-SA"/>
              </w:rPr>
              <w:t>项目危险废物产生及处置表</w:t>
            </w:r>
          </w:p>
          <w:tbl>
            <w:tblPr>
              <w:tblStyle w:val="21"/>
              <w:tblW w:w="507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381"/>
              <w:gridCol w:w="861"/>
              <w:gridCol w:w="1258"/>
              <w:gridCol w:w="1043"/>
              <w:gridCol w:w="660"/>
              <w:gridCol w:w="932"/>
              <w:gridCol w:w="932"/>
              <w:gridCol w:w="579"/>
              <w:gridCol w:w="598"/>
              <w:gridCol w:w="719"/>
              <w:gridCol w:w="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45" w:hRule="atLeast"/>
                <w:jc w:val="center"/>
              </w:trPr>
              <w:tc>
                <w:tcPr>
                  <w:tcW w:w="218" w:type="pct"/>
                  <w:noWrap w:val="0"/>
                  <w:vAlign w:val="center"/>
                </w:tcPr>
                <w:p>
                  <w:pPr>
                    <w:pStyle w:val="34"/>
                    <w:jc w:val="center"/>
                    <w:rPr>
                      <w:rFonts w:hint="default" w:ascii="Times New Roman" w:hAnsi="Times New Roman" w:cs="Times New Roman"/>
                      <w:sz w:val="21"/>
                      <w:szCs w:val="21"/>
                    </w:rPr>
                  </w:pPr>
                  <w:r>
                    <w:rPr>
                      <w:rFonts w:hint="default" w:ascii="Times New Roman" w:hAnsi="Times New Roman" w:cs="Times New Roman"/>
                      <w:sz w:val="21"/>
                      <w:szCs w:val="21"/>
                    </w:rPr>
                    <w:t>序号</w:t>
                  </w:r>
                </w:p>
              </w:tc>
              <w:tc>
                <w:tcPr>
                  <w:tcW w:w="492" w:type="pct"/>
                  <w:noWrap w:val="0"/>
                  <w:vAlign w:val="center"/>
                </w:tcPr>
                <w:p>
                  <w:pPr>
                    <w:pStyle w:val="34"/>
                    <w:jc w:val="center"/>
                    <w:rPr>
                      <w:rFonts w:hint="default" w:ascii="Times New Roman" w:hAnsi="Times New Roman" w:cs="Times New Roman"/>
                      <w:sz w:val="21"/>
                      <w:szCs w:val="21"/>
                    </w:rPr>
                  </w:pPr>
                  <w:r>
                    <w:rPr>
                      <w:rFonts w:hint="default" w:ascii="Times New Roman" w:hAnsi="Times New Roman" w:cs="Times New Roman"/>
                      <w:sz w:val="21"/>
                      <w:szCs w:val="21"/>
                    </w:rPr>
                    <w:t>危险废物名称</w:t>
                  </w:r>
                </w:p>
              </w:tc>
              <w:tc>
                <w:tcPr>
                  <w:tcW w:w="719" w:type="pct"/>
                  <w:noWrap w:val="0"/>
                  <w:vAlign w:val="center"/>
                </w:tcPr>
                <w:p>
                  <w:pPr>
                    <w:pStyle w:val="34"/>
                    <w:jc w:val="center"/>
                    <w:rPr>
                      <w:rFonts w:hint="default" w:ascii="Times New Roman" w:hAnsi="Times New Roman" w:cs="Times New Roman"/>
                      <w:sz w:val="21"/>
                      <w:szCs w:val="21"/>
                    </w:rPr>
                  </w:pPr>
                  <w:r>
                    <w:rPr>
                      <w:rFonts w:hint="default" w:ascii="Times New Roman" w:hAnsi="Times New Roman" w:cs="Times New Roman"/>
                      <w:sz w:val="21"/>
                      <w:szCs w:val="21"/>
                    </w:rPr>
                    <w:t>危险废物类别</w:t>
                  </w:r>
                </w:p>
              </w:tc>
              <w:tc>
                <w:tcPr>
                  <w:tcW w:w="596" w:type="pct"/>
                  <w:noWrap w:val="0"/>
                  <w:vAlign w:val="center"/>
                </w:tcPr>
                <w:p>
                  <w:pPr>
                    <w:pStyle w:val="34"/>
                    <w:jc w:val="center"/>
                    <w:rPr>
                      <w:rFonts w:hint="default" w:ascii="Times New Roman" w:hAnsi="Times New Roman" w:cs="Times New Roman"/>
                      <w:sz w:val="21"/>
                      <w:szCs w:val="21"/>
                    </w:rPr>
                  </w:pPr>
                  <w:r>
                    <w:rPr>
                      <w:rFonts w:hint="default" w:ascii="Times New Roman" w:hAnsi="Times New Roman" w:cs="Times New Roman"/>
                      <w:sz w:val="21"/>
                      <w:szCs w:val="21"/>
                    </w:rPr>
                    <w:t>危险废物代码</w:t>
                  </w:r>
                </w:p>
              </w:tc>
              <w:tc>
                <w:tcPr>
                  <w:tcW w:w="377" w:type="pct"/>
                  <w:noWrap w:val="0"/>
                  <w:vAlign w:val="center"/>
                </w:tcPr>
                <w:p>
                  <w:pPr>
                    <w:pStyle w:val="34"/>
                    <w:jc w:val="center"/>
                    <w:rPr>
                      <w:rFonts w:hint="default" w:ascii="Times New Roman" w:hAnsi="Times New Roman" w:cs="Times New Roman"/>
                      <w:sz w:val="21"/>
                      <w:szCs w:val="21"/>
                    </w:rPr>
                  </w:pPr>
                  <w:r>
                    <w:rPr>
                      <w:rFonts w:hint="default" w:ascii="Times New Roman" w:hAnsi="Times New Roman" w:cs="Times New Roman"/>
                      <w:sz w:val="21"/>
                      <w:szCs w:val="21"/>
                    </w:rPr>
                    <w:t>产生量t/a</w:t>
                  </w:r>
                </w:p>
              </w:tc>
              <w:tc>
                <w:tcPr>
                  <w:tcW w:w="533" w:type="pct"/>
                  <w:noWrap w:val="0"/>
                  <w:vAlign w:val="center"/>
                </w:tcPr>
                <w:p>
                  <w:pPr>
                    <w:pStyle w:val="34"/>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最大暂存量</w:t>
                  </w:r>
                  <w:r>
                    <w:rPr>
                      <w:rFonts w:hint="default" w:ascii="Times New Roman" w:hAnsi="Times New Roman" w:cs="Times New Roman"/>
                      <w:sz w:val="21"/>
                      <w:szCs w:val="21"/>
                    </w:rPr>
                    <w:t>t/a</w:t>
                  </w:r>
                </w:p>
              </w:tc>
              <w:tc>
                <w:tcPr>
                  <w:tcW w:w="533" w:type="pct"/>
                  <w:noWrap w:val="0"/>
                  <w:vAlign w:val="center"/>
                </w:tcPr>
                <w:p>
                  <w:pPr>
                    <w:pStyle w:val="34"/>
                    <w:jc w:val="center"/>
                    <w:rPr>
                      <w:rFonts w:hint="default" w:ascii="Times New Roman" w:hAnsi="Times New Roman" w:cs="Times New Roman"/>
                      <w:sz w:val="21"/>
                      <w:szCs w:val="21"/>
                    </w:rPr>
                  </w:pPr>
                  <w:r>
                    <w:rPr>
                      <w:rFonts w:hint="default" w:ascii="Times New Roman" w:hAnsi="Times New Roman" w:cs="Times New Roman"/>
                      <w:sz w:val="21"/>
                      <w:szCs w:val="21"/>
                    </w:rPr>
                    <w:t>产生工序及装置</w:t>
                  </w:r>
                </w:p>
              </w:tc>
              <w:tc>
                <w:tcPr>
                  <w:tcW w:w="331" w:type="pct"/>
                  <w:noWrap w:val="0"/>
                  <w:vAlign w:val="center"/>
                </w:tcPr>
                <w:p>
                  <w:pPr>
                    <w:pStyle w:val="34"/>
                    <w:jc w:val="center"/>
                    <w:rPr>
                      <w:rFonts w:hint="default" w:ascii="Times New Roman" w:hAnsi="Times New Roman" w:cs="Times New Roman"/>
                      <w:sz w:val="21"/>
                      <w:szCs w:val="21"/>
                    </w:rPr>
                  </w:pPr>
                  <w:r>
                    <w:rPr>
                      <w:rFonts w:hint="default" w:ascii="Times New Roman" w:hAnsi="Times New Roman" w:cs="Times New Roman"/>
                      <w:sz w:val="21"/>
                      <w:szCs w:val="21"/>
                    </w:rPr>
                    <w:t>形态</w:t>
                  </w:r>
                </w:p>
              </w:tc>
              <w:tc>
                <w:tcPr>
                  <w:tcW w:w="342" w:type="pct"/>
                  <w:noWrap w:val="0"/>
                  <w:vAlign w:val="center"/>
                </w:tcPr>
                <w:p>
                  <w:pPr>
                    <w:pStyle w:val="34"/>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有害成分</w:t>
                  </w:r>
                </w:p>
              </w:tc>
              <w:tc>
                <w:tcPr>
                  <w:tcW w:w="411" w:type="pct"/>
                  <w:noWrap w:val="0"/>
                  <w:vAlign w:val="center"/>
                </w:tcPr>
                <w:p>
                  <w:pPr>
                    <w:pStyle w:val="34"/>
                    <w:jc w:val="center"/>
                    <w:rPr>
                      <w:rFonts w:hint="default" w:ascii="Times New Roman" w:hAnsi="Times New Roman" w:cs="Times New Roman"/>
                      <w:sz w:val="21"/>
                      <w:szCs w:val="21"/>
                    </w:rPr>
                  </w:pPr>
                  <w:r>
                    <w:rPr>
                      <w:rFonts w:hint="default" w:ascii="Times New Roman" w:hAnsi="Times New Roman" w:cs="Times New Roman"/>
                      <w:sz w:val="21"/>
                      <w:szCs w:val="21"/>
                    </w:rPr>
                    <w:t>危险</w:t>
                  </w:r>
                </w:p>
                <w:p>
                  <w:pPr>
                    <w:pStyle w:val="34"/>
                    <w:jc w:val="center"/>
                    <w:rPr>
                      <w:rFonts w:hint="default" w:ascii="Times New Roman" w:hAnsi="Times New Roman" w:cs="Times New Roman"/>
                      <w:sz w:val="21"/>
                      <w:szCs w:val="21"/>
                    </w:rPr>
                  </w:pPr>
                  <w:r>
                    <w:rPr>
                      <w:rFonts w:hint="default" w:ascii="Times New Roman" w:hAnsi="Times New Roman" w:cs="Times New Roman"/>
                      <w:sz w:val="21"/>
                      <w:szCs w:val="21"/>
                    </w:rPr>
                    <w:t>特性</w:t>
                  </w:r>
                </w:p>
              </w:tc>
              <w:tc>
                <w:tcPr>
                  <w:tcW w:w="441" w:type="pct"/>
                  <w:noWrap w:val="0"/>
                  <w:vAlign w:val="center"/>
                </w:tcPr>
                <w:p>
                  <w:pPr>
                    <w:pStyle w:val="34"/>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45" w:hRule="atLeast"/>
                <w:jc w:val="center"/>
              </w:trPr>
              <w:tc>
                <w:tcPr>
                  <w:tcW w:w="218" w:type="pct"/>
                  <w:noWrap w:val="0"/>
                  <w:vAlign w:val="center"/>
                </w:tcPr>
                <w:p>
                  <w:pPr>
                    <w:pStyle w:val="34"/>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w:t>
                  </w:r>
                </w:p>
              </w:tc>
              <w:tc>
                <w:tcPr>
                  <w:tcW w:w="492" w:type="pct"/>
                  <w:noWrap w:val="0"/>
                  <w:vAlign w:val="center"/>
                </w:tcPr>
                <w:p>
                  <w:pPr>
                    <w:pStyle w:val="34"/>
                    <w:ind w:firstLine="0" w:firstLineChars="0"/>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废油墨盒</w:t>
                  </w:r>
                </w:p>
              </w:tc>
              <w:tc>
                <w:tcPr>
                  <w:tcW w:w="719" w:type="pct"/>
                  <w:noWrap w:val="0"/>
                  <w:vAlign w:val="center"/>
                </w:tcPr>
                <w:p>
                  <w:pPr>
                    <w:pStyle w:val="34"/>
                    <w:ind w:firstLine="0" w:firstLineChars="0"/>
                    <w:jc w:val="center"/>
                    <w:rPr>
                      <w:rFonts w:hint="default" w:ascii="Times New Roman" w:hAnsi="Times New Roman" w:cs="Times New Roman"/>
                      <w:color w:val="FF0000"/>
                      <w:sz w:val="21"/>
                      <w:szCs w:val="21"/>
                    </w:rPr>
                  </w:pPr>
                  <w:r>
                    <w:rPr>
                      <w:rFonts w:hint="default" w:ascii="Times New Roman" w:hAnsi="Times New Roman" w:cs="Times New Roman"/>
                      <w:color w:val="FF0000"/>
                      <w:sz w:val="21"/>
                      <w:szCs w:val="21"/>
                    </w:rPr>
                    <w:t>HW49</w:t>
                  </w:r>
                </w:p>
              </w:tc>
              <w:tc>
                <w:tcPr>
                  <w:tcW w:w="596" w:type="pct"/>
                  <w:noWrap w:val="0"/>
                  <w:vAlign w:val="center"/>
                </w:tcPr>
                <w:p>
                  <w:pPr>
                    <w:pStyle w:val="34"/>
                    <w:ind w:firstLine="0" w:firstLineChars="0"/>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900-041-49</w:t>
                  </w:r>
                </w:p>
              </w:tc>
              <w:tc>
                <w:tcPr>
                  <w:tcW w:w="377" w:type="pct"/>
                  <w:noWrap w:val="0"/>
                  <w:vAlign w:val="center"/>
                </w:tcPr>
                <w:p>
                  <w:pPr>
                    <w:pStyle w:val="34"/>
                    <w:ind w:firstLine="0" w:firstLine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lang w:val="en-US" w:eastAsia="zh-CN"/>
                    </w:rPr>
                    <w:t>0.0</w:t>
                  </w:r>
                  <w:r>
                    <w:rPr>
                      <w:rFonts w:hint="default" w:ascii="Times New Roman" w:hAnsi="Times New Roman" w:cs="Times New Roman"/>
                      <w:color w:val="FF0000"/>
                      <w:lang w:val="en-US" w:eastAsia="zh-CN"/>
                    </w:rPr>
                    <w:t>2</w:t>
                  </w:r>
                </w:p>
              </w:tc>
              <w:tc>
                <w:tcPr>
                  <w:tcW w:w="533" w:type="pct"/>
                  <w:noWrap w:val="0"/>
                  <w:vAlign w:val="center"/>
                </w:tcPr>
                <w:p>
                  <w:pPr>
                    <w:pStyle w:val="34"/>
                    <w:ind w:firstLine="0" w:firstLine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lang w:val="en-US" w:eastAsia="zh-CN"/>
                    </w:rPr>
                    <w:t>0.0</w:t>
                  </w:r>
                  <w:r>
                    <w:rPr>
                      <w:rFonts w:hint="default" w:ascii="Times New Roman" w:hAnsi="Times New Roman" w:cs="Times New Roman"/>
                      <w:color w:val="FF0000"/>
                      <w:lang w:val="en-US" w:eastAsia="zh-CN"/>
                    </w:rPr>
                    <w:t>2</w:t>
                  </w:r>
                </w:p>
              </w:tc>
              <w:tc>
                <w:tcPr>
                  <w:tcW w:w="533" w:type="pct"/>
                  <w:noWrap w:val="0"/>
                  <w:vAlign w:val="center"/>
                </w:tcPr>
                <w:p>
                  <w:pPr>
                    <w:pStyle w:val="34"/>
                    <w:ind w:firstLine="0" w:firstLine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喷码</w:t>
                  </w:r>
                </w:p>
              </w:tc>
              <w:tc>
                <w:tcPr>
                  <w:tcW w:w="331" w:type="pct"/>
                  <w:noWrap w:val="0"/>
                  <w:vAlign w:val="center"/>
                </w:tcPr>
                <w:p>
                  <w:pPr>
                    <w:ind w:firstLine="0" w:firstLineChars="0"/>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固</w:t>
                  </w:r>
                </w:p>
              </w:tc>
              <w:tc>
                <w:tcPr>
                  <w:tcW w:w="342" w:type="pct"/>
                  <w:noWrap w:val="0"/>
                  <w:vAlign w:val="center"/>
                </w:tcPr>
                <w:p>
                  <w:pPr>
                    <w:pStyle w:val="34"/>
                    <w:ind w:firstLine="0" w:firstLineChars="0"/>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VOCs</w:t>
                  </w:r>
                </w:p>
              </w:tc>
              <w:tc>
                <w:tcPr>
                  <w:tcW w:w="411" w:type="pct"/>
                  <w:noWrap w:val="0"/>
                  <w:vAlign w:val="center"/>
                </w:tcPr>
                <w:p>
                  <w:pPr>
                    <w:pStyle w:val="34"/>
                    <w:ind w:firstLine="0" w:firstLine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T</w:t>
                  </w:r>
                </w:p>
              </w:tc>
              <w:tc>
                <w:tcPr>
                  <w:tcW w:w="441" w:type="pct"/>
                  <w:vMerge w:val="restart"/>
                  <w:noWrap w:val="0"/>
                  <w:vAlign w:val="center"/>
                </w:tcPr>
                <w:p>
                  <w:pPr>
                    <w:pStyle w:val="34"/>
                    <w:jc w:val="center"/>
                    <w:rPr>
                      <w:rFonts w:hint="default" w:ascii="Times New Roman" w:hAnsi="Times New Roman" w:cs="Times New Roman"/>
                      <w:color w:val="FF0000"/>
                      <w:sz w:val="21"/>
                      <w:szCs w:val="21"/>
                    </w:rPr>
                  </w:pPr>
                  <w:r>
                    <w:rPr>
                      <w:rFonts w:hint="default" w:ascii="Times New Roman" w:hAnsi="Times New Roman" w:eastAsia="宋体" w:cs="Times New Roman"/>
                      <w:color w:val="FF0000"/>
                      <w:lang w:val="en-US" w:eastAsia="zh-CN"/>
                    </w:rPr>
                    <w:t>暂存于危废暂存间后交由有资质单位处置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45" w:hRule="atLeast"/>
                <w:jc w:val="center"/>
              </w:trPr>
              <w:tc>
                <w:tcPr>
                  <w:tcW w:w="218" w:type="pct"/>
                  <w:noWrap w:val="0"/>
                  <w:vAlign w:val="center"/>
                </w:tcPr>
                <w:p>
                  <w:pPr>
                    <w:pStyle w:val="34"/>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w:t>
                  </w:r>
                </w:p>
              </w:tc>
              <w:tc>
                <w:tcPr>
                  <w:tcW w:w="492" w:type="pct"/>
                  <w:noWrap w:val="0"/>
                  <w:vAlign w:val="center"/>
                </w:tcPr>
                <w:p>
                  <w:pPr>
                    <w:pStyle w:val="34"/>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废矿物油</w:t>
                  </w:r>
                </w:p>
              </w:tc>
              <w:tc>
                <w:tcPr>
                  <w:tcW w:w="719" w:type="pct"/>
                  <w:noWrap w:val="0"/>
                  <w:vAlign w:val="center"/>
                </w:tcPr>
                <w:p>
                  <w:pPr>
                    <w:pStyle w:val="34"/>
                    <w:ind w:firstLine="0" w:firstLine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rPr>
                    <w:t>HW</w:t>
                  </w:r>
                  <w:r>
                    <w:rPr>
                      <w:rFonts w:hint="default" w:ascii="Times New Roman" w:hAnsi="Times New Roman" w:cs="Times New Roman"/>
                      <w:color w:val="FF0000"/>
                      <w:sz w:val="21"/>
                      <w:szCs w:val="21"/>
                      <w:lang w:val="en-US" w:eastAsia="zh-CN"/>
                    </w:rPr>
                    <w:t>08</w:t>
                  </w:r>
                </w:p>
              </w:tc>
              <w:tc>
                <w:tcPr>
                  <w:tcW w:w="596" w:type="pct"/>
                  <w:noWrap w:val="0"/>
                  <w:vAlign w:val="center"/>
                </w:tcPr>
                <w:p>
                  <w:pPr>
                    <w:pStyle w:val="34"/>
                    <w:ind w:firstLine="0" w:firstLineChars="0"/>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900-214-08</w:t>
                  </w:r>
                </w:p>
              </w:tc>
              <w:tc>
                <w:tcPr>
                  <w:tcW w:w="377" w:type="pct"/>
                  <w:noWrap w:val="0"/>
                  <w:vAlign w:val="center"/>
                </w:tcPr>
                <w:p>
                  <w:pPr>
                    <w:pStyle w:val="34"/>
                    <w:ind w:firstLine="0" w:firstLine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0.5</w:t>
                  </w:r>
                </w:p>
              </w:tc>
              <w:tc>
                <w:tcPr>
                  <w:tcW w:w="533" w:type="pct"/>
                  <w:noWrap w:val="0"/>
                  <w:vAlign w:val="center"/>
                </w:tcPr>
                <w:p>
                  <w:pPr>
                    <w:pStyle w:val="34"/>
                    <w:ind w:firstLine="0" w:firstLine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0.5</w:t>
                  </w:r>
                </w:p>
              </w:tc>
              <w:tc>
                <w:tcPr>
                  <w:tcW w:w="533" w:type="pct"/>
                  <w:noWrap w:val="0"/>
                  <w:vAlign w:val="center"/>
                </w:tcPr>
                <w:p>
                  <w:pPr>
                    <w:pStyle w:val="34"/>
                    <w:ind w:firstLine="0" w:firstLine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设备维护</w:t>
                  </w:r>
                </w:p>
              </w:tc>
              <w:tc>
                <w:tcPr>
                  <w:tcW w:w="331" w:type="pct"/>
                  <w:noWrap w:val="0"/>
                  <w:vAlign w:val="center"/>
                </w:tcPr>
                <w:p>
                  <w:pPr>
                    <w:ind w:firstLine="0" w:firstLineChars="0"/>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液</w:t>
                  </w:r>
                </w:p>
              </w:tc>
              <w:tc>
                <w:tcPr>
                  <w:tcW w:w="342" w:type="pct"/>
                  <w:noWrap w:val="0"/>
                  <w:vAlign w:val="center"/>
                </w:tcPr>
                <w:p>
                  <w:pPr>
                    <w:pStyle w:val="34"/>
                    <w:ind w:firstLine="0" w:firstLineChars="0"/>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废矿物油</w:t>
                  </w:r>
                </w:p>
              </w:tc>
              <w:tc>
                <w:tcPr>
                  <w:tcW w:w="411" w:type="pct"/>
                  <w:noWrap w:val="0"/>
                  <w:vAlign w:val="center"/>
                </w:tcPr>
                <w:p>
                  <w:pPr>
                    <w:pStyle w:val="34"/>
                    <w:ind w:firstLine="0" w:firstLine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T/I</w:t>
                  </w:r>
                </w:p>
              </w:tc>
              <w:tc>
                <w:tcPr>
                  <w:tcW w:w="441" w:type="pct"/>
                  <w:vMerge w:val="continue"/>
                  <w:noWrap w:val="0"/>
                  <w:vAlign w:val="center"/>
                </w:tcPr>
                <w:p>
                  <w:pPr>
                    <w:pStyle w:val="34"/>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84" w:hRule="atLeast"/>
                <w:jc w:val="center"/>
              </w:trPr>
              <w:tc>
                <w:tcPr>
                  <w:tcW w:w="218" w:type="pct"/>
                  <w:noWrap w:val="0"/>
                  <w:vAlign w:val="center"/>
                </w:tcPr>
                <w:p>
                  <w:pPr>
                    <w:pStyle w:val="34"/>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w:t>
                  </w:r>
                </w:p>
              </w:tc>
              <w:tc>
                <w:tcPr>
                  <w:tcW w:w="492" w:type="pct"/>
                  <w:noWrap w:val="0"/>
                  <w:vAlign w:val="center"/>
                </w:tcPr>
                <w:p>
                  <w:pPr>
                    <w:pStyle w:val="34"/>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含油抹布</w:t>
                  </w:r>
                </w:p>
              </w:tc>
              <w:tc>
                <w:tcPr>
                  <w:tcW w:w="719" w:type="pct"/>
                  <w:noWrap w:val="0"/>
                  <w:vAlign w:val="center"/>
                </w:tcPr>
                <w:p>
                  <w:pPr>
                    <w:pStyle w:val="34"/>
                    <w:ind w:firstLine="0" w:firstLineChars="0"/>
                    <w:jc w:val="center"/>
                    <w:rPr>
                      <w:rFonts w:hint="default" w:ascii="Times New Roman" w:hAnsi="Times New Roman" w:cs="Times New Roman"/>
                      <w:color w:val="FF0000"/>
                      <w:sz w:val="21"/>
                      <w:szCs w:val="21"/>
                    </w:rPr>
                  </w:pPr>
                  <w:r>
                    <w:rPr>
                      <w:rFonts w:hint="default" w:ascii="Times New Roman" w:hAnsi="Times New Roman" w:cs="Times New Roman"/>
                      <w:color w:val="FF0000"/>
                      <w:lang w:val="en-US" w:eastAsia="zh-CN"/>
                    </w:rPr>
                    <w:t>HW49</w:t>
                  </w:r>
                </w:p>
              </w:tc>
              <w:tc>
                <w:tcPr>
                  <w:tcW w:w="596" w:type="pct"/>
                  <w:noWrap w:val="0"/>
                  <w:vAlign w:val="center"/>
                </w:tcPr>
                <w:p>
                  <w:pPr>
                    <w:pStyle w:val="34"/>
                    <w:ind w:firstLine="0" w:firstLineChars="0"/>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lang w:val="en-US" w:eastAsia="zh-CN"/>
                    </w:rPr>
                    <w:t>900-041-49</w:t>
                  </w:r>
                </w:p>
              </w:tc>
              <w:tc>
                <w:tcPr>
                  <w:tcW w:w="377" w:type="pct"/>
                  <w:noWrap w:val="0"/>
                  <w:vAlign w:val="center"/>
                </w:tcPr>
                <w:p>
                  <w:pPr>
                    <w:pStyle w:val="34"/>
                    <w:ind w:firstLine="0" w:firstLine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0.05</w:t>
                  </w:r>
                </w:p>
              </w:tc>
              <w:tc>
                <w:tcPr>
                  <w:tcW w:w="533" w:type="pct"/>
                  <w:noWrap w:val="0"/>
                  <w:vAlign w:val="center"/>
                </w:tcPr>
                <w:p>
                  <w:pPr>
                    <w:pStyle w:val="34"/>
                    <w:ind w:firstLine="0" w:firstLine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0.05</w:t>
                  </w:r>
                </w:p>
              </w:tc>
              <w:tc>
                <w:tcPr>
                  <w:tcW w:w="533" w:type="pct"/>
                  <w:noWrap w:val="0"/>
                  <w:vAlign w:val="center"/>
                </w:tcPr>
                <w:p>
                  <w:pPr>
                    <w:pStyle w:val="34"/>
                    <w:ind w:firstLine="0" w:firstLine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设备维护</w:t>
                  </w:r>
                </w:p>
              </w:tc>
              <w:tc>
                <w:tcPr>
                  <w:tcW w:w="331" w:type="pct"/>
                  <w:noWrap w:val="0"/>
                  <w:vAlign w:val="center"/>
                </w:tcPr>
                <w:p>
                  <w:pPr>
                    <w:ind w:firstLine="0" w:firstLineChars="0"/>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固</w:t>
                  </w:r>
                </w:p>
              </w:tc>
              <w:tc>
                <w:tcPr>
                  <w:tcW w:w="342" w:type="pct"/>
                  <w:noWrap w:val="0"/>
                  <w:vAlign w:val="center"/>
                </w:tcPr>
                <w:p>
                  <w:pPr>
                    <w:pStyle w:val="34"/>
                    <w:ind w:firstLine="0" w:firstLineChars="0"/>
                    <w:jc w:val="center"/>
                    <w:rPr>
                      <w:rFonts w:hint="default" w:ascii="Times New Roman" w:hAnsi="Times New Roman" w:cs="Times New Roman"/>
                      <w:color w:val="FF0000"/>
                      <w:sz w:val="21"/>
                      <w:szCs w:val="21"/>
                      <w:lang w:val="en-US" w:eastAsia="zh-CN"/>
                    </w:rPr>
                  </w:pPr>
                  <w:r>
                    <w:rPr>
                      <w:rFonts w:hint="default" w:ascii="Times New Roman" w:hAnsi="Times New Roman" w:cs="Times New Roman"/>
                      <w:color w:val="FF0000"/>
                      <w:sz w:val="21"/>
                      <w:szCs w:val="21"/>
                      <w:lang w:val="en-US" w:eastAsia="zh-CN"/>
                    </w:rPr>
                    <w:t>废矿物油</w:t>
                  </w:r>
                </w:p>
              </w:tc>
              <w:tc>
                <w:tcPr>
                  <w:tcW w:w="411" w:type="pct"/>
                  <w:noWrap w:val="0"/>
                  <w:vAlign w:val="center"/>
                </w:tcPr>
                <w:p>
                  <w:pPr>
                    <w:pStyle w:val="34"/>
                    <w:ind w:firstLine="0" w:firstLine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T/I</w:t>
                  </w:r>
                </w:p>
              </w:tc>
              <w:tc>
                <w:tcPr>
                  <w:tcW w:w="441" w:type="pct"/>
                  <w:vMerge w:val="continue"/>
                  <w:noWrap w:val="0"/>
                  <w:vAlign w:val="center"/>
                </w:tcPr>
                <w:p>
                  <w:pPr>
                    <w:pStyle w:val="34"/>
                    <w:jc w:val="center"/>
                    <w:rPr>
                      <w:rFonts w:hint="default" w:ascii="Times New Roman" w:hAnsi="Times New Roman" w:cs="Times New Roman"/>
                      <w:sz w:val="21"/>
                      <w:szCs w:val="21"/>
                    </w:rPr>
                  </w:pPr>
                </w:p>
              </w:tc>
            </w:tr>
          </w:tbl>
          <w:p>
            <w:pPr>
              <w:bidi w:val="0"/>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4.9.2</w:t>
            </w:r>
            <w:r>
              <w:rPr>
                <w:rFonts w:hint="default" w:ascii="Times New Roman" w:hAnsi="Times New Roman" w:eastAsia="黑体" w:cs="Times New Roman"/>
                <w:lang w:val="en-US" w:eastAsia="zh-CN"/>
              </w:rPr>
              <w:t>环境管理要求</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本项目固体废物主要有生活垃圾、废包装、粉尘、不合格产品、沉淀渣、废油墨盒、废矿物油等。根据固体废物性质及成份的不同，采取相应的处理及处置措施，尽量实现固体废物的资源化、减量化和无害化。</w:t>
            </w:r>
          </w:p>
          <w:p>
            <w:pPr>
              <w:numPr>
                <w:ilvl w:val="0"/>
                <w:numId w:val="10"/>
              </w:numPr>
              <w:bidi w:val="0"/>
              <w:ind w:left="0" w:leftChars="0" w:firstLine="480" w:firstLineChars="200"/>
              <w:rPr>
                <w:rFonts w:hint="default" w:ascii="Times New Roman" w:hAnsi="Times New Roman" w:cs="Times New Roman"/>
                <w:lang w:val="en-US" w:eastAsia="zh-CN"/>
              </w:rPr>
            </w:pPr>
            <w:r>
              <w:rPr>
                <w:rFonts w:hint="default" w:ascii="Times New Roman" w:hAnsi="Times New Roman" w:cs="Times New Roman"/>
                <w:lang w:val="en-US" w:eastAsia="zh-CN"/>
              </w:rPr>
              <w:t>生活垃圾</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本项目在厂区设置大型垃圾桶，收集生活垃圾，交由环卫部门处理。</w:t>
            </w:r>
          </w:p>
          <w:p>
            <w:pPr>
              <w:numPr>
                <w:ilvl w:val="0"/>
                <w:numId w:val="10"/>
              </w:numPr>
              <w:bidi w:val="0"/>
              <w:ind w:left="0" w:leftChars="0" w:firstLine="480" w:firstLineChars="200"/>
              <w:rPr>
                <w:rFonts w:hint="default" w:ascii="Times New Roman" w:hAnsi="Times New Roman" w:cs="Times New Roman"/>
                <w:lang w:val="en-US" w:eastAsia="zh-CN"/>
              </w:rPr>
            </w:pPr>
            <w:r>
              <w:rPr>
                <w:rFonts w:hint="default" w:ascii="Times New Roman" w:hAnsi="Times New Roman" w:cs="Times New Roman"/>
                <w:lang w:val="en-US" w:eastAsia="zh-CN"/>
              </w:rPr>
              <w:t>一般工业固废</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本项目产生的废包装存放在一般工业固废暂存间，进行综合利用，粉尘、不合格产品以及沉淀池渣返回生产线回用</w:t>
            </w:r>
            <w:r>
              <w:rPr>
                <w:rFonts w:hint="default" w:ascii="Times New Roman" w:hAnsi="Times New Roman" w:cs="Times New Roman"/>
                <w:highlight w:val="none"/>
                <w:lang w:val="en-US" w:eastAsia="zh-CN"/>
              </w:rPr>
              <w:t>。</w:t>
            </w:r>
            <w:r>
              <w:rPr>
                <w:rFonts w:hint="default" w:ascii="Times New Roman" w:hAnsi="Times New Roman" w:cs="Times New Roman"/>
                <w:lang w:val="en-US" w:eastAsia="zh-CN"/>
              </w:rPr>
              <w:t>一般工业固体废物贮存严格执行《一般工业固体废物贮存和填埋污染控制标准》（GB 18599-2020）防渗漏、防雨淋、防扬尘等环境保护要求。</w:t>
            </w:r>
          </w:p>
          <w:p>
            <w:pPr>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（3）危险废物</w:t>
            </w:r>
          </w:p>
          <w:p>
            <w:pPr>
              <w:rPr>
                <w:rFonts w:hint="default" w:ascii="Times New Roman" w:hAnsi="Times New Roman" w:cs="Times New Roman"/>
                <w:lang w:val="en-US" w:eastAsia="zh-CN"/>
              </w:rPr>
            </w:pPr>
            <w:r>
              <w:rPr>
                <w:rFonts w:hint="default" w:ascii="Times New Roman" w:hAnsi="Times New Roman" w:cs="Times New Roman"/>
                <w:color w:val="FF0000"/>
                <w:lang w:val="en-US" w:eastAsia="zh-CN"/>
              </w:rPr>
              <w:t>在辅助用房2设置危险废物暂存间，建设面积20m</w:t>
            </w:r>
            <w:r>
              <w:rPr>
                <w:rFonts w:hint="default" w:ascii="Times New Roman" w:hAnsi="Times New Roman" w:cs="Times New Roman"/>
                <w:color w:val="FF0000"/>
                <w:vertAlign w:val="superscript"/>
                <w:lang w:val="en-US" w:eastAsia="zh-CN"/>
              </w:rPr>
              <w:t>2</w:t>
            </w:r>
            <w:r>
              <w:rPr>
                <w:rFonts w:hint="default" w:ascii="Times New Roman" w:hAnsi="Times New Roman" w:cs="Times New Roman"/>
                <w:color w:val="FF0000"/>
                <w:vertAlign w:val="baseline"/>
                <w:lang w:val="en-US" w:eastAsia="zh-CN"/>
              </w:rPr>
              <w:t>。</w:t>
            </w:r>
            <w:r>
              <w:rPr>
                <w:rFonts w:hint="default" w:ascii="Times New Roman" w:hAnsi="Times New Roman" w:cs="Times New Roman"/>
                <w:color w:val="FF0000"/>
                <w:lang w:val="en-US" w:eastAsia="zh-CN"/>
              </w:rPr>
              <w:t>《危险废物贮存污染控制标准》（GB18597-2001）相关要求及其2013修改单等中的相关要求，具体如下。</w:t>
            </w:r>
          </w:p>
          <w:p>
            <w:pPr>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fldChar w:fldCharType="begin"/>
            </w:r>
            <w:r>
              <w:rPr>
                <w:rFonts w:hint="default" w:ascii="Times New Roman" w:hAnsi="Times New Roman" w:cs="Times New Roman"/>
                <w:color w:val="FF0000"/>
                <w:lang w:val="en-US" w:eastAsia="zh-CN"/>
              </w:rPr>
              <w:instrText xml:space="preserve"> = 1 \* GB3 </w:instrText>
            </w:r>
            <w:r>
              <w:rPr>
                <w:rFonts w:hint="default" w:ascii="Times New Roman" w:hAnsi="Times New Roman" w:cs="Times New Roman"/>
                <w:color w:val="FF0000"/>
                <w:lang w:val="en-US" w:eastAsia="zh-CN"/>
              </w:rPr>
              <w:fldChar w:fldCharType="separate"/>
            </w:r>
            <w:r>
              <w:rPr>
                <w:rFonts w:hint="default" w:ascii="Times New Roman" w:hAnsi="Times New Roman" w:cs="Times New Roman"/>
                <w:color w:val="FF0000"/>
                <w:lang w:val="en-US" w:eastAsia="zh-CN"/>
              </w:rPr>
              <w:t>①</w:t>
            </w:r>
            <w:r>
              <w:rPr>
                <w:rFonts w:hint="default" w:ascii="Times New Roman" w:hAnsi="Times New Roman" w:cs="Times New Roman"/>
                <w:color w:val="FF0000"/>
                <w:lang w:val="en-US" w:eastAsia="zh-CN"/>
              </w:rPr>
              <w:fldChar w:fldCharType="end"/>
            </w:r>
            <w:r>
              <w:rPr>
                <w:rFonts w:hint="default" w:ascii="Times New Roman" w:hAnsi="Times New Roman" w:cs="Times New Roman"/>
                <w:color w:val="FF0000"/>
                <w:lang w:val="en-US" w:eastAsia="zh-CN"/>
              </w:rPr>
              <w:t>必须与生活垃圾和一般固废存放地分开，有防雨淋的装置，地基高度应确保设施内不受雨洪冲击或浸泡；</w:t>
            </w:r>
          </w:p>
          <w:p>
            <w:pP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②含油抹布经收集后，存放于危险废物暂存间内，标记并由有资质的单位回收。</w:t>
            </w:r>
          </w:p>
          <w:p>
            <w:pP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③新建的危险废物暂存间，用于储存废油墨盒、含油抹布、废机油等，定期交由有资质单位处置；严禁乱丢、乱放，严禁混入生活垃圾、一般固废中；</w:t>
            </w:r>
          </w:p>
          <w:p>
            <w:pP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④按照危险废物种类分区存放，加贴标签，标明种类、数量及存放日期等，各贮存区应有间隔，注意防火、防雨；</w:t>
            </w:r>
          </w:p>
          <w:p>
            <w:pP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⑤危险废物暂存库区域地面必须进行防渗漏处理，避免污染土壤及地下水；</w:t>
            </w:r>
          </w:p>
          <w:p>
            <w:pP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⑥贮存容器应选用可加盖密封，不易碎、不易漏材质；</w:t>
            </w:r>
          </w:p>
          <w:p>
            <w:pP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⑦建立危险废物管理台账；</w:t>
            </w:r>
          </w:p>
          <w:p>
            <w:pP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⑧与危险废物处置单位签订危险废物处置协议，并报当地环保部门备案；</w:t>
            </w:r>
          </w:p>
          <w:p>
            <w:pP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⑨危险废物暂存量不应过大，定期交有资质单位处置。</w:t>
            </w:r>
          </w:p>
          <w:p>
            <w:pPr>
              <w:bidi w:val="0"/>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 xml:space="preserve">4.10 </w:t>
            </w:r>
            <w:r>
              <w:rPr>
                <w:rFonts w:hint="default" w:ascii="Times New Roman" w:hAnsi="Times New Roman" w:eastAsia="黑体" w:cs="Times New Roman"/>
                <w:lang w:val="en-US" w:eastAsia="zh-CN"/>
              </w:rPr>
              <w:t>环境风险</w:t>
            </w:r>
          </w:p>
          <w:p>
            <w:pPr>
              <w:bidi w:val="0"/>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4.10.1</w:t>
            </w:r>
            <w:r>
              <w:rPr>
                <w:rFonts w:hint="default" w:ascii="Times New Roman" w:hAnsi="Times New Roman" w:eastAsia="黑体" w:cs="Times New Roman"/>
                <w:lang w:val="en-US" w:eastAsia="zh-CN"/>
              </w:rPr>
              <w:t>风险源调查</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本项目涉及有毒有害和易燃易爆等危险物质和风险源分布情况详见下表。</w:t>
            </w:r>
          </w:p>
          <w:p>
            <w:pPr>
              <w:bidi w:val="0"/>
              <w:ind w:left="0" w:leftChars="0" w:firstLine="0" w:firstLineChars="0"/>
              <w:jc w:val="center"/>
              <w:rPr>
                <w:rFonts w:hint="default" w:ascii="Times New Roman" w:hAnsi="Times New Roman" w:cs="Times New Roman"/>
                <w:lang w:val="en-US" w:eastAsia="zh-CN"/>
              </w:rPr>
            </w:pPr>
            <w:r>
              <w:rPr>
                <w:rFonts w:hint="default" w:ascii="Times New Roman" w:hAnsi="Times New Roman" w:cs="Times New Roman"/>
                <w:lang w:val="en-US" w:eastAsia="zh-CN"/>
              </w:rPr>
              <w:t>表4-27</w:t>
            </w:r>
            <w:r>
              <w:rPr>
                <w:rFonts w:hint="default" w:ascii="Times New Roman" w:hAnsi="Times New Roman" w:cs="Times New Roman"/>
                <w:highlight w:val="none"/>
                <w:lang w:val="en-US" w:eastAsia="zh-CN"/>
              </w:rPr>
              <w:t xml:space="preserve"> 危险物质和风险源分布情况一览表</w:t>
            </w:r>
          </w:p>
          <w:tbl>
            <w:tblPr>
              <w:tblStyle w:val="21"/>
              <w:tblW w:w="8378" w:type="dxa"/>
              <w:tblInd w:w="-1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884"/>
              <w:gridCol w:w="1214"/>
              <w:gridCol w:w="2030"/>
              <w:gridCol w:w="1571"/>
              <w:gridCol w:w="1181"/>
              <w:gridCol w:w="14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23" w:hRule="atLeast"/>
              </w:trPr>
              <w:tc>
                <w:tcPr>
                  <w:tcW w:w="884"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序号</w:t>
                  </w:r>
                </w:p>
              </w:tc>
              <w:tc>
                <w:tcPr>
                  <w:tcW w:w="1214"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危险物质</w:t>
                  </w:r>
                </w:p>
              </w:tc>
              <w:tc>
                <w:tcPr>
                  <w:tcW w:w="2030"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分布情况</w:t>
                  </w:r>
                </w:p>
              </w:tc>
              <w:tc>
                <w:tcPr>
                  <w:tcW w:w="1571"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最大存在量/t</w:t>
                  </w:r>
                </w:p>
              </w:tc>
              <w:tc>
                <w:tcPr>
                  <w:tcW w:w="1181"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临界量/t</w:t>
                  </w:r>
                </w:p>
              </w:tc>
              <w:tc>
                <w:tcPr>
                  <w:tcW w:w="1498"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Q值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84"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1</w:t>
                  </w:r>
                </w:p>
              </w:tc>
              <w:tc>
                <w:tcPr>
                  <w:tcW w:w="1214"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液压油</w:t>
                  </w:r>
                </w:p>
              </w:tc>
              <w:tc>
                <w:tcPr>
                  <w:tcW w:w="2030"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仓库</w:t>
                  </w:r>
                </w:p>
              </w:tc>
              <w:tc>
                <w:tcPr>
                  <w:tcW w:w="1571"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0.2</w:t>
                  </w:r>
                </w:p>
              </w:tc>
              <w:tc>
                <w:tcPr>
                  <w:tcW w:w="1181"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2500</w:t>
                  </w:r>
                </w:p>
              </w:tc>
              <w:tc>
                <w:tcPr>
                  <w:tcW w:w="1498"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0.00008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84"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2</w:t>
                  </w:r>
                </w:p>
              </w:tc>
              <w:tc>
                <w:tcPr>
                  <w:tcW w:w="1214"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设备机油</w:t>
                  </w:r>
                </w:p>
              </w:tc>
              <w:tc>
                <w:tcPr>
                  <w:tcW w:w="2030"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仓库</w:t>
                  </w:r>
                </w:p>
              </w:tc>
              <w:tc>
                <w:tcPr>
                  <w:tcW w:w="1571"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0.3</w:t>
                  </w:r>
                </w:p>
              </w:tc>
              <w:tc>
                <w:tcPr>
                  <w:tcW w:w="1181"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2500</w:t>
                  </w:r>
                </w:p>
              </w:tc>
              <w:tc>
                <w:tcPr>
                  <w:tcW w:w="1498"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0.00012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884"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3</w:t>
                  </w:r>
                </w:p>
              </w:tc>
              <w:tc>
                <w:tcPr>
                  <w:tcW w:w="1214"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柴油</w:t>
                  </w:r>
                </w:p>
              </w:tc>
              <w:tc>
                <w:tcPr>
                  <w:tcW w:w="2030"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发电机房</w:t>
                  </w:r>
                </w:p>
              </w:tc>
              <w:tc>
                <w:tcPr>
                  <w:tcW w:w="1571"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0.1</w:t>
                  </w:r>
                </w:p>
              </w:tc>
              <w:tc>
                <w:tcPr>
                  <w:tcW w:w="1181"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2500</w:t>
                  </w:r>
                </w:p>
              </w:tc>
              <w:tc>
                <w:tcPr>
                  <w:tcW w:w="1498"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0.00004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84"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4</w:t>
                  </w:r>
                </w:p>
              </w:tc>
              <w:tc>
                <w:tcPr>
                  <w:tcW w:w="1214"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水性油墨</w:t>
                  </w:r>
                </w:p>
              </w:tc>
              <w:tc>
                <w:tcPr>
                  <w:tcW w:w="2030"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仓库</w:t>
                  </w:r>
                </w:p>
              </w:tc>
              <w:tc>
                <w:tcPr>
                  <w:tcW w:w="1571"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0.01</w:t>
                  </w:r>
                </w:p>
              </w:tc>
              <w:tc>
                <w:tcPr>
                  <w:tcW w:w="1181"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2500</w:t>
                  </w:r>
                </w:p>
              </w:tc>
              <w:tc>
                <w:tcPr>
                  <w:tcW w:w="1498"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0.000004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84"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5</w:t>
                  </w:r>
                </w:p>
              </w:tc>
              <w:tc>
                <w:tcPr>
                  <w:tcW w:w="1214"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危险废物</w:t>
                  </w:r>
                </w:p>
              </w:tc>
              <w:tc>
                <w:tcPr>
                  <w:tcW w:w="2030"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危险废物暂存间</w:t>
                  </w:r>
                </w:p>
              </w:tc>
              <w:tc>
                <w:tcPr>
                  <w:tcW w:w="1571"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0.51</w:t>
                  </w:r>
                </w:p>
              </w:tc>
              <w:tc>
                <w:tcPr>
                  <w:tcW w:w="1181"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10</w:t>
                  </w:r>
                </w:p>
              </w:tc>
              <w:tc>
                <w:tcPr>
                  <w:tcW w:w="1498" w:type="dxa"/>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0.051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84" w:type="dxa"/>
                  <w:shd w:val="clear" w:color="auto" w:fill="auto"/>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6</w:t>
                  </w:r>
                </w:p>
              </w:tc>
              <w:tc>
                <w:tcPr>
                  <w:tcW w:w="1214" w:type="dxa"/>
                  <w:shd w:val="clear" w:color="auto" w:fill="auto"/>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天然气</w:t>
                  </w:r>
                </w:p>
              </w:tc>
              <w:tc>
                <w:tcPr>
                  <w:tcW w:w="2030" w:type="dxa"/>
                  <w:shd w:val="clear" w:color="auto" w:fill="auto"/>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管道在线量</w:t>
                  </w:r>
                </w:p>
              </w:tc>
              <w:tc>
                <w:tcPr>
                  <w:tcW w:w="1571" w:type="dxa"/>
                  <w:shd w:val="clear" w:color="auto" w:fill="auto"/>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0.4</w:t>
                  </w:r>
                </w:p>
              </w:tc>
              <w:tc>
                <w:tcPr>
                  <w:tcW w:w="1181" w:type="dxa"/>
                  <w:shd w:val="clear" w:color="auto" w:fill="auto"/>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10</w:t>
                  </w:r>
                </w:p>
              </w:tc>
              <w:tc>
                <w:tcPr>
                  <w:tcW w:w="1498" w:type="dxa"/>
                  <w:shd w:val="clear" w:color="auto" w:fill="auto"/>
                  <w:vAlign w:val="center"/>
                </w:tcPr>
                <w:p>
                  <w:pPr>
                    <w:pStyle w:val="31"/>
                    <w:bidi w:val="0"/>
                    <w:rPr>
                      <w:rFonts w:hint="default" w:ascii="Times New Roman" w:hAnsi="Times New Roman" w:cs="Times New Roman"/>
                      <w:lang w:val="en-US" w:eastAsia="zh-CN"/>
                    </w:rPr>
                  </w:pPr>
                  <w:r>
                    <w:rPr>
                      <w:rFonts w:hint="default" w:ascii="Times New Roman" w:hAnsi="Times New Roman" w:cs="Times New Roman"/>
                      <w:lang w:val="en-US" w:eastAsia="zh-CN"/>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3" w:hRule="atLeast"/>
              </w:trPr>
              <w:tc>
                <w:tcPr>
                  <w:tcW w:w="6880" w:type="dxa"/>
                  <w:gridSpan w:val="5"/>
                  <w:shd w:val="clear" w:color="auto" w:fill="auto"/>
                  <w:vAlign w:val="center"/>
                </w:tcPr>
                <w:p>
                  <w:pPr>
                    <w:pStyle w:val="31"/>
                    <w:bidi w:val="0"/>
                    <w:rPr>
                      <w:rFonts w:hint="default" w:ascii="Times New Roman" w:hAnsi="Times New Roman" w:cs="Times New Roman"/>
                    </w:rPr>
                  </w:pPr>
                  <w:r>
                    <w:rPr>
                      <w:rFonts w:hint="default" w:ascii="Times New Roman" w:hAnsi="Times New Roman" w:cs="Times New Roman"/>
                      <w:lang w:val="en-US" w:eastAsia="zh-CN"/>
                    </w:rPr>
                    <w:t>项目Q值合计</w:t>
                  </w:r>
                </w:p>
              </w:tc>
              <w:tc>
                <w:tcPr>
                  <w:tcW w:w="1498" w:type="dxa"/>
                  <w:shd w:val="clear" w:color="auto" w:fill="auto"/>
                  <w:vAlign w:val="center"/>
                </w:tcPr>
                <w:p>
                  <w:pPr>
                    <w:pStyle w:val="31"/>
                    <w:bidi w:val="0"/>
                    <w:rPr>
                      <w:rFonts w:hint="default" w:ascii="Times New Roman" w:hAnsi="Times New Roman" w:cs="Times New Roman"/>
                      <w:lang w:val="en-US"/>
                    </w:rPr>
                  </w:pPr>
                  <w:r>
                    <w:rPr>
                      <w:rFonts w:hint="default" w:ascii="Times New Roman" w:hAnsi="Times New Roman" w:cs="Times New Roman"/>
                      <w:lang w:val="en-US" w:eastAsia="zh-CN"/>
                    </w:rPr>
                    <w:t>0.091</w:t>
                  </w:r>
                </w:p>
              </w:tc>
            </w:tr>
          </w:tbl>
          <w:p>
            <w:pPr>
              <w:bidi w:val="0"/>
              <w:rPr>
                <w:rFonts w:hint="default" w:ascii="Times New Roman" w:hAnsi="Times New Roman" w:cs="Times New Roman"/>
                <w:lang w:val="en-US" w:eastAsia="zh-CN"/>
              </w:rPr>
            </w:pPr>
            <w:r>
              <w:rPr>
                <w:rFonts w:hint="default" w:ascii="Times New Roman" w:hAnsi="Times New Roman" w:cs="Times New Roman"/>
                <w:lang w:val="en-US" w:eastAsia="zh-CN"/>
              </w:rPr>
              <w:t>由上表可知，Q值为0.091，属于Q＜1，因此可判定本项目环境风险潜势为Ⅰ，进行简单分析。</w:t>
            </w:r>
          </w:p>
          <w:p>
            <w:pPr>
              <w:bidi w:val="0"/>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4.10.2</w:t>
            </w:r>
            <w:r>
              <w:rPr>
                <w:rFonts w:hint="default" w:ascii="Times New Roman" w:hAnsi="Times New Roman" w:eastAsia="黑体" w:cs="Times New Roman"/>
                <w:lang w:val="en-US" w:eastAsia="zh-CN"/>
              </w:rPr>
              <w:t>环境影响途径及环境风险防范措施</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（1）原辅料泄漏分析</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液压油、设备机油、柴油等最大包装规格为200~300kg/桶，储存于原料仓库，本次环评要求原料仓库地面进行硬化处理，设置单独的仓库。如发生包装桶破裂，导致泄漏，则泄漏在车间内，不会泄漏至外环境，通过抹布或容器转移等方式收集处理即可，水性油墨最大暂存量为10kg，全部桶装，泄漏对周边环境影响较小，在可控制的范围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（2）天然气泄漏</w:t>
            </w:r>
          </w:p>
          <w:p>
            <w:pPr>
              <w:pStyle w:val="2"/>
              <w:numPr>
                <w:ilvl w:val="0"/>
                <w:numId w:val="0"/>
              </w:numPr>
              <w:ind w:firstLine="480" w:firstLineChars="200"/>
              <w:rPr>
                <w:rFonts w:hint="default" w:ascii="Times New Roman" w:hAnsi="Times New Roman" w:cs="Times New Roman"/>
                <w:lang w:val="en-US" w:eastAsia="zh-CN"/>
              </w:rPr>
            </w:pPr>
            <w:r>
              <w:rPr>
                <w:rFonts w:hint="default" w:ascii="Times New Roman" w:hAnsi="Times New Roman" w:cs="Times New Roman"/>
                <w:lang w:val="en-US" w:eastAsia="zh-CN"/>
              </w:rPr>
              <w:t>本项目采用天然气作为能源，天然气管道发生破碎或者阀门损坏时，可能发生天然气泄漏和火灾爆炸引起的次生污染事件。本项目设置有天然气总阀门和气柜，若发生泄漏的情况下，能跟及时发现，关闭总阀的情况下，对环境影响较小。</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（3）危废泄漏分析</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废矿物油属于危险废物，暂存于危废暂存处。单个矿物油包装桶最大容量为200kg，设置托盘或者收集池，发生泄漏的情况下可收集在设置的托盘或收集池，且要求地面做好硬化处理。因此，危废泄漏对周边环境影响较小，在可控制的范围内。</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（4）火灾引发的次生污染分析</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可燃物主要为水性油墨、矿物油等，若遇明火发生火灾。火灾释放尘及CO，灭火时产生消防废水，消防废水可能沿雨水沟进入外界水体造成外环境污染。本项目储量较少，单独存放的情况下，发生火灾的可能性较小，若发生火灾，可燃物料也较少，不会对外界环境造成较大污染。</w:t>
            </w:r>
          </w:p>
          <w:p>
            <w:pPr>
              <w:bidi w:val="0"/>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4.10.3</w:t>
            </w:r>
            <w:r>
              <w:rPr>
                <w:rFonts w:hint="default" w:ascii="Times New Roman" w:hAnsi="Times New Roman" w:eastAsia="黑体" w:cs="Times New Roman"/>
                <w:lang w:val="en-US" w:eastAsia="zh-CN"/>
              </w:rPr>
              <w:t>环境风险防范措施</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（1）环境风险防范</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通过风险源辨识分析可知，本项目环境风险物质为矿物油、天然气、危险废物和水性油墨等。本项目最大可信事故为机油、柴油等液体物料及危险废物的泄漏以及火灾引发的次生污染。具体防范措施如下：</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①</w:t>
            </w:r>
            <w:r>
              <w:rPr>
                <w:rFonts w:hint="default" w:ascii="Times New Roman" w:hAnsi="Times New Roman" w:eastAsia="宋体" w:cs="Times New Roman"/>
                <w:color w:val="000000"/>
                <w:kern w:val="0"/>
                <w:sz w:val="24"/>
                <w:szCs w:val="24"/>
                <w:lang w:val="en-US" w:eastAsia="zh-CN" w:bidi="ar"/>
              </w:rPr>
              <w:t>安装在危险区内的电气设备和设施采用防爆型，所有电气设备需有可靠接地。生产车间禁止明烟明火，认真严格落实相关安全生产措施及消防措施。</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②原料仓库、危险废物暂存间地面硬化防渗、设置托盘或其他防泄漏措施。</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③原料仓库、危险废物暂存间、应由专人管理，严禁无关人员进入。</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④原料仓库、危险废物暂存间应远离火源、热源，保持容器密封，保持阴凉干燥，设有通风设施。</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（3）应急物资配备：厂区应配备干粉灭火器、消防砂、消防铲及其他相关应急物资。</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（4）员工安全意识培训：企业应对所有员工进行安全培训，员工需掌握物料理化性质及其禁忌事项、安全防护、应急措施等，并通过考核后方可上岗。还应定期开展集体性安全培训，不断提高员工安全意识。</w:t>
            </w:r>
          </w:p>
          <w:p>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（5）加强危险废物暂存间管理，严格按照危险废物暂存要求落实。</w:t>
            </w:r>
          </w:p>
          <w:p>
            <w:pPr>
              <w:bidi w:val="0"/>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4.10.4</w:t>
            </w:r>
            <w:r>
              <w:rPr>
                <w:rFonts w:hint="default" w:ascii="Times New Roman" w:hAnsi="Times New Roman" w:eastAsia="黑体" w:cs="Times New Roman"/>
                <w:lang w:val="en-US" w:eastAsia="zh-CN"/>
              </w:rPr>
              <w:t>分析结论</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项目落实环评所提措施后，环境风险较小，在可控范围内。</w:t>
            </w:r>
          </w:p>
          <w:p>
            <w:pPr>
              <w:bidi w:val="0"/>
              <w:ind w:left="0" w:leftChars="0" w:firstLine="0" w:firstLineChars="0"/>
              <w:jc w:val="center"/>
              <w:rPr>
                <w:rFonts w:hint="default" w:ascii="Times New Roman" w:hAnsi="Times New Roman" w:cs="Times New Roman"/>
                <w:vertAlign w:val="baseline"/>
                <w:lang w:val="en-US" w:eastAsia="zh-CN"/>
              </w:rPr>
            </w:pPr>
            <w:r>
              <w:rPr>
                <w:rFonts w:hint="default" w:ascii="Times New Roman" w:hAnsi="Times New Roman" w:cs="Times New Roman"/>
                <w:lang w:val="en-US" w:eastAsia="zh-CN"/>
              </w:rPr>
              <w:t>表4-28 建设项目环境风险简单分析内容表</w:t>
            </w:r>
          </w:p>
          <w:tbl>
            <w:tblPr>
              <w:tblStyle w:val="22"/>
              <w:tblW w:w="8653"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81"/>
              <w:gridCol w:w="1166"/>
              <w:gridCol w:w="2221"/>
              <w:gridCol w:w="1117"/>
              <w:gridCol w:w="22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188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建设项目名称</w:t>
                  </w:r>
                </w:p>
              </w:tc>
              <w:tc>
                <w:tcPr>
                  <w:tcW w:w="6772" w:type="dxa"/>
                  <w:gridSpan w:val="4"/>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中联新材标杆(湘阴)工厂项目（年产65万吨机制砂、98万吨干粉砂浆）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trPr>
              <w:tc>
                <w:tcPr>
                  <w:tcW w:w="188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建设地点</w:t>
                  </w:r>
                </w:p>
              </w:tc>
              <w:tc>
                <w:tcPr>
                  <w:tcW w:w="116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湖南省</w:t>
                  </w:r>
                </w:p>
              </w:tc>
              <w:tc>
                <w:tcPr>
                  <w:tcW w:w="222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岳阳市</w:t>
                  </w:r>
                </w:p>
              </w:tc>
              <w:tc>
                <w:tcPr>
                  <w:tcW w:w="111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湘阴县</w:t>
                  </w:r>
                </w:p>
              </w:tc>
              <w:tc>
                <w:tcPr>
                  <w:tcW w:w="226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湘杨路以西、远大路及湘杨路交汇处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188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地理坐标</w:t>
                  </w:r>
                </w:p>
              </w:tc>
              <w:tc>
                <w:tcPr>
                  <w:tcW w:w="116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经度</w:t>
                  </w:r>
                </w:p>
              </w:tc>
              <w:tc>
                <w:tcPr>
                  <w:tcW w:w="222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112度52分9.391秒</w:t>
                  </w:r>
                </w:p>
              </w:tc>
              <w:tc>
                <w:tcPr>
                  <w:tcW w:w="1117"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纬度</w:t>
                  </w:r>
                </w:p>
              </w:tc>
              <w:tc>
                <w:tcPr>
                  <w:tcW w:w="226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28度41分52.703秒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主要危险物质及分布</w:t>
                  </w:r>
                </w:p>
              </w:tc>
              <w:tc>
                <w:tcPr>
                  <w:tcW w:w="6772" w:type="dxa"/>
                  <w:gridSpan w:val="4"/>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机油、液压油、天然气、发电机房（柴油）、危险废物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1" w:hRule="atLeast"/>
              </w:trPr>
              <w:tc>
                <w:tcPr>
                  <w:tcW w:w="188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环境影响途径及危害后果</w:t>
                  </w:r>
                </w:p>
              </w:tc>
              <w:tc>
                <w:tcPr>
                  <w:tcW w:w="6772" w:type="dxa"/>
                  <w:gridSpan w:val="4"/>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原材料和危废的运输、贮存过程中，如管理操作不当或发生意外事故。存在着泄漏、燃烧等环境风险事故。一旦发生此类事故，引起原料或危废的泄漏或火灾事故，将会对周围空气、土壤、地下水环境产生较大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trPr>
              <w:tc>
                <w:tcPr>
                  <w:tcW w:w="1881"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风险防范措施要求</w:t>
                  </w:r>
                </w:p>
              </w:tc>
              <w:tc>
                <w:tcPr>
                  <w:tcW w:w="6772" w:type="dxa"/>
                  <w:gridSpan w:val="4"/>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u w:val="none"/>
                      <w:lang w:val="en-US" w:eastAsia="zh-CN"/>
                    </w:rPr>
                    <w:t>加强员工管理，定期检修设备，提高风险防范措施，配备必要的环境应急物资</w:t>
                  </w:r>
                  <w:r>
                    <w:rPr>
                      <w:rFonts w:hint="default" w:ascii="Times New Roman" w:hAnsi="Times New Roman" w:cs="Times New Roman"/>
                      <w:sz w:val="21"/>
                      <w:szCs w:val="21"/>
                      <w:vertAlign w:val="baseline"/>
                      <w:lang w:val="en-US" w:eastAsia="zh-CN"/>
                    </w:rPr>
                    <w:t>。矿物油设置单独的仓库暂存，危险废物间按要求进行建设。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7" w:hRule="atLeast"/>
              </w:trPr>
              <w:tc>
                <w:tcPr>
                  <w:tcW w:w="8653" w:type="dxa"/>
                  <w:gridSpan w:val="5"/>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填表说明（列出项目相关信息及评价说明）：</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本项目危险物质数量与临界量比值Q小于1，企业环境风险潜势为Ⅰ，针对企业环境风险评价开展简要分析。</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建设单位应按照本环评报告提出的要求落实各项风险防范措施，将项目可能产生的环境风险降到最低。在具体落实各项事故应急防范措施后，可以使风险事故对环境的危害得到有效控制，事故风险可以控制在可接受的范围内。</w:t>
                  </w:r>
                </w:p>
              </w:tc>
            </w:tr>
          </w:tbl>
          <w:p>
            <w:pPr>
              <w:numPr>
                <w:ilvl w:val="0"/>
                <w:numId w:val="0"/>
              </w:numPr>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 xml:space="preserve">4.11 </w:t>
            </w:r>
            <w:r>
              <w:rPr>
                <w:rFonts w:hint="default" w:ascii="Times New Roman" w:hAnsi="Times New Roman" w:eastAsia="黑体" w:cs="Times New Roman"/>
                <w:color w:val="FF0000"/>
                <w:lang w:val="en-US" w:eastAsia="zh-CN"/>
              </w:rPr>
              <w:t>污染物排放规范化整治</w:t>
            </w:r>
          </w:p>
          <w:p>
            <w:pPr>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根据《关于开展排放口规范化整治工作的通知》（国家环境保护总局环发﹝1999﹞24号）和《排放口规范化整治技术》（国家环境保护总局环发﹝1999﹞24号文）文件的要求，一切新建、扩建的排污单位以及限期治理的排污单位，必须在建设污染治理设施的同时，建设规范化排污口，同时应设置采样平台。</w:t>
            </w:r>
          </w:p>
          <w:p>
            <w:pPr>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建设单位的各类排污口必须规范化建设和管理，而且规范化工作应与污染治理同步实施，即治理设施完工时，规范化工作必须同时完成，并列入污染物治理设施的验收内容。应在各水、气、声、固废排污口（源）挂牌标识，详见下表。</w:t>
            </w:r>
          </w:p>
          <w:p>
            <w:pPr>
              <w:bidi w:val="0"/>
              <w:ind w:left="0" w:leftChars="0" w:firstLine="0" w:firstLineChars="0"/>
              <w:jc w:val="center"/>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表4-29 环境保护图形标志</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9"/>
              <w:gridCol w:w="1537"/>
              <w:gridCol w:w="2305"/>
              <w:gridCol w:w="1690"/>
              <w:gridCol w:w="25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序号</w:t>
                  </w:r>
                </w:p>
              </w:tc>
              <w:tc>
                <w:tcPr>
                  <w:tcW w:w="141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提示牌</w:t>
                  </w:r>
                </w:p>
              </w:tc>
              <w:tc>
                <w:tcPr>
                  <w:tcW w:w="212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警告标示</w:t>
                  </w:r>
                </w:p>
              </w:tc>
              <w:tc>
                <w:tcPr>
                  <w:tcW w:w="15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名称</w:t>
                  </w:r>
                </w:p>
              </w:tc>
              <w:tc>
                <w:tcPr>
                  <w:tcW w:w="237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1</w:t>
                  </w:r>
                </w:p>
              </w:tc>
              <w:tc>
                <w:tcPr>
                  <w:tcW w:w="141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drawing>
                      <wp:inline distT="0" distB="0" distL="114300" distR="114300">
                        <wp:extent cx="626745" cy="635000"/>
                        <wp:effectExtent l="0" t="0" r="1905" b="12700"/>
                        <wp:docPr id="71" name="图片 22" descr="1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2" descr="13001"/>
                                <pic:cNvPicPr>
                                  <a:picLocks noChangeAspect="1"/>
                                </pic:cNvPicPr>
                              </pic:nvPicPr>
                              <pic:blipFill>
                                <a:blip r:embed="rId33"/>
                                <a:stretch>
                                  <a:fillRect/>
                                </a:stretch>
                              </pic:blipFill>
                              <pic:spPr>
                                <a:xfrm>
                                  <a:off x="0" y="0"/>
                                  <a:ext cx="626745" cy="635000"/>
                                </a:xfrm>
                                <a:prstGeom prst="rect">
                                  <a:avLst/>
                                </a:prstGeom>
                                <a:noFill/>
                                <a:ln>
                                  <a:noFill/>
                                </a:ln>
                              </pic:spPr>
                            </pic:pic>
                          </a:graphicData>
                        </a:graphic>
                      </wp:inline>
                    </w:drawing>
                  </w:r>
                </w:p>
              </w:tc>
              <w:tc>
                <w:tcPr>
                  <w:tcW w:w="212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drawing>
                      <wp:inline distT="0" distB="0" distL="114300" distR="114300">
                        <wp:extent cx="595630" cy="596265"/>
                        <wp:effectExtent l="0" t="0" r="13970" b="13335"/>
                        <wp:docPr id="72" name="图片 23" descr="1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3" descr="13002"/>
                                <pic:cNvPicPr>
                                  <a:picLocks noChangeAspect="1"/>
                                </pic:cNvPicPr>
                              </pic:nvPicPr>
                              <pic:blipFill>
                                <a:blip r:embed="rId34"/>
                                <a:stretch>
                                  <a:fillRect/>
                                </a:stretch>
                              </pic:blipFill>
                              <pic:spPr>
                                <a:xfrm>
                                  <a:off x="0" y="0"/>
                                  <a:ext cx="595630" cy="596265"/>
                                </a:xfrm>
                                <a:prstGeom prst="rect">
                                  <a:avLst/>
                                </a:prstGeom>
                                <a:noFill/>
                                <a:ln>
                                  <a:noFill/>
                                </a:ln>
                              </pic:spPr>
                            </pic:pic>
                          </a:graphicData>
                        </a:graphic>
                      </wp:inline>
                    </w:drawing>
                  </w:r>
                </w:p>
              </w:tc>
              <w:tc>
                <w:tcPr>
                  <w:tcW w:w="15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废水排放口</w:t>
                  </w:r>
                </w:p>
              </w:tc>
              <w:tc>
                <w:tcPr>
                  <w:tcW w:w="237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表示废水向水体排放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2</w:t>
                  </w:r>
                </w:p>
              </w:tc>
              <w:tc>
                <w:tcPr>
                  <w:tcW w:w="141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drawing>
                      <wp:inline distT="0" distB="0" distL="114300" distR="114300">
                        <wp:extent cx="672465" cy="672465"/>
                        <wp:effectExtent l="0" t="0" r="13335" b="13335"/>
                        <wp:docPr id="6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4"/>
                                <pic:cNvPicPr>
                                  <a:picLocks noChangeAspect="1"/>
                                </pic:cNvPicPr>
                              </pic:nvPicPr>
                              <pic:blipFill>
                                <a:blip r:embed="rId35"/>
                                <a:stretch>
                                  <a:fillRect/>
                                </a:stretch>
                              </pic:blipFill>
                              <pic:spPr>
                                <a:xfrm>
                                  <a:off x="0" y="0"/>
                                  <a:ext cx="672465" cy="672465"/>
                                </a:xfrm>
                                <a:prstGeom prst="rect">
                                  <a:avLst/>
                                </a:prstGeom>
                                <a:noFill/>
                                <a:ln>
                                  <a:noFill/>
                                </a:ln>
                              </pic:spPr>
                            </pic:pic>
                          </a:graphicData>
                        </a:graphic>
                      </wp:inline>
                    </w:drawing>
                  </w:r>
                </w:p>
              </w:tc>
              <w:tc>
                <w:tcPr>
                  <w:tcW w:w="212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drawing>
                      <wp:inline distT="0" distB="0" distL="114300" distR="114300">
                        <wp:extent cx="795020" cy="681355"/>
                        <wp:effectExtent l="0" t="0" r="5080" b="4445"/>
                        <wp:docPr id="6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5"/>
                                <pic:cNvPicPr>
                                  <a:picLocks noChangeAspect="1"/>
                                </pic:cNvPicPr>
                              </pic:nvPicPr>
                              <pic:blipFill>
                                <a:blip r:embed="rId36"/>
                                <a:stretch>
                                  <a:fillRect/>
                                </a:stretch>
                              </pic:blipFill>
                              <pic:spPr>
                                <a:xfrm>
                                  <a:off x="0" y="0"/>
                                  <a:ext cx="795020" cy="681355"/>
                                </a:xfrm>
                                <a:prstGeom prst="rect">
                                  <a:avLst/>
                                </a:prstGeom>
                                <a:noFill/>
                                <a:ln>
                                  <a:noFill/>
                                </a:ln>
                              </pic:spPr>
                            </pic:pic>
                          </a:graphicData>
                        </a:graphic>
                      </wp:inline>
                    </w:drawing>
                  </w:r>
                </w:p>
              </w:tc>
              <w:tc>
                <w:tcPr>
                  <w:tcW w:w="15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废气</w:t>
                  </w:r>
                </w:p>
              </w:tc>
              <w:tc>
                <w:tcPr>
                  <w:tcW w:w="237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表示废气排放处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3</w:t>
                  </w:r>
                </w:p>
              </w:tc>
              <w:tc>
                <w:tcPr>
                  <w:tcW w:w="141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drawing>
                      <wp:inline distT="0" distB="0" distL="114300" distR="114300">
                        <wp:extent cx="762635" cy="683895"/>
                        <wp:effectExtent l="0" t="0" r="18415" b="1905"/>
                        <wp:docPr id="7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6"/>
                                <pic:cNvPicPr>
                                  <a:picLocks noChangeAspect="1"/>
                                </pic:cNvPicPr>
                              </pic:nvPicPr>
                              <pic:blipFill>
                                <a:blip r:embed="rId37"/>
                                <a:stretch>
                                  <a:fillRect/>
                                </a:stretch>
                              </pic:blipFill>
                              <pic:spPr>
                                <a:xfrm>
                                  <a:off x="0" y="0"/>
                                  <a:ext cx="762635" cy="683895"/>
                                </a:xfrm>
                                <a:prstGeom prst="rect">
                                  <a:avLst/>
                                </a:prstGeom>
                                <a:noFill/>
                                <a:ln>
                                  <a:noFill/>
                                </a:ln>
                              </pic:spPr>
                            </pic:pic>
                          </a:graphicData>
                        </a:graphic>
                      </wp:inline>
                    </w:drawing>
                  </w:r>
                </w:p>
              </w:tc>
              <w:tc>
                <w:tcPr>
                  <w:tcW w:w="212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drawing>
                      <wp:inline distT="0" distB="0" distL="114300" distR="114300">
                        <wp:extent cx="728345" cy="799465"/>
                        <wp:effectExtent l="0" t="0" r="14605" b="635"/>
                        <wp:docPr id="6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7"/>
                                <pic:cNvPicPr>
                                  <a:picLocks noChangeAspect="1"/>
                                </pic:cNvPicPr>
                              </pic:nvPicPr>
                              <pic:blipFill>
                                <a:blip r:embed="rId38"/>
                                <a:stretch>
                                  <a:fillRect/>
                                </a:stretch>
                              </pic:blipFill>
                              <pic:spPr>
                                <a:xfrm>
                                  <a:off x="0" y="0"/>
                                  <a:ext cx="728345" cy="799465"/>
                                </a:xfrm>
                                <a:prstGeom prst="rect">
                                  <a:avLst/>
                                </a:prstGeom>
                                <a:noFill/>
                                <a:ln>
                                  <a:noFill/>
                                </a:ln>
                              </pic:spPr>
                            </pic:pic>
                          </a:graphicData>
                        </a:graphic>
                      </wp:inline>
                    </w:drawing>
                  </w:r>
                </w:p>
              </w:tc>
              <w:tc>
                <w:tcPr>
                  <w:tcW w:w="15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一般固废</w:t>
                  </w:r>
                </w:p>
              </w:tc>
              <w:tc>
                <w:tcPr>
                  <w:tcW w:w="237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表示一般固废贮存、处置场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4</w:t>
                  </w:r>
                </w:p>
              </w:tc>
              <w:tc>
                <w:tcPr>
                  <w:tcW w:w="141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w:t>
                  </w:r>
                </w:p>
              </w:tc>
              <w:tc>
                <w:tcPr>
                  <w:tcW w:w="212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cs="Times New Roman"/>
                      <w:color w:val="FF0000"/>
                    </w:rPr>
                    <w:drawing>
                      <wp:inline distT="0" distB="0" distL="114300" distR="114300">
                        <wp:extent cx="607060" cy="588010"/>
                        <wp:effectExtent l="0" t="0" r="2540" b="6350"/>
                        <wp:docPr id="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2"/>
                                <pic:cNvPicPr>
                                  <a:picLocks noChangeAspect="1"/>
                                </pic:cNvPicPr>
                              </pic:nvPicPr>
                              <pic:blipFill>
                                <a:blip r:embed="rId39"/>
                                <a:stretch>
                                  <a:fillRect/>
                                </a:stretch>
                              </pic:blipFill>
                              <pic:spPr>
                                <a:xfrm>
                                  <a:off x="0" y="0"/>
                                  <a:ext cx="607060" cy="588010"/>
                                </a:xfrm>
                                <a:prstGeom prst="rect">
                                  <a:avLst/>
                                </a:prstGeom>
                                <a:noFill/>
                                <a:ln>
                                  <a:noFill/>
                                </a:ln>
                              </pic:spPr>
                            </pic:pic>
                          </a:graphicData>
                        </a:graphic>
                      </wp:inline>
                    </w:drawing>
                  </w:r>
                </w:p>
              </w:tc>
              <w:tc>
                <w:tcPr>
                  <w:tcW w:w="15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cs="Times New Roman"/>
                      <w:color w:val="FF0000"/>
                      <w:sz w:val="21"/>
                      <w:szCs w:val="21"/>
                      <w:lang w:val="en-US" w:eastAsia="zh-CN"/>
                    </w:rPr>
                    <w:t>危险废物暂存间</w:t>
                  </w:r>
                </w:p>
              </w:tc>
              <w:tc>
                <w:tcPr>
                  <w:tcW w:w="237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表示危险废物贮存、处置场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5</w:t>
                  </w:r>
                </w:p>
              </w:tc>
              <w:tc>
                <w:tcPr>
                  <w:tcW w:w="141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drawing>
                      <wp:inline distT="0" distB="0" distL="114300" distR="114300">
                        <wp:extent cx="652780" cy="637540"/>
                        <wp:effectExtent l="0" t="0" r="13970" b="10160"/>
                        <wp:docPr id="6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0"/>
                                <pic:cNvPicPr>
                                  <a:picLocks noChangeAspect="1"/>
                                </pic:cNvPicPr>
                              </pic:nvPicPr>
                              <pic:blipFill>
                                <a:blip r:embed="rId40"/>
                                <a:stretch>
                                  <a:fillRect/>
                                </a:stretch>
                              </pic:blipFill>
                              <pic:spPr>
                                <a:xfrm>
                                  <a:off x="0" y="0"/>
                                  <a:ext cx="652780" cy="637540"/>
                                </a:xfrm>
                                <a:prstGeom prst="rect">
                                  <a:avLst/>
                                </a:prstGeom>
                                <a:noFill/>
                                <a:ln>
                                  <a:noFill/>
                                </a:ln>
                              </pic:spPr>
                            </pic:pic>
                          </a:graphicData>
                        </a:graphic>
                      </wp:inline>
                    </w:drawing>
                  </w:r>
                </w:p>
              </w:tc>
              <w:tc>
                <w:tcPr>
                  <w:tcW w:w="212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drawing>
                      <wp:inline distT="0" distB="0" distL="114300" distR="114300">
                        <wp:extent cx="744220" cy="652780"/>
                        <wp:effectExtent l="0" t="0" r="17780" b="13970"/>
                        <wp:docPr id="6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1"/>
                                <pic:cNvPicPr>
                                  <a:picLocks noChangeAspect="1"/>
                                </pic:cNvPicPr>
                              </pic:nvPicPr>
                              <pic:blipFill>
                                <a:blip r:embed="rId41"/>
                                <a:stretch>
                                  <a:fillRect/>
                                </a:stretch>
                              </pic:blipFill>
                              <pic:spPr>
                                <a:xfrm>
                                  <a:off x="0" y="0"/>
                                  <a:ext cx="744220" cy="652780"/>
                                </a:xfrm>
                                <a:prstGeom prst="rect">
                                  <a:avLst/>
                                </a:prstGeom>
                                <a:noFill/>
                                <a:ln>
                                  <a:noFill/>
                                </a:ln>
                              </pic:spPr>
                            </pic:pic>
                          </a:graphicData>
                        </a:graphic>
                      </wp:inline>
                    </w:drawing>
                  </w:r>
                </w:p>
              </w:tc>
              <w:tc>
                <w:tcPr>
                  <w:tcW w:w="15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噪声排放源</w:t>
                  </w:r>
                </w:p>
              </w:tc>
              <w:tc>
                <w:tcPr>
                  <w:tcW w:w="237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rPr>
                    <w:t>表示噪声向外环境排放</w:t>
                  </w:r>
                </w:p>
              </w:tc>
            </w:tr>
          </w:tbl>
          <w:p>
            <w:pPr>
              <w:bidi w:val="0"/>
              <w:rPr>
                <w:rFonts w:hint="default" w:ascii="Times New Roman" w:hAnsi="Times New Roman" w:cs="Times New Roman"/>
                <w:color w:val="FF0000"/>
                <w:lang w:val="en-US" w:eastAsia="zh-CN"/>
              </w:rPr>
            </w:pPr>
            <w:r>
              <w:rPr>
                <w:rFonts w:hint="default" w:ascii="Times New Roman" w:hAnsi="Times New Roman" w:cs="Times New Roman"/>
                <w:color w:val="FF0000"/>
                <w:lang w:val="en-US" w:eastAsia="zh-CN"/>
              </w:rPr>
              <w:t>标志牌的设置要求应按《环境保护图形标志—排放口（源）》（GB15562.1-1995）的规定执行。标志牌必须保持清晰、完整，当发现有损坏或颜色有变化，应及时修复或更换。检查时间一年两次。</w:t>
            </w:r>
          </w:p>
          <w:p>
            <w:pPr>
              <w:bidi w:val="0"/>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 xml:space="preserve">4.12 </w:t>
            </w:r>
            <w:r>
              <w:rPr>
                <w:rFonts w:hint="default" w:ascii="Times New Roman" w:hAnsi="Times New Roman" w:eastAsia="黑体" w:cs="Times New Roman"/>
                <w:lang w:val="en-US" w:eastAsia="zh-CN"/>
              </w:rPr>
              <w:t>环保投资</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本项目总</w:t>
            </w:r>
            <w:r>
              <w:rPr>
                <w:rFonts w:hint="default" w:ascii="Times New Roman" w:hAnsi="Times New Roman" w:cs="Times New Roman"/>
                <w:color w:val="auto"/>
                <w:lang w:val="en-US" w:eastAsia="zh-CN"/>
              </w:rPr>
              <w:t>投资</w:t>
            </w:r>
            <w:r>
              <w:rPr>
                <w:rFonts w:hint="default" w:ascii="Times New Roman" w:hAnsi="Times New Roman" w:cs="Times New Roman"/>
                <w:color w:val="auto"/>
                <w:sz w:val="24"/>
                <w:szCs w:val="24"/>
                <w:vertAlign w:val="baseline"/>
                <w:lang w:val="en-US" w:eastAsia="zh-CN"/>
              </w:rPr>
              <w:t>36008.25</w:t>
            </w:r>
            <w:r>
              <w:rPr>
                <w:rFonts w:hint="default" w:ascii="Times New Roman" w:hAnsi="Times New Roman" w:cs="Times New Roman"/>
                <w:color w:val="auto"/>
                <w:lang w:val="en-US" w:eastAsia="zh-CN"/>
              </w:rPr>
              <w:t>万元，环保投资791万</w:t>
            </w:r>
            <w:r>
              <w:rPr>
                <w:rFonts w:hint="default" w:ascii="Times New Roman" w:hAnsi="Times New Roman" w:cs="Times New Roman"/>
                <w:lang w:val="en-US" w:eastAsia="zh-CN"/>
              </w:rPr>
              <w:t>元，环保投资占比为2.2%。项目主要环保设施建设内容详见下表。</w:t>
            </w:r>
          </w:p>
          <w:p>
            <w:pPr>
              <w:numPr>
                <w:ilvl w:val="0"/>
                <w:numId w:val="0"/>
              </w:numPr>
              <w:bidi w:val="0"/>
              <w:jc w:val="center"/>
              <w:rPr>
                <w:rFonts w:hint="default" w:ascii="Times New Roman" w:hAnsi="Times New Roman" w:cs="Times New Roman"/>
                <w:vertAlign w:val="baseline"/>
                <w:lang w:val="en-US" w:eastAsia="zh-CN"/>
              </w:rPr>
            </w:pPr>
            <w:r>
              <w:rPr>
                <w:rFonts w:hint="default" w:ascii="Times New Roman" w:hAnsi="Times New Roman" w:cs="Times New Roman"/>
                <w:lang w:val="en-US" w:eastAsia="zh-CN"/>
              </w:rPr>
              <w:t>表4-30 环保投资估算表</w:t>
            </w:r>
          </w:p>
          <w:tbl>
            <w:tblPr>
              <w:tblStyle w:val="22"/>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2"/>
              <w:gridCol w:w="1250"/>
              <w:gridCol w:w="2306"/>
              <w:gridCol w:w="751"/>
              <w:gridCol w:w="1076"/>
              <w:gridCol w:w="25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阶段</w:t>
                  </w:r>
                </w:p>
              </w:tc>
              <w:tc>
                <w:tcPr>
                  <w:tcW w:w="72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类别</w:t>
                  </w:r>
                </w:p>
              </w:tc>
              <w:tc>
                <w:tcPr>
                  <w:tcW w:w="133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污染防治措施</w:t>
                  </w:r>
                </w:p>
              </w:tc>
              <w:tc>
                <w:tcPr>
                  <w:tcW w:w="43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数量</w:t>
                  </w:r>
                </w:p>
              </w:tc>
              <w:tc>
                <w:tcPr>
                  <w:tcW w:w="6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投资估算</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（万元）</w:t>
                  </w:r>
                </w:p>
              </w:tc>
              <w:tc>
                <w:tcPr>
                  <w:tcW w:w="147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预期治理效果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施工期</w:t>
                  </w:r>
                </w:p>
              </w:tc>
              <w:tc>
                <w:tcPr>
                  <w:tcW w:w="72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废气</w:t>
                  </w:r>
                </w:p>
              </w:tc>
              <w:tc>
                <w:tcPr>
                  <w:tcW w:w="133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施工现场设立场界围挡、洒水降尘、</w:t>
                  </w:r>
                </w:p>
              </w:tc>
              <w:tc>
                <w:tcPr>
                  <w:tcW w:w="43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6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50</w:t>
                  </w:r>
                </w:p>
              </w:tc>
              <w:tc>
                <w:tcPr>
                  <w:tcW w:w="147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减轻施工期间环境影响，确保达标排放，避免施工扰民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72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废水</w:t>
                  </w:r>
                </w:p>
              </w:tc>
              <w:tc>
                <w:tcPr>
                  <w:tcW w:w="133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厂区四周设置排水沟和沉淀池</w:t>
                  </w:r>
                </w:p>
              </w:tc>
              <w:tc>
                <w:tcPr>
                  <w:tcW w:w="43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6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20</w:t>
                  </w:r>
                </w:p>
              </w:tc>
              <w:tc>
                <w:tcPr>
                  <w:tcW w:w="147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用于收集雨水和进出车辆冲洗废水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72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噪声</w:t>
                  </w:r>
                </w:p>
              </w:tc>
              <w:tc>
                <w:tcPr>
                  <w:tcW w:w="133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采用低噪声设备施工，厂界北侧设置围墙围挡，减小噪声</w:t>
                  </w:r>
                </w:p>
              </w:tc>
              <w:tc>
                <w:tcPr>
                  <w:tcW w:w="43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6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20</w:t>
                  </w:r>
                </w:p>
              </w:tc>
              <w:tc>
                <w:tcPr>
                  <w:tcW w:w="147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施工期噪声达标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72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固废</w:t>
                  </w:r>
                </w:p>
              </w:tc>
              <w:tc>
                <w:tcPr>
                  <w:tcW w:w="133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生活垃圾设垃圾桶收集；建筑垃圾及时转运，避免在场地长时间暂存</w:t>
                  </w:r>
                </w:p>
              </w:tc>
              <w:tc>
                <w:tcPr>
                  <w:tcW w:w="43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6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w:t>
                  </w:r>
                </w:p>
              </w:tc>
              <w:tc>
                <w:tcPr>
                  <w:tcW w:w="147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施工现场不得长时间暂存垃圾，各类垃圾分类收集和处理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396"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运营期</w:t>
                  </w:r>
                </w:p>
              </w:tc>
              <w:tc>
                <w:tcPr>
                  <w:tcW w:w="726"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废水</w:t>
                  </w:r>
                </w:p>
              </w:tc>
              <w:tc>
                <w:tcPr>
                  <w:tcW w:w="133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雨污分流管网及初期雨水池（800m</w:t>
                  </w:r>
                  <w:r>
                    <w:rPr>
                      <w:rFonts w:hint="default" w:ascii="Times New Roman" w:hAnsi="Times New Roman" w:cs="Times New Roman"/>
                      <w:sz w:val="21"/>
                      <w:szCs w:val="21"/>
                      <w:vertAlign w:val="superscript"/>
                      <w:lang w:val="en-US" w:eastAsia="zh-CN"/>
                    </w:rPr>
                    <w:t>3</w:t>
                  </w:r>
                  <w:r>
                    <w:rPr>
                      <w:rFonts w:hint="default" w:ascii="Times New Roman" w:hAnsi="Times New Roman" w:cs="Times New Roman"/>
                      <w:sz w:val="21"/>
                      <w:szCs w:val="21"/>
                      <w:vertAlign w:val="baseline"/>
                      <w:lang w:val="en-US" w:eastAsia="zh-CN"/>
                    </w:rPr>
                    <w:t>）</w:t>
                  </w:r>
                </w:p>
              </w:tc>
              <w:tc>
                <w:tcPr>
                  <w:tcW w:w="43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1套</w:t>
                  </w:r>
                </w:p>
              </w:tc>
              <w:tc>
                <w:tcPr>
                  <w:tcW w:w="6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30</w:t>
                  </w:r>
                </w:p>
              </w:tc>
              <w:tc>
                <w:tcPr>
                  <w:tcW w:w="1475"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《污水综合排放标准》(GB8978-1996) 三级标准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39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rPr>
                  </w:pPr>
                </w:p>
              </w:tc>
              <w:tc>
                <w:tcPr>
                  <w:tcW w:w="72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rPr>
                  </w:pPr>
                </w:p>
              </w:tc>
              <w:tc>
                <w:tcPr>
                  <w:tcW w:w="133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化粪池（20m</w:t>
                  </w:r>
                  <w:r>
                    <w:rPr>
                      <w:rFonts w:hint="default" w:ascii="Times New Roman" w:hAnsi="Times New Roman" w:cs="Times New Roman"/>
                      <w:sz w:val="21"/>
                      <w:szCs w:val="21"/>
                      <w:vertAlign w:val="superscript"/>
                      <w:lang w:val="en-US" w:eastAsia="zh-CN"/>
                    </w:rPr>
                    <w:t>3</w:t>
                  </w:r>
                  <w:r>
                    <w:rPr>
                      <w:rFonts w:hint="default" w:ascii="Times New Roman" w:hAnsi="Times New Roman" w:cs="Times New Roman"/>
                      <w:sz w:val="21"/>
                      <w:szCs w:val="21"/>
                      <w:vertAlign w:val="baseline"/>
                      <w:lang w:val="en-US" w:eastAsia="zh-CN"/>
                    </w:rPr>
                    <w:t>）</w:t>
                  </w:r>
                </w:p>
              </w:tc>
              <w:tc>
                <w:tcPr>
                  <w:tcW w:w="43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1个</w:t>
                  </w:r>
                </w:p>
              </w:tc>
              <w:tc>
                <w:tcPr>
                  <w:tcW w:w="6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w:t>
                  </w:r>
                </w:p>
              </w:tc>
              <w:tc>
                <w:tcPr>
                  <w:tcW w:w="1475"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trPr>
              <w:tc>
                <w:tcPr>
                  <w:tcW w:w="39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726"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133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车辆冲洗装置</w:t>
                  </w:r>
                </w:p>
              </w:tc>
              <w:tc>
                <w:tcPr>
                  <w:tcW w:w="43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1套</w:t>
                  </w:r>
                </w:p>
              </w:tc>
              <w:tc>
                <w:tcPr>
                  <w:tcW w:w="6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w:t>
                  </w:r>
                </w:p>
              </w:tc>
              <w:tc>
                <w:tcPr>
                  <w:tcW w:w="147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车辆冲洗废水回用不排放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726"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废气</w:t>
                  </w:r>
                </w:p>
              </w:tc>
              <w:tc>
                <w:tcPr>
                  <w:tcW w:w="133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烘干废气：脉冲布袋除尘+20m高的排气筒DA001</w:t>
                  </w:r>
                </w:p>
              </w:tc>
              <w:tc>
                <w:tcPr>
                  <w:tcW w:w="43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625"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600</w:t>
                  </w:r>
                </w:p>
              </w:tc>
              <w:tc>
                <w:tcPr>
                  <w:tcW w:w="147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《湖南省工业炉窑大气污染综合治理实施方案》湘环发〔2020〕6号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726"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133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机制砂废气：集气罩+脉冲布袋除尘+20m高的排气筒DA002</w:t>
                  </w:r>
                </w:p>
              </w:tc>
              <w:tc>
                <w:tcPr>
                  <w:tcW w:w="43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625"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147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726"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133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石灰石制砂废气：集气罩+脉冲布袋除尘+52m高的排气筒DA003</w:t>
                  </w:r>
                </w:p>
              </w:tc>
              <w:tc>
                <w:tcPr>
                  <w:tcW w:w="43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625"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147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726"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133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干粉砂浆废气：集气罩+脉冲布袋除尘+52m高的排气筒DA004~DA0045</w:t>
                  </w:r>
                </w:p>
              </w:tc>
              <w:tc>
                <w:tcPr>
                  <w:tcW w:w="43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625"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147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726"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133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原料筒仓设布袋除尘器处理后排放</w:t>
                  </w:r>
                </w:p>
              </w:tc>
              <w:tc>
                <w:tcPr>
                  <w:tcW w:w="43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625"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147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厂界颗粒物达标排放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726"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133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堆场设雾化喷林装置</w:t>
                  </w:r>
                </w:p>
              </w:tc>
              <w:tc>
                <w:tcPr>
                  <w:tcW w:w="43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6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20</w:t>
                  </w:r>
                </w:p>
              </w:tc>
              <w:tc>
                <w:tcPr>
                  <w:tcW w:w="147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厂界颗粒物达标排放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72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噪声</w:t>
                  </w:r>
                </w:p>
              </w:tc>
              <w:tc>
                <w:tcPr>
                  <w:tcW w:w="133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基础减震、消声、隔音等一系列噪声控制措施</w:t>
                  </w:r>
                </w:p>
              </w:tc>
              <w:tc>
                <w:tcPr>
                  <w:tcW w:w="43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6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15</w:t>
                  </w:r>
                </w:p>
              </w:tc>
              <w:tc>
                <w:tcPr>
                  <w:tcW w:w="147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达到《工业企业厂界环境噪声排放标准》（GB12348-2008）中3类标准要求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396"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726" w:type="pct"/>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固废</w:t>
                  </w:r>
                </w:p>
              </w:tc>
              <w:tc>
                <w:tcPr>
                  <w:tcW w:w="133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一般废物暂存间</w:t>
                  </w:r>
                </w:p>
              </w:tc>
              <w:tc>
                <w:tcPr>
                  <w:tcW w:w="43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1间</w:t>
                  </w:r>
                </w:p>
              </w:tc>
              <w:tc>
                <w:tcPr>
                  <w:tcW w:w="6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5</w:t>
                  </w:r>
                </w:p>
              </w:tc>
              <w:tc>
                <w:tcPr>
                  <w:tcW w:w="147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满足《一般工业固体废物贮存和填埋污染控制标准》（GB18599-2020）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396"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726"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133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危险废物暂存间</w:t>
                  </w:r>
                </w:p>
              </w:tc>
              <w:tc>
                <w:tcPr>
                  <w:tcW w:w="43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1间</w:t>
                  </w:r>
                </w:p>
              </w:tc>
              <w:tc>
                <w:tcPr>
                  <w:tcW w:w="6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15</w:t>
                  </w:r>
                </w:p>
              </w:tc>
              <w:tc>
                <w:tcPr>
                  <w:tcW w:w="147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满足《危险废物贮存污染控制标准》（GB 18597-2001）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trPr>
              <w:tc>
                <w:tcPr>
                  <w:tcW w:w="396"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726" w:type="pct"/>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p>
              </w:tc>
              <w:tc>
                <w:tcPr>
                  <w:tcW w:w="1339"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生活垃圾收集桶</w:t>
                  </w:r>
                </w:p>
              </w:tc>
              <w:tc>
                <w:tcPr>
                  <w:tcW w:w="43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6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1</w:t>
                  </w:r>
                </w:p>
              </w:tc>
              <w:tc>
                <w:tcPr>
                  <w:tcW w:w="147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1" w:type="pct"/>
                  <w:gridSpan w:val="3"/>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合计</w:t>
                  </w:r>
                </w:p>
              </w:tc>
              <w:tc>
                <w:tcPr>
                  <w:tcW w:w="436"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62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791</w:t>
                  </w:r>
                </w:p>
              </w:tc>
              <w:tc>
                <w:tcPr>
                  <w:tcW w:w="1475"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r>
          </w:tbl>
          <w:p>
            <w:pPr>
              <w:bidi w:val="0"/>
              <w:ind w:left="0" w:leftChars="0" w:firstLine="0" w:firstLineChars="0"/>
              <w:rPr>
                <w:rFonts w:hint="default" w:ascii="Times New Roman" w:hAnsi="Times New Roman" w:cs="Times New Roman"/>
                <w:lang w:val="en-US" w:eastAsia="zh-CN"/>
              </w:rPr>
            </w:pPr>
          </w:p>
        </w:tc>
      </w:tr>
    </w:tbl>
    <w:p>
      <w:pPr>
        <w:pStyle w:val="4"/>
        <w:keepNext/>
        <w:keepLines/>
        <w:pageBreakBefore/>
        <w:widowControl/>
        <w:numPr>
          <w:ilvl w:val="0"/>
          <w:numId w:val="0"/>
        </w:numPr>
        <w:kinsoku/>
        <w:wordWrap/>
        <w:overflowPunct/>
        <w:topLinePunct w:val="0"/>
        <w:autoSpaceDE/>
        <w:autoSpaceDN/>
        <w:bidi w:val="0"/>
        <w:adjustRightInd/>
        <w:snapToGrid/>
        <w:ind w:left="-86" w:leftChars="0"/>
        <w:jc w:val="both"/>
        <w:textAlignment w:val="auto"/>
        <w:rPr>
          <w:rFonts w:hint="default" w:ascii="Times New Roman" w:hAnsi="Times New Roman" w:cs="Times New Roman"/>
          <w:lang w:val="en-US" w:eastAsia="zh-CN"/>
        </w:rPr>
      </w:pPr>
      <w:bookmarkStart w:id="16" w:name="_Toc6164"/>
      <w:r>
        <w:rPr>
          <w:rFonts w:hint="default" w:ascii="Times New Roman" w:hAnsi="Times New Roman" w:cs="Times New Roman"/>
          <w:lang w:val="en-US" w:eastAsia="zh-CN"/>
        </w:rPr>
        <w:t>五、环境保护措施督察检查清单</w:t>
      </w:r>
      <w:bookmarkEnd w:id="16"/>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1667"/>
        <w:gridCol w:w="1722"/>
        <w:gridCol w:w="1963"/>
        <w:gridCol w:w="29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内容</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要素</w:t>
            </w:r>
          </w:p>
        </w:tc>
        <w:tc>
          <w:tcPr>
            <w:tcW w:w="16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排放口（编号、名称）/污染源</w:t>
            </w:r>
          </w:p>
        </w:tc>
        <w:tc>
          <w:tcPr>
            <w:tcW w:w="17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污染物项目</w:t>
            </w:r>
          </w:p>
        </w:tc>
        <w:tc>
          <w:tcPr>
            <w:tcW w:w="19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环境保护措施</w:t>
            </w:r>
          </w:p>
        </w:tc>
        <w:tc>
          <w:tcPr>
            <w:tcW w:w="29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95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大气</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环境</w:t>
            </w:r>
          </w:p>
        </w:tc>
        <w:tc>
          <w:tcPr>
            <w:tcW w:w="16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eastAsia="宋体" w:cs="Times New Roman"/>
                <w:i w:val="0"/>
                <w:iCs w:val="0"/>
                <w:color w:val="auto"/>
                <w:kern w:val="0"/>
                <w:sz w:val="24"/>
                <w:szCs w:val="24"/>
                <w:u w:val="none"/>
                <w:lang w:val="en-US" w:eastAsia="zh-CN" w:bidi="ar"/>
              </w:rPr>
              <w:t>烘干</w:t>
            </w:r>
            <w:r>
              <w:rPr>
                <w:rFonts w:hint="default" w:ascii="Times New Roman" w:hAnsi="Times New Roman" w:cs="Times New Roman"/>
                <w:i w:val="0"/>
                <w:iCs w:val="0"/>
                <w:color w:val="auto"/>
                <w:kern w:val="0"/>
                <w:sz w:val="24"/>
                <w:szCs w:val="24"/>
                <w:u w:val="none"/>
                <w:lang w:val="en-US" w:eastAsia="zh-CN" w:bidi="ar"/>
              </w:rPr>
              <w:t>废气排气筒</w:t>
            </w:r>
            <w:r>
              <w:rPr>
                <w:rFonts w:hint="default" w:ascii="Times New Roman" w:hAnsi="Times New Roman" w:eastAsia="宋体" w:cs="Times New Roman"/>
                <w:i w:val="0"/>
                <w:iCs w:val="0"/>
                <w:color w:val="auto"/>
                <w:kern w:val="0"/>
                <w:sz w:val="24"/>
                <w:szCs w:val="24"/>
                <w:u w:val="none"/>
                <w:lang w:val="en-US" w:eastAsia="zh-CN" w:bidi="ar"/>
              </w:rPr>
              <w:t>：DA001</w:t>
            </w:r>
          </w:p>
        </w:tc>
        <w:tc>
          <w:tcPr>
            <w:tcW w:w="17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颗粒物、二氧化硫、氮氧化物</w:t>
            </w:r>
          </w:p>
        </w:tc>
        <w:tc>
          <w:tcPr>
            <w:tcW w:w="19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脉冲布袋除尘器+52m高排气筒</w:t>
            </w:r>
          </w:p>
        </w:tc>
        <w:tc>
          <w:tcPr>
            <w:tcW w:w="29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《湖南省工业炉窑大气污染综合治理实施方案》湘环发〔2020〕6号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95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p>
        </w:tc>
        <w:tc>
          <w:tcPr>
            <w:tcW w:w="16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机制砂</w:t>
            </w:r>
            <w:r>
              <w:rPr>
                <w:rFonts w:hint="default" w:ascii="Times New Roman" w:hAnsi="Times New Roman" w:cs="Times New Roman"/>
                <w:i w:val="0"/>
                <w:iCs w:val="0"/>
                <w:color w:val="auto"/>
                <w:kern w:val="0"/>
                <w:sz w:val="24"/>
                <w:szCs w:val="24"/>
                <w:u w:val="none"/>
                <w:lang w:val="en-US" w:eastAsia="zh-CN" w:bidi="ar"/>
              </w:rPr>
              <w:t>筒</w:t>
            </w:r>
            <w:r>
              <w:rPr>
                <w:rFonts w:hint="default" w:ascii="Times New Roman" w:hAnsi="Times New Roman" w:eastAsia="宋体" w:cs="Times New Roman"/>
                <w:i w:val="0"/>
                <w:iCs w:val="0"/>
                <w:color w:val="auto"/>
                <w:kern w:val="0"/>
                <w:sz w:val="24"/>
                <w:szCs w:val="24"/>
                <w:u w:val="none"/>
                <w:lang w:val="en-US" w:eastAsia="zh-CN" w:bidi="ar"/>
              </w:rPr>
              <w:t>：DA002</w:t>
            </w:r>
          </w:p>
        </w:tc>
        <w:tc>
          <w:tcPr>
            <w:tcW w:w="17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4"/>
                <w:szCs w:val="24"/>
                <w:vertAlign w:val="baseline"/>
                <w:lang w:val="en-US" w:eastAsia="zh-CN" w:bidi="ar-SA"/>
              </w:rPr>
            </w:pPr>
            <w:r>
              <w:rPr>
                <w:rFonts w:hint="default" w:ascii="Times New Roman" w:hAnsi="Times New Roman" w:cs="Times New Roman"/>
                <w:color w:val="auto"/>
                <w:sz w:val="24"/>
                <w:szCs w:val="24"/>
                <w:vertAlign w:val="baseline"/>
                <w:lang w:val="en-US" w:eastAsia="zh-CN"/>
              </w:rPr>
              <w:t>颗粒物</w:t>
            </w:r>
          </w:p>
        </w:tc>
        <w:tc>
          <w:tcPr>
            <w:tcW w:w="19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4"/>
                <w:szCs w:val="24"/>
                <w:vertAlign w:val="baseline"/>
                <w:lang w:val="en-US" w:eastAsia="zh-CN" w:bidi="ar-SA"/>
              </w:rPr>
            </w:pPr>
            <w:r>
              <w:rPr>
                <w:rFonts w:hint="default" w:ascii="Times New Roman" w:hAnsi="Times New Roman" w:cs="Times New Roman"/>
                <w:color w:val="auto"/>
                <w:sz w:val="24"/>
                <w:szCs w:val="24"/>
                <w:vertAlign w:val="baseline"/>
                <w:lang w:val="en-US" w:eastAsia="zh-CN"/>
              </w:rPr>
              <w:t>集气罩+脉冲布袋除尘器+52m高排气筒</w:t>
            </w:r>
          </w:p>
        </w:tc>
        <w:tc>
          <w:tcPr>
            <w:tcW w:w="2977"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《大气污染物综合排放标准》（GB16297-1996）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95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p>
        </w:tc>
        <w:tc>
          <w:tcPr>
            <w:tcW w:w="16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石灰石制砂</w:t>
            </w:r>
            <w:r>
              <w:rPr>
                <w:rFonts w:hint="default" w:ascii="Times New Roman" w:hAnsi="Times New Roman" w:cs="Times New Roman"/>
                <w:i w:val="0"/>
                <w:iCs w:val="0"/>
                <w:color w:val="auto"/>
                <w:kern w:val="0"/>
                <w:sz w:val="24"/>
                <w:szCs w:val="24"/>
                <w:u w:val="none"/>
                <w:lang w:val="en-US" w:eastAsia="zh-CN" w:bidi="ar"/>
              </w:rPr>
              <w:t>排气筒</w:t>
            </w:r>
            <w:r>
              <w:rPr>
                <w:rFonts w:hint="default" w:ascii="Times New Roman" w:hAnsi="Times New Roman" w:eastAsia="宋体" w:cs="Times New Roman"/>
                <w:i w:val="0"/>
                <w:iCs w:val="0"/>
                <w:color w:val="auto"/>
                <w:kern w:val="0"/>
                <w:sz w:val="24"/>
                <w:szCs w:val="24"/>
                <w:u w:val="none"/>
                <w:lang w:val="en-US" w:eastAsia="zh-CN" w:bidi="ar"/>
              </w:rPr>
              <w:t>：DA003</w:t>
            </w:r>
          </w:p>
        </w:tc>
        <w:tc>
          <w:tcPr>
            <w:tcW w:w="17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颗粒物</w:t>
            </w:r>
          </w:p>
        </w:tc>
        <w:tc>
          <w:tcPr>
            <w:tcW w:w="19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集气罩+脉冲布袋除尘器+52m高排气筒</w:t>
            </w:r>
          </w:p>
        </w:tc>
        <w:tc>
          <w:tcPr>
            <w:tcW w:w="297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95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rPr>
            </w:pPr>
          </w:p>
        </w:tc>
        <w:tc>
          <w:tcPr>
            <w:tcW w:w="16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普通</w:t>
            </w:r>
            <w:r>
              <w:rPr>
                <w:rFonts w:hint="default" w:ascii="Times New Roman" w:hAnsi="Times New Roman" w:cs="Times New Roman"/>
                <w:i w:val="0"/>
                <w:iCs w:val="0"/>
                <w:color w:val="auto"/>
                <w:kern w:val="0"/>
                <w:sz w:val="24"/>
                <w:szCs w:val="24"/>
                <w:u w:val="none"/>
                <w:lang w:val="en-US" w:eastAsia="zh-CN" w:bidi="ar"/>
              </w:rPr>
              <w:t>砂浆排气筒</w:t>
            </w:r>
            <w:r>
              <w:rPr>
                <w:rFonts w:hint="default" w:ascii="Times New Roman" w:hAnsi="Times New Roman" w:eastAsia="宋体" w:cs="Times New Roman"/>
                <w:i w:val="0"/>
                <w:iCs w:val="0"/>
                <w:color w:val="auto"/>
                <w:kern w:val="0"/>
                <w:sz w:val="24"/>
                <w:szCs w:val="24"/>
                <w:u w:val="none"/>
                <w:lang w:val="en-US" w:eastAsia="zh-CN" w:bidi="ar"/>
              </w:rPr>
              <w:t>：DA004</w:t>
            </w:r>
          </w:p>
        </w:tc>
        <w:tc>
          <w:tcPr>
            <w:tcW w:w="17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颗粒物</w:t>
            </w:r>
          </w:p>
        </w:tc>
        <w:tc>
          <w:tcPr>
            <w:tcW w:w="19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集气罩+脉冲布袋除尘器+52m高排气筒</w:t>
            </w:r>
          </w:p>
        </w:tc>
        <w:tc>
          <w:tcPr>
            <w:tcW w:w="297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95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p>
        </w:tc>
        <w:tc>
          <w:tcPr>
            <w:tcW w:w="16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4"/>
                <w:szCs w:val="24"/>
                <w:vertAlign w:val="baseline"/>
                <w:lang w:val="en-US" w:eastAsia="zh-CN" w:bidi="ar-SA"/>
              </w:rPr>
            </w:pPr>
            <w:r>
              <w:rPr>
                <w:rFonts w:hint="default" w:ascii="Times New Roman" w:hAnsi="Times New Roman" w:eastAsia="宋体" w:cs="Times New Roman"/>
                <w:i w:val="0"/>
                <w:iCs w:val="0"/>
                <w:color w:val="auto"/>
                <w:kern w:val="0"/>
                <w:sz w:val="24"/>
                <w:szCs w:val="24"/>
                <w:u w:val="none"/>
                <w:lang w:val="en-US" w:eastAsia="zh-CN" w:bidi="ar"/>
              </w:rPr>
              <w:t>彩色砂浆</w:t>
            </w:r>
            <w:r>
              <w:rPr>
                <w:rFonts w:hint="default" w:ascii="Times New Roman" w:hAnsi="Times New Roman" w:cs="Times New Roman"/>
                <w:i w:val="0"/>
                <w:iCs w:val="0"/>
                <w:color w:val="auto"/>
                <w:kern w:val="0"/>
                <w:sz w:val="24"/>
                <w:szCs w:val="24"/>
                <w:u w:val="none"/>
                <w:lang w:val="en-US" w:eastAsia="zh-CN" w:bidi="ar"/>
              </w:rPr>
              <w:t>排气筒</w:t>
            </w:r>
            <w:r>
              <w:rPr>
                <w:rFonts w:hint="default" w:ascii="Times New Roman" w:hAnsi="Times New Roman" w:eastAsia="宋体" w:cs="Times New Roman"/>
                <w:i w:val="0"/>
                <w:iCs w:val="0"/>
                <w:color w:val="auto"/>
                <w:kern w:val="0"/>
                <w:sz w:val="24"/>
                <w:szCs w:val="24"/>
                <w:u w:val="none"/>
                <w:lang w:val="en-US" w:eastAsia="zh-CN" w:bidi="ar"/>
              </w:rPr>
              <w:t>：DA005</w:t>
            </w:r>
          </w:p>
        </w:tc>
        <w:tc>
          <w:tcPr>
            <w:tcW w:w="17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颗粒物</w:t>
            </w:r>
          </w:p>
        </w:tc>
        <w:tc>
          <w:tcPr>
            <w:tcW w:w="19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集气罩+脉冲布袋除尘器+52m高排气筒</w:t>
            </w:r>
          </w:p>
        </w:tc>
        <w:tc>
          <w:tcPr>
            <w:tcW w:w="297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95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p>
        </w:tc>
        <w:tc>
          <w:tcPr>
            <w:tcW w:w="16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4"/>
                <w:szCs w:val="24"/>
                <w:vertAlign w:val="baseline"/>
                <w:lang w:val="en-US" w:eastAsia="zh-CN" w:bidi="ar-SA"/>
              </w:rPr>
            </w:pPr>
            <w:r>
              <w:rPr>
                <w:rFonts w:hint="default" w:ascii="Times New Roman" w:hAnsi="Times New Roman" w:eastAsia="宋体" w:cs="Times New Roman"/>
                <w:i w:val="0"/>
                <w:iCs w:val="0"/>
                <w:color w:val="auto"/>
                <w:kern w:val="0"/>
                <w:sz w:val="24"/>
                <w:szCs w:val="24"/>
                <w:u w:val="none"/>
                <w:lang w:val="en-US" w:eastAsia="zh-CN" w:bidi="ar"/>
              </w:rPr>
              <w:t>特种砂浆</w:t>
            </w:r>
            <w:r>
              <w:rPr>
                <w:rFonts w:hint="default" w:ascii="Times New Roman" w:hAnsi="Times New Roman" w:cs="Times New Roman"/>
                <w:i w:val="0"/>
                <w:iCs w:val="0"/>
                <w:color w:val="auto"/>
                <w:kern w:val="0"/>
                <w:sz w:val="24"/>
                <w:szCs w:val="24"/>
                <w:u w:val="none"/>
                <w:lang w:val="en-US" w:eastAsia="zh-CN" w:bidi="ar"/>
              </w:rPr>
              <w:t>排气筒</w:t>
            </w:r>
            <w:r>
              <w:rPr>
                <w:rFonts w:hint="default" w:ascii="Times New Roman" w:hAnsi="Times New Roman" w:eastAsia="宋体" w:cs="Times New Roman"/>
                <w:i w:val="0"/>
                <w:iCs w:val="0"/>
                <w:color w:val="auto"/>
                <w:kern w:val="0"/>
                <w:sz w:val="24"/>
                <w:szCs w:val="24"/>
                <w:u w:val="none"/>
                <w:lang w:val="en-US" w:eastAsia="zh-CN" w:bidi="ar"/>
              </w:rPr>
              <w:t>：DA006</w:t>
            </w:r>
          </w:p>
        </w:tc>
        <w:tc>
          <w:tcPr>
            <w:tcW w:w="17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颗粒物</w:t>
            </w:r>
          </w:p>
        </w:tc>
        <w:tc>
          <w:tcPr>
            <w:tcW w:w="19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集气罩+脉冲布袋除尘器+52m高排气筒</w:t>
            </w:r>
          </w:p>
        </w:tc>
        <w:tc>
          <w:tcPr>
            <w:tcW w:w="297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95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p>
        </w:tc>
        <w:tc>
          <w:tcPr>
            <w:tcW w:w="16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原料筒仓</w:t>
            </w:r>
          </w:p>
        </w:tc>
        <w:tc>
          <w:tcPr>
            <w:tcW w:w="17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颗粒物</w:t>
            </w:r>
          </w:p>
        </w:tc>
        <w:tc>
          <w:tcPr>
            <w:tcW w:w="19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脉冲布袋除尘器处理后，无组织排放</w:t>
            </w:r>
          </w:p>
        </w:tc>
        <w:tc>
          <w:tcPr>
            <w:tcW w:w="297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95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p>
        </w:tc>
        <w:tc>
          <w:tcPr>
            <w:tcW w:w="16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堆场</w:t>
            </w:r>
          </w:p>
        </w:tc>
        <w:tc>
          <w:tcPr>
            <w:tcW w:w="17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颗粒物</w:t>
            </w:r>
          </w:p>
        </w:tc>
        <w:tc>
          <w:tcPr>
            <w:tcW w:w="19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雾化喷淋处理后，无组织排放</w:t>
            </w:r>
          </w:p>
        </w:tc>
        <w:tc>
          <w:tcPr>
            <w:tcW w:w="297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95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p>
        </w:tc>
        <w:tc>
          <w:tcPr>
            <w:tcW w:w="16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喷码工序</w:t>
            </w:r>
          </w:p>
        </w:tc>
        <w:tc>
          <w:tcPr>
            <w:tcW w:w="17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非甲烷总烃</w:t>
            </w:r>
          </w:p>
        </w:tc>
        <w:tc>
          <w:tcPr>
            <w:tcW w:w="19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采用水性油墨，无组织排放</w:t>
            </w:r>
          </w:p>
        </w:tc>
        <w:tc>
          <w:tcPr>
            <w:tcW w:w="29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《印刷业挥发性有机物排放标准》（DB43/1357-2017）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3" w:hRule="atLeast"/>
          <w:jc w:val="center"/>
        </w:trPr>
        <w:tc>
          <w:tcPr>
            <w:tcW w:w="959"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地表水环境</w:t>
            </w:r>
          </w:p>
        </w:tc>
        <w:tc>
          <w:tcPr>
            <w:tcW w:w="16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生活污水排放口DW001/职工生活</w:t>
            </w:r>
          </w:p>
        </w:tc>
        <w:tc>
          <w:tcPr>
            <w:tcW w:w="17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pH、COD</w:t>
            </w:r>
            <w:r>
              <w:rPr>
                <w:rFonts w:hint="default" w:ascii="Times New Roman" w:hAnsi="Times New Roman" w:cs="Times New Roman"/>
                <w:color w:val="auto"/>
                <w:sz w:val="24"/>
                <w:szCs w:val="24"/>
                <w:vertAlign w:val="subscript"/>
                <w:lang w:val="en-US" w:eastAsia="zh-CN"/>
              </w:rPr>
              <w:t>Cr</w:t>
            </w:r>
            <w:r>
              <w:rPr>
                <w:rFonts w:hint="default" w:ascii="Times New Roman" w:hAnsi="Times New Roman" w:cs="Times New Roman"/>
                <w:color w:val="auto"/>
                <w:sz w:val="24"/>
                <w:szCs w:val="24"/>
                <w:vertAlign w:val="baseline"/>
                <w:lang w:val="en-US" w:eastAsia="zh-CN"/>
              </w:rPr>
              <w:t>、BOD</w:t>
            </w:r>
            <w:r>
              <w:rPr>
                <w:rFonts w:hint="default" w:ascii="Times New Roman" w:hAnsi="Times New Roman" w:cs="Times New Roman"/>
                <w:color w:val="auto"/>
                <w:sz w:val="24"/>
                <w:szCs w:val="24"/>
                <w:vertAlign w:val="subscript"/>
                <w:lang w:val="en-US" w:eastAsia="zh-CN"/>
              </w:rPr>
              <w:t>5</w:t>
            </w:r>
            <w:r>
              <w:rPr>
                <w:rFonts w:hint="default" w:ascii="Times New Roman" w:hAnsi="Times New Roman" w:cs="Times New Roman"/>
                <w:color w:val="auto"/>
                <w:sz w:val="24"/>
                <w:szCs w:val="24"/>
                <w:vertAlign w:val="baseline"/>
                <w:lang w:val="en-US" w:eastAsia="zh-CN"/>
              </w:rPr>
              <w:t>、SS、氨氮</w:t>
            </w:r>
          </w:p>
        </w:tc>
        <w:tc>
          <w:tcPr>
            <w:tcW w:w="19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化粪池处理达标后经市政污水管网进入湘阴县第一污水处理厂进一步处理</w:t>
            </w:r>
          </w:p>
        </w:tc>
        <w:tc>
          <w:tcPr>
            <w:tcW w:w="29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《污水综合排放标准》(GB8978-1996) 三级标准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959"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p>
        </w:tc>
        <w:tc>
          <w:tcPr>
            <w:tcW w:w="16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车辆冲洗废水</w:t>
            </w:r>
          </w:p>
        </w:tc>
        <w:tc>
          <w:tcPr>
            <w:tcW w:w="17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SS、石油类</w:t>
            </w:r>
          </w:p>
        </w:tc>
        <w:tc>
          <w:tcPr>
            <w:tcW w:w="19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车辆冲洗装置</w:t>
            </w:r>
          </w:p>
        </w:tc>
        <w:tc>
          <w:tcPr>
            <w:tcW w:w="29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废水回用，不排放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声环境</w:t>
            </w:r>
          </w:p>
        </w:tc>
        <w:tc>
          <w:tcPr>
            <w:tcW w:w="16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厂界噪声</w:t>
            </w:r>
          </w:p>
        </w:tc>
        <w:tc>
          <w:tcPr>
            <w:tcW w:w="3685"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隔声、减震</w:t>
            </w:r>
          </w:p>
        </w:tc>
        <w:tc>
          <w:tcPr>
            <w:tcW w:w="29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《工业企业厂界环境噪声排放标准》（GB12348-2008）3类标准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电磁</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辐射</w:t>
            </w:r>
          </w:p>
        </w:tc>
        <w:tc>
          <w:tcPr>
            <w:tcW w:w="16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w:t>
            </w:r>
          </w:p>
        </w:tc>
        <w:tc>
          <w:tcPr>
            <w:tcW w:w="172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w:t>
            </w:r>
          </w:p>
        </w:tc>
        <w:tc>
          <w:tcPr>
            <w:tcW w:w="196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w:t>
            </w:r>
          </w:p>
        </w:tc>
        <w:tc>
          <w:tcPr>
            <w:tcW w:w="297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固体</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废物</w:t>
            </w:r>
          </w:p>
        </w:tc>
        <w:tc>
          <w:tcPr>
            <w:tcW w:w="8329"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eastAsia="宋体" w:cs="Times New Roman"/>
                <w:b w:val="0"/>
                <w:bCs w:val="0"/>
                <w:color w:val="auto"/>
                <w:kern w:val="2"/>
                <w:sz w:val="24"/>
                <w:szCs w:val="24"/>
                <w:highlight w:val="none"/>
                <w:lang w:val="en-US" w:eastAsia="zh-CN" w:bidi="ar-SA"/>
              </w:rPr>
              <w:t>项目员工生活产生的生活垃圾交由环卫部门清理；一般工业固体废物中，废包装材料综合利用，除尘器粉尘、沉淀渣和不合格产品回用于生产；废矿物油、</w:t>
            </w:r>
            <w:r>
              <w:rPr>
                <w:rFonts w:hint="default" w:ascii="Times New Roman" w:hAnsi="Times New Roman" w:cs="Times New Roman"/>
                <w:b w:val="0"/>
                <w:bCs w:val="0"/>
                <w:color w:val="auto"/>
                <w:kern w:val="2"/>
                <w:sz w:val="24"/>
                <w:szCs w:val="24"/>
                <w:highlight w:val="none"/>
                <w:lang w:val="en-US" w:eastAsia="zh-CN" w:bidi="ar-SA"/>
              </w:rPr>
              <w:t>废油墨盒</w:t>
            </w:r>
            <w:r>
              <w:rPr>
                <w:rFonts w:hint="default" w:ascii="Times New Roman" w:hAnsi="Times New Roman" w:eastAsia="宋体" w:cs="Times New Roman"/>
                <w:b w:val="0"/>
                <w:bCs w:val="0"/>
                <w:color w:val="auto"/>
                <w:kern w:val="2"/>
                <w:sz w:val="24"/>
                <w:szCs w:val="24"/>
                <w:highlight w:val="none"/>
                <w:lang w:val="en-US" w:eastAsia="zh-CN" w:bidi="ar-SA"/>
              </w:rPr>
              <w:t>、废抹布暂存于危废暂存间，定期交由有资质的单位处置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土壤及地下水污染防治措施</w:t>
            </w:r>
          </w:p>
        </w:tc>
        <w:tc>
          <w:tcPr>
            <w:tcW w:w="8329"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本项目不需开展地下水、土壤环境影响评价，项目地下水影响轻微，无需采取特别的防护措施；本项目将通过加强地面硬化及风险源地面防腐、防渗等措施，减小本项目对土壤的影响。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生态保护措施</w:t>
            </w:r>
          </w:p>
        </w:tc>
        <w:tc>
          <w:tcPr>
            <w:tcW w:w="8329"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建议施工过程中加强管理。加强疏水导流，防止暴雨冲刷造成水土流失。同时，还应按规划建设要求，进一步作好建设用地周边的绿化、美化工作，以尽快恢复建设用地区域的生态和自然景观，并尽可能补偿人文景观， 使之与周围自然、人文环境融为一体。</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本项目区内实施乔、灌、草相结合的空间绿化，对营造清新、优美的环境起到了一定作用，在避免水土流失的同时，既可吸尘降噪，又美化了环境。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环境风向防范措施</w:t>
            </w:r>
          </w:p>
        </w:tc>
        <w:tc>
          <w:tcPr>
            <w:tcW w:w="8329"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1、制定风险防范管理制度。</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2、危险废物设置危险废物暂存间暂存，明确各类废弃物标识，分类堆放，设置导流沟或者托盘防止泄漏，暂存间做好相应防渗等措施。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3、加强设备保养和维护，保证设备的正常运转；加强工作人员的岗位责任管理，减少人员因素产生的故障。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4、在发电机房柴油桶存放区域设置托盘防渗。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4"/>
                <w:szCs w:val="24"/>
                <w:vertAlign w:val="baseline"/>
                <w:lang w:val="en-US" w:eastAsia="zh-CN"/>
              </w:rPr>
              <w:t>其他环境管理要求</w:t>
            </w:r>
          </w:p>
        </w:tc>
        <w:tc>
          <w:tcPr>
            <w:tcW w:w="8329" w:type="dxa"/>
            <w:gridSpan w:val="4"/>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cs="Times New Roman"/>
                <w:color w:val="auto"/>
                <w:sz w:val="24"/>
                <w:szCs w:val="24"/>
                <w:highlight w:val="yellow"/>
                <w:vertAlign w:val="baseline"/>
                <w:lang w:val="en-US" w:eastAsia="zh-CN"/>
              </w:rPr>
            </w:pPr>
            <w:r>
              <w:rPr>
                <w:rFonts w:hint="default" w:ascii="Times New Roman" w:hAnsi="Times New Roman" w:cs="Times New Roman"/>
                <w:color w:val="auto"/>
                <w:sz w:val="24"/>
                <w:szCs w:val="24"/>
                <w:vertAlign w:val="baseline"/>
                <w:lang w:val="en-US" w:eastAsia="zh-CN"/>
              </w:rPr>
              <w:t>1、</w:t>
            </w:r>
            <w:r>
              <w:rPr>
                <w:rFonts w:hint="default" w:ascii="Times New Roman" w:hAnsi="Times New Roman" w:cs="Times New Roman"/>
                <w:color w:val="auto"/>
                <w:sz w:val="24"/>
                <w:szCs w:val="24"/>
                <w:highlight w:val="none"/>
                <w:vertAlign w:val="baseline"/>
                <w:lang w:val="en-US" w:eastAsia="zh-CN"/>
              </w:rPr>
              <w:t>排污许可</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本项目属于C3039 其他建筑材料制造；C3099 其他非金属矿物制品制造，根据《固定污染源排污许可分类管理名录（2019年版）》，本项目涉及C3039 其他建筑材料制造，属于排污许可简化管理类别，涉及C3099 其他非金属矿物制品制造属于登记管理类别，应按照《排污许可证申请与核发技术规范 陶瓷砖瓦工业》（HJ954-2018）内容要求，申报排污许可证。</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both"/>
              <w:textAlignment w:val="auto"/>
              <w:rPr>
                <w:rFonts w:hint="default" w:ascii="Times New Roman" w:hAnsi="Times New Roman" w:cs="Times New Roman"/>
                <w:color w:val="auto"/>
                <w:sz w:val="24"/>
                <w:szCs w:val="24"/>
                <w:vertAlign w:val="baseline"/>
                <w:lang w:val="en-US" w:eastAsia="zh-CN"/>
              </w:rPr>
            </w:pPr>
            <w:r>
              <w:rPr>
                <w:rFonts w:hint="default" w:ascii="Times New Roman" w:hAnsi="Times New Roman" w:cs="Times New Roman"/>
                <w:color w:val="auto"/>
                <w:sz w:val="24"/>
                <w:szCs w:val="24"/>
                <w:vertAlign w:val="baseline"/>
                <w:lang w:val="en-US" w:eastAsia="zh-CN"/>
              </w:rPr>
              <w:t>2、建设项目竣工环境保护验收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4"/>
                <w:szCs w:val="24"/>
                <w:vertAlign w:val="baseline"/>
                <w:lang w:val="en-US" w:eastAsia="zh-CN"/>
              </w:rPr>
              <w:t>根据《建设项目环境保护管理条例》（2017年7月16日修订），编制环境影响报告表的建设项目竣工后，建设单位应当按照《建设项目竣工环境保护验收暂行办法》（国环规环评〔2017〕44号）规定的标准和程序，对配套建设的环境保护设施进行验收，其配套建设的环境保护设施经验收合格，方可投入生产或者使用；未经验收或者验收不合格的，不得投入生产或者使用，并根据《建设项目竣工环境保护验收技术指南 污染影响类》的要求编制验收监测报告。</w:t>
            </w: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lang w:val="en-US" w:eastAsia="zh-CN"/>
        </w:rPr>
        <w:sectPr>
          <w:pgSz w:w="11906" w:h="16838"/>
          <w:pgMar w:top="1440" w:right="1417" w:bottom="1440" w:left="1417" w:header="851" w:footer="992" w:gutter="0"/>
          <w:pgBorders w:offsetFrom="page">
            <w:top w:val="none" w:sz="0" w:space="0"/>
            <w:left w:val="none" w:sz="0" w:space="0"/>
            <w:bottom w:val="none" w:sz="0" w:space="0"/>
            <w:right w:val="none" w:sz="0" w:space="0"/>
          </w:pgBorders>
          <w:cols w:space="0" w:num="1"/>
          <w:rtlGutter w:val="0"/>
          <w:docGrid w:type="lines" w:linePitch="312" w:charSpace="0"/>
        </w:sectPr>
      </w:pPr>
    </w:p>
    <w:p>
      <w:pPr>
        <w:pStyle w:val="4"/>
        <w:keepNext/>
        <w:keepLines/>
        <w:pageBreakBefore/>
        <w:widowControl/>
        <w:numPr>
          <w:ilvl w:val="0"/>
          <w:numId w:val="0"/>
        </w:numPr>
        <w:kinsoku/>
        <w:wordWrap/>
        <w:overflowPunct/>
        <w:topLinePunct w:val="0"/>
        <w:autoSpaceDE/>
        <w:autoSpaceDN/>
        <w:bidi w:val="0"/>
        <w:adjustRightInd/>
        <w:snapToGrid/>
        <w:ind w:left="-86" w:leftChars="0"/>
        <w:jc w:val="both"/>
        <w:textAlignment w:val="auto"/>
        <w:rPr>
          <w:rFonts w:hint="default" w:ascii="Times New Roman" w:hAnsi="Times New Roman" w:cs="Times New Roman"/>
          <w:lang w:val="en-US" w:eastAsia="zh-CN"/>
        </w:rPr>
      </w:pPr>
      <w:bookmarkStart w:id="17" w:name="_Toc17580"/>
      <w:r>
        <w:rPr>
          <w:rFonts w:hint="default" w:ascii="Times New Roman" w:hAnsi="Times New Roman" w:cs="Times New Roman"/>
          <w:lang w:val="en-US" w:eastAsia="zh-CN"/>
        </w:rPr>
        <w:t>六、结论</w:t>
      </w:r>
      <w:bookmarkEnd w:id="17"/>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288" w:type="dxa"/>
            <w:vAlign w:val="center"/>
          </w:tcPr>
          <w:p>
            <w:pPr>
              <w:widowControl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本项目位于</w:t>
            </w:r>
            <w:r>
              <w:rPr>
                <w:rFonts w:hint="default" w:ascii="Times New Roman" w:hAnsi="Times New Roman" w:eastAsia="宋体" w:cs="Times New Roman"/>
                <w:color w:val="auto"/>
                <w:sz w:val="24"/>
                <w:szCs w:val="24"/>
                <w:vertAlign w:val="baseline"/>
                <w:lang w:val="en-US" w:eastAsia="zh-CN"/>
              </w:rPr>
              <w:t>湖南省岳阳市湘阴县湘杨路以西、远大路及湘杨路交汇处</w:t>
            </w:r>
            <w:r>
              <w:rPr>
                <w:rFonts w:hint="default" w:ascii="Times New Roman" w:hAnsi="Times New Roman" w:cs="Times New Roman"/>
                <w:color w:val="auto"/>
                <w:lang w:val="en-US" w:eastAsia="zh-CN"/>
              </w:rPr>
              <w:t>，符合国家当前产业政策的要求；建设单位在认真落实报告中提出的各项环保治理措施，严格执行“三同时”制度和加强管理、监督，确保各项污染物达标排放的前提下，本项目的建设对周边环境的影响可控，从环境保护角度分析，本项目建设可行。</w:t>
            </w:r>
          </w:p>
          <w:p>
            <w:pPr>
              <w:widowControl w:val="0"/>
              <w:rPr>
                <w:rFonts w:hint="default" w:ascii="Times New Roman" w:hAnsi="Times New Roman" w:cs="Times New Roman"/>
                <w:color w:val="auto"/>
                <w:lang w:val="en-US" w:eastAsia="zh-CN"/>
              </w:rPr>
            </w:pPr>
          </w:p>
          <w:p>
            <w:pPr>
              <w:widowControl w:val="0"/>
              <w:rPr>
                <w:rFonts w:hint="default" w:ascii="Times New Roman" w:hAnsi="Times New Roman" w:cs="Times New Roman"/>
                <w:color w:val="auto"/>
                <w:lang w:val="en-US" w:eastAsia="zh-CN"/>
              </w:rPr>
            </w:pPr>
          </w:p>
          <w:p>
            <w:pPr>
              <w:widowControl w:val="0"/>
              <w:rPr>
                <w:rFonts w:hint="default" w:ascii="Times New Roman" w:hAnsi="Times New Roman" w:cs="Times New Roman"/>
                <w:color w:val="auto"/>
                <w:lang w:val="en-US" w:eastAsia="zh-CN"/>
              </w:rPr>
            </w:pPr>
          </w:p>
          <w:p>
            <w:pPr>
              <w:widowControl w:val="0"/>
              <w:rPr>
                <w:rFonts w:hint="default" w:ascii="Times New Roman" w:hAnsi="Times New Roman" w:cs="Times New Roman"/>
                <w:color w:val="auto"/>
                <w:lang w:val="en-US" w:eastAsia="zh-CN"/>
              </w:rPr>
            </w:pPr>
          </w:p>
          <w:p>
            <w:pPr>
              <w:widowControl w:val="0"/>
              <w:rPr>
                <w:rFonts w:hint="default" w:ascii="Times New Roman" w:hAnsi="Times New Roman" w:cs="Times New Roman"/>
                <w:color w:val="auto"/>
                <w:lang w:val="en-US" w:eastAsia="zh-CN"/>
              </w:rPr>
            </w:pPr>
          </w:p>
          <w:p>
            <w:pPr>
              <w:widowControl w:val="0"/>
              <w:rPr>
                <w:rFonts w:hint="default" w:ascii="Times New Roman" w:hAnsi="Times New Roman" w:cs="Times New Roman"/>
                <w:color w:val="auto"/>
                <w:lang w:val="en-US" w:eastAsia="zh-CN"/>
              </w:rPr>
            </w:pPr>
          </w:p>
          <w:p>
            <w:pPr>
              <w:widowControl w:val="0"/>
              <w:rPr>
                <w:rFonts w:hint="default" w:ascii="Times New Roman" w:hAnsi="Times New Roman" w:cs="Times New Roman"/>
                <w:color w:val="auto"/>
                <w:lang w:val="en-US" w:eastAsia="zh-CN"/>
              </w:rPr>
            </w:pPr>
          </w:p>
          <w:p>
            <w:pPr>
              <w:widowControl w:val="0"/>
              <w:rPr>
                <w:rFonts w:hint="default" w:ascii="Times New Roman" w:hAnsi="Times New Roman" w:cs="Times New Roman"/>
                <w:color w:val="auto"/>
                <w:lang w:val="en-US" w:eastAsia="zh-CN"/>
              </w:rPr>
            </w:pPr>
          </w:p>
          <w:p>
            <w:pPr>
              <w:widowControl w:val="0"/>
              <w:rPr>
                <w:rFonts w:hint="default" w:ascii="Times New Roman" w:hAnsi="Times New Roman" w:cs="Times New Roman"/>
                <w:color w:val="auto"/>
                <w:lang w:val="en-US" w:eastAsia="zh-CN"/>
              </w:rPr>
            </w:pPr>
          </w:p>
          <w:p>
            <w:pPr>
              <w:widowControl w:val="0"/>
              <w:rPr>
                <w:rFonts w:hint="default" w:ascii="Times New Roman" w:hAnsi="Times New Roman" w:cs="Times New Roman"/>
                <w:color w:val="auto"/>
                <w:lang w:val="en-US" w:eastAsia="zh-CN"/>
              </w:rPr>
            </w:pPr>
          </w:p>
          <w:p>
            <w:pPr>
              <w:widowControl w:val="0"/>
              <w:rPr>
                <w:rFonts w:hint="default" w:ascii="Times New Roman" w:hAnsi="Times New Roman" w:cs="Times New Roman"/>
                <w:color w:val="auto"/>
                <w:lang w:val="en-US" w:eastAsia="zh-CN"/>
              </w:rPr>
            </w:pPr>
          </w:p>
          <w:p>
            <w:pPr>
              <w:widowControl w:val="0"/>
              <w:rPr>
                <w:rFonts w:hint="default" w:ascii="Times New Roman" w:hAnsi="Times New Roman" w:cs="Times New Roman"/>
                <w:color w:val="auto"/>
                <w:lang w:val="en-US" w:eastAsia="zh-CN"/>
              </w:rPr>
            </w:pPr>
          </w:p>
          <w:p>
            <w:pPr>
              <w:widowControl w:val="0"/>
              <w:rPr>
                <w:rFonts w:hint="default" w:ascii="Times New Roman" w:hAnsi="Times New Roman" w:cs="Times New Roman"/>
                <w:color w:val="auto"/>
                <w:lang w:val="en-US" w:eastAsia="zh-CN"/>
              </w:rPr>
            </w:pPr>
          </w:p>
          <w:p>
            <w:pPr>
              <w:widowControl w:val="0"/>
              <w:rPr>
                <w:rFonts w:hint="default" w:ascii="Times New Roman" w:hAnsi="Times New Roman" w:cs="Times New Roman"/>
                <w:color w:val="auto"/>
                <w:lang w:val="en-US" w:eastAsia="zh-CN"/>
              </w:rPr>
            </w:pPr>
          </w:p>
          <w:p>
            <w:pPr>
              <w:widowControl w:val="0"/>
              <w:rPr>
                <w:rFonts w:hint="default" w:ascii="Times New Roman" w:hAnsi="Times New Roman" w:cs="Times New Roman"/>
                <w:color w:val="auto"/>
                <w:lang w:val="en-US" w:eastAsia="zh-CN"/>
              </w:rPr>
            </w:pPr>
          </w:p>
          <w:p>
            <w:pPr>
              <w:widowControl w:val="0"/>
              <w:rPr>
                <w:rFonts w:hint="default" w:ascii="Times New Roman" w:hAnsi="Times New Roman" w:cs="Times New Roman"/>
                <w:color w:val="auto"/>
                <w:lang w:val="en-US" w:eastAsia="zh-CN"/>
              </w:rPr>
            </w:pPr>
          </w:p>
          <w:p>
            <w:pPr>
              <w:widowControl w:val="0"/>
              <w:rPr>
                <w:rFonts w:hint="default" w:ascii="Times New Roman" w:hAnsi="Times New Roman" w:cs="Times New Roman"/>
                <w:color w:val="auto"/>
                <w:lang w:val="en-US" w:eastAsia="zh-CN"/>
              </w:rPr>
            </w:pPr>
          </w:p>
          <w:p>
            <w:pPr>
              <w:widowControl w:val="0"/>
              <w:rPr>
                <w:rFonts w:hint="default" w:ascii="Times New Roman" w:hAnsi="Times New Roman" w:cs="Times New Roman"/>
                <w:color w:val="auto"/>
                <w:lang w:val="en-US" w:eastAsia="zh-CN"/>
              </w:rPr>
            </w:pPr>
          </w:p>
          <w:p>
            <w:pPr>
              <w:widowControl w:val="0"/>
              <w:rPr>
                <w:rFonts w:hint="default" w:ascii="Times New Roman" w:hAnsi="Times New Roman" w:cs="Times New Roman"/>
                <w:color w:val="auto"/>
                <w:lang w:val="en-US" w:eastAsia="zh-CN"/>
              </w:rPr>
            </w:pPr>
          </w:p>
          <w:p>
            <w:pPr>
              <w:widowControl w:val="0"/>
              <w:rPr>
                <w:rFonts w:hint="default" w:ascii="Times New Roman" w:hAnsi="Times New Roman" w:cs="Times New Roman"/>
                <w:color w:val="auto"/>
                <w:lang w:val="en-US" w:eastAsia="zh-CN"/>
              </w:rPr>
            </w:pPr>
          </w:p>
          <w:p>
            <w:pPr>
              <w:widowControl w:val="0"/>
              <w:rPr>
                <w:rFonts w:hint="default" w:ascii="Times New Roman" w:hAnsi="Times New Roman" w:cs="Times New Roman"/>
                <w:color w:val="auto"/>
                <w:lang w:val="en-US" w:eastAsia="zh-CN"/>
              </w:rPr>
            </w:pPr>
          </w:p>
          <w:p>
            <w:pPr>
              <w:widowControl w:val="0"/>
              <w:rPr>
                <w:rFonts w:hint="default" w:ascii="Times New Roman" w:hAnsi="Times New Roman" w:cs="Times New Roman"/>
                <w:color w:val="auto"/>
                <w:lang w:val="en-US" w:eastAsia="zh-CN"/>
              </w:rPr>
            </w:pPr>
          </w:p>
          <w:p>
            <w:pPr>
              <w:widowControl w:val="0"/>
              <w:ind w:left="0" w:leftChars="0" w:firstLine="0" w:firstLineChars="0"/>
              <w:jc w:val="both"/>
              <w:rPr>
                <w:rFonts w:hint="default" w:ascii="Times New Roman" w:hAnsi="Times New Roman" w:cs="Times New Roman"/>
                <w:color w:val="auto"/>
                <w:lang w:val="en-US" w:eastAsia="zh-CN"/>
              </w:rPr>
            </w:pPr>
          </w:p>
        </w:tc>
      </w:tr>
    </w:tbl>
    <w:p>
      <w:pPr>
        <w:numPr>
          <w:ilvl w:val="0"/>
          <w:numId w:val="0"/>
        </w:numPr>
        <w:ind w:left="1200" w:leftChars="0"/>
        <w:rPr>
          <w:rFonts w:hint="default" w:ascii="Times New Roman" w:hAnsi="Times New Roman" w:cs="Times New Roman"/>
          <w:lang w:val="en-US" w:eastAsia="zh-CN"/>
        </w:rPr>
        <w:sectPr>
          <w:pgSz w:w="11906" w:h="16838"/>
          <w:pgMar w:top="1440" w:right="1417" w:bottom="1440" w:left="1417" w:header="851" w:footer="992" w:gutter="0"/>
          <w:pgBorders w:offsetFrom="page">
            <w:top w:val="none" w:sz="0" w:space="0"/>
            <w:left w:val="none" w:sz="0" w:space="0"/>
            <w:bottom w:val="none" w:sz="0" w:space="0"/>
            <w:right w:val="none" w:sz="0" w:space="0"/>
          </w:pgBorders>
          <w:cols w:space="0" w:num="1"/>
          <w:rtlGutter w:val="0"/>
          <w:docGrid w:type="lines" w:linePitch="312" w:charSpace="0"/>
        </w:sectPr>
      </w:pPr>
    </w:p>
    <w:p>
      <w:pPr>
        <w:pStyle w:val="5"/>
        <w:bidi w:val="0"/>
        <w:rPr>
          <w:rFonts w:hint="default" w:ascii="Times New Roman" w:hAnsi="Times New Roman" w:cs="Times New Roman"/>
        </w:rPr>
      </w:pPr>
      <w:bookmarkStart w:id="18" w:name="_Toc218"/>
      <w:r>
        <w:rPr>
          <w:rFonts w:hint="default" w:ascii="Times New Roman" w:hAnsi="Times New Roman" w:cs="Times New Roman"/>
          <w:lang w:val="en-US" w:eastAsia="zh-CN"/>
        </w:rPr>
        <w:t>附表：建设项目污染物排放量汇总表</w:t>
      </w:r>
      <w:bookmarkEnd w:id="18"/>
    </w:p>
    <w:p>
      <w:pPr>
        <w:keepNext w:val="0"/>
        <w:keepLines w:val="0"/>
        <w:widowControl/>
        <w:suppressLineNumbers w:val="0"/>
        <w:ind w:left="0" w:leftChars="0" w:firstLine="0" w:firstLineChars="0"/>
        <w:jc w:val="center"/>
        <w:rPr>
          <w:rFonts w:hint="default" w:ascii="Times New Roman" w:hAnsi="Times New Roman" w:eastAsia="黑体" w:cs="Times New Roman"/>
          <w:sz w:val="28"/>
          <w:szCs w:val="28"/>
        </w:rPr>
      </w:pPr>
      <w:r>
        <w:rPr>
          <w:rFonts w:hint="default" w:ascii="Times New Roman" w:hAnsi="Times New Roman" w:eastAsia="黑体" w:cs="Times New Roman"/>
          <w:sz w:val="28"/>
          <w:szCs w:val="28"/>
          <w:lang w:val="en-US" w:eastAsia="zh-CN"/>
        </w:rPr>
        <w:t>建设项目污染物排放量汇总表</w:t>
      </w:r>
    </w:p>
    <w:tbl>
      <w:tblPr>
        <w:tblStyle w:val="22"/>
        <w:tblW w:w="142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9"/>
        <w:gridCol w:w="1576"/>
        <w:gridCol w:w="1851"/>
        <w:gridCol w:w="1326"/>
        <w:gridCol w:w="1455"/>
        <w:gridCol w:w="1695"/>
        <w:gridCol w:w="1500"/>
        <w:gridCol w:w="1813"/>
        <w:gridCol w:w="16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8" w:hRule="atLeast"/>
          <w:jc w:val="center"/>
        </w:trPr>
        <w:tc>
          <w:tcPr>
            <w:tcW w:w="1359" w:type="dxa"/>
            <w:vAlign w:val="center"/>
            <mc:AlternateContent>
              <mc:Choice Requires="wpsCustomData">
                <wpsCustomData:diagonals>
                  <wpsCustomData:diagonal from="10000" to="30000">
                    <wpsCustomData:border w:val="single" w:color="auto" w:sz="4" w:space="0"/>
                  </wpsCustomData:diagonal>
                </wpsCustomData:diagonals>
              </mc:Choice>
            </mc:AlternateContent>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mc:AlternateContent>
                <mc:Choice Requires="wpsCustomData">
                  <wpsCustomData:diagonalParaType/>
                </mc:Choice>
              </mc:AlternateContent>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分类</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项目</w:t>
            </w:r>
          </w:p>
        </w:tc>
        <w:tc>
          <w:tcPr>
            <w:tcW w:w="1576" w:type="dxa"/>
            <w:vAlign w:val="center"/>
          </w:tcPr>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污染物名称</w:t>
            </w:r>
          </w:p>
        </w:tc>
        <w:tc>
          <w:tcPr>
            <w:tcW w:w="1851"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现有工程排放量（固体废物产生量）①</w:t>
            </w:r>
          </w:p>
        </w:tc>
        <w:tc>
          <w:tcPr>
            <w:tcW w:w="1326"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rPr>
            </w:pPr>
            <w:r>
              <w:rPr>
                <w:rFonts w:hint="default" w:ascii="Times New Roman" w:hAnsi="Times New Roman" w:cs="Times New Roman"/>
                <w:sz w:val="21"/>
                <w:szCs w:val="21"/>
                <w:vertAlign w:val="baseline"/>
                <w:lang w:val="en-US" w:eastAsia="zh-CN"/>
              </w:rPr>
              <w:t>现有工程许可排放量②</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p>
        </w:tc>
        <w:tc>
          <w:tcPr>
            <w:tcW w:w="1455"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在建工程排放量（固体废物产生量）③</w:t>
            </w:r>
          </w:p>
        </w:tc>
        <w:tc>
          <w:tcPr>
            <w:tcW w:w="1695"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本项目排放量</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（固体废物产生量）④</w:t>
            </w:r>
          </w:p>
        </w:tc>
        <w:tc>
          <w:tcPr>
            <w:tcW w:w="150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以新带老削减量（新建项目不填）⑤</w:t>
            </w:r>
          </w:p>
        </w:tc>
        <w:tc>
          <w:tcPr>
            <w:tcW w:w="181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本项目建成后全厂排放量（固体废物产生量）⑥</w:t>
            </w:r>
          </w:p>
        </w:tc>
        <w:tc>
          <w:tcPr>
            <w:tcW w:w="1653"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变化量</w:t>
            </w:r>
            <w:r>
              <w:rPr>
                <w:rFonts w:hint="default" w:ascii="Times New Roman" w:hAnsi="Times New Roman" w:eastAsia="黑体" w:cs="Times New Roman"/>
                <w:color w:val="000000"/>
                <w:kern w:val="0"/>
                <w:sz w:val="21"/>
                <w:szCs w:val="21"/>
                <w:lang w:val="en-US" w:eastAsia="zh-CN" w:bidi="ar"/>
              </w:rPr>
              <w:t>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1359" w:type="dxa"/>
            <w:vMerge w:val="restar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废气</w:t>
            </w:r>
          </w:p>
        </w:tc>
        <w:tc>
          <w:tcPr>
            <w:tcW w:w="157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二氧化硫</w:t>
            </w:r>
          </w:p>
        </w:tc>
        <w:tc>
          <w:tcPr>
            <w:tcW w:w="1851"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32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455"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18"/>
                <w:szCs w:val="18"/>
                <w:vertAlign w:val="baseline"/>
                <w:lang w:val="en-US" w:eastAsia="zh-CN" w:bidi="ar-SA"/>
              </w:rPr>
            </w:pPr>
            <w:r>
              <w:rPr>
                <w:rFonts w:hint="default" w:ascii="Times New Roman" w:hAnsi="Times New Roman" w:cs="Times New Roman"/>
                <w:sz w:val="18"/>
                <w:szCs w:val="18"/>
                <w:vertAlign w:val="baseline"/>
                <w:lang w:val="en-US" w:eastAsia="zh-CN"/>
              </w:rPr>
              <w:t>0.76t/a</w:t>
            </w:r>
          </w:p>
        </w:tc>
        <w:tc>
          <w:tcPr>
            <w:tcW w:w="1695"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vertAlign w:val="baseline"/>
                <w:lang w:val="en-US" w:eastAsia="zh-CN" w:bidi="ar-SA"/>
              </w:rPr>
            </w:pPr>
            <w:r>
              <w:rPr>
                <w:rFonts w:hint="default" w:ascii="Times New Roman" w:hAnsi="Times New Roman" w:cs="Times New Roman"/>
                <w:sz w:val="18"/>
                <w:szCs w:val="18"/>
                <w:vertAlign w:val="baseline"/>
                <w:lang w:val="en-US" w:eastAsia="zh-CN"/>
              </w:rPr>
              <w:t>0.76t/a</w:t>
            </w:r>
          </w:p>
        </w:tc>
        <w:tc>
          <w:tcPr>
            <w:tcW w:w="150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18"/>
                <w:szCs w:val="18"/>
                <w:vertAlign w:val="baseline"/>
                <w:lang w:val="en-US" w:eastAsia="zh-CN" w:bidi="ar-SA"/>
              </w:rPr>
            </w:pPr>
            <w:r>
              <w:rPr>
                <w:rFonts w:hint="default" w:ascii="Times New Roman" w:hAnsi="Times New Roman" w:cs="Times New Roman"/>
                <w:sz w:val="18"/>
                <w:szCs w:val="18"/>
                <w:vertAlign w:val="baseline"/>
                <w:lang w:val="en-US" w:eastAsia="zh-CN"/>
              </w:rPr>
              <w:t>/</w:t>
            </w:r>
          </w:p>
        </w:tc>
        <w:tc>
          <w:tcPr>
            <w:tcW w:w="181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vertAlign w:val="baseline"/>
                <w:lang w:val="en-US" w:eastAsia="zh-CN" w:bidi="ar-SA"/>
              </w:rPr>
            </w:pPr>
            <w:r>
              <w:rPr>
                <w:rFonts w:hint="default" w:ascii="Times New Roman" w:hAnsi="Times New Roman" w:cs="Times New Roman"/>
                <w:sz w:val="18"/>
                <w:szCs w:val="18"/>
                <w:vertAlign w:val="baseline"/>
                <w:lang w:val="en-US" w:eastAsia="zh-CN"/>
              </w:rPr>
              <w:t>0.76/a</w:t>
            </w:r>
          </w:p>
        </w:tc>
        <w:tc>
          <w:tcPr>
            <w:tcW w:w="165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1359" w:type="dxa"/>
            <w:vMerge w:val="continue"/>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p>
        </w:tc>
        <w:tc>
          <w:tcPr>
            <w:tcW w:w="157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氮氧化物</w:t>
            </w:r>
          </w:p>
        </w:tc>
        <w:tc>
          <w:tcPr>
            <w:tcW w:w="1851"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32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455"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vertAlign w:val="baseline"/>
                <w:lang w:val="en-US" w:eastAsia="zh-CN"/>
              </w:rPr>
              <w:t>4.27t/a</w:t>
            </w:r>
          </w:p>
        </w:tc>
        <w:tc>
          <w:tcPr>
            <w:tcW w:w="1695"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vertAlign w:val="baseline"/>
                <w:lang w:val="en-US" w:eastAsia="zh-CN" w:bidi="ar-SA"/>
              </w:rPr>
            </w:pPr>
            <w:r>
              <w:rPr>
                <w:rFonts w:hint="default" w:ascii="Times New Roman" w:hAnsi="Times New Roman" w:cs="Times New Roman"/>
                <w:sz w:val="18"/>
                <w:szCs w:val="18"/>
                <w:vertAlign w:val="baseline"/>
                <w:lang w:val="en-US" w:eastAsia="zh-CN"/>
              </w:rPr>
              <w:t>4.27t/a</w:t>
            </w:r>
          </w:p>
        </w:tc>
        <w:tc>
          <w:tcPr>
            <w:tcW w:w="150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vertAlign w:val="baseline"/>
                <w:lang w:val="en-US" w:eastAsia="zh-CN"/>
              </w:rPr>
              <w:t>/</w:t>
            </w:r>
          </w:p>
        </w:tc>
        <w:tc>
          <w:tcPr>
            <w:tcW w:w="181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vertAlign w:val="baseline"/>
                <w:lang w:val="en-US" w:eastAsia="zh-CN" w:bidi="ar-SA"/>
              </w:rPr>
            </w:pPr>
            <w:r>
              <w:rPr>
                <w:rFonts w:hint="default" w:ascii="Times New Roman" w:hAnsi="Times New Roman" w:cs="Times New Roman"/>
                <w:sz w:val="18"/>
                <w:szCs w:val="18"/>
                <w:vertAlign w:val="baseline"/>
                <w:lang w:val="en-US" w:eastAsia="zh-CN"/>
              </w:rPr>
              <w:t>4.27t/a</w:t>
            </w:r>
          </w:p>
        </w:tc>
        <w:tc>
          <w:tcPr>
            <w:tcW w:w="165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1359" w:type="dxa"/>
            <w:vMerge w:val="continue"/>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p>
        </w:tc>
        <w:tc>
          <w:tcPr>
            <w:tcW w:w="157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颗粒物</w:t>
            </w:r>
          </w:p>
        </w:tc>
        <w:tc>
          <w:tcPr>
            <w:tcW w:w="1851"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32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455"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vertAlign w:val="baseline"/>
                <w:lang w:val="en-US" w:eastAsia="zh-CN"/>
              </w:rPr>
              <w:t>13.82t/a</w:t>
            </w:r>
          </w:p>
        </w:tc>
        <w:tc>
          <w:tcPr>
            <w:tcW w:w="1695"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vertAlign w:val="baseline"/>
                <w:lang w:val="en-US" w:eastAsia="zh-CN" w:bidi="ar-SA"/>
              </w:rPr>
            </w:pPr>
            <w:r>
              <w:rPr>
                <w:rFonts w:hint="default" w:ascii="Times New Roman" w:hAnsi="Times New Roman" w:cs="Times New Roman"/>
                <w:sz w:val="18"/>
                <w:szCs w:val="18"/>
                <w:vertAlign w:val="baseline"/>
                <w:lang w:val="en-US" w:eastAsia="zh-CN"/>
              </w:rPr>
              <w:t>13.82t/a</w:t>
            </w:r>
          </w:p>
        </w:tc>
        <w:tc>
          <w:tcPr>
            <w:tcW w:w="150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vertAlign w:val="baseline"/>
                <w:lang w:val="en-US" w:eastAsia="zh-CN"/>
              </w:rPr>
              <w:t>/</w:t>
            </w:r>
          </w:p>
        </w:tc>
        <w:tc>
          <w:tcPr>
            <w:tcW w:w="181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vertAlign w:val="baseline"/>
                <w:lang w:val="en-US" w:eastAsia="zh-CN" w:bidi="ar-SA"/>
              </w:rPr>
            </w:pPr>
            <w:r>
              <w:rPr>
                <w:rFonts w:hint="default" w:ascii="Times New Roman" w:hAnsi="Times New Roman" w:cs="Times New Roman"/>
                <w:sz w:val="18"/>
                <w:szCs w:val="18"/>
                <w:vertAlign w:val="baseline"/>
                <w:lang w:val="en-US" w:eastAsia="zh-CN"/>
              </w:rPr>
              <w:t>13.82t/a</w:t>
            </w:r>
          </w:p>
        </w:tc>
        <w:tc>
          <w:tcPr>
            <w:tcW w:w="165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1359" w:type="dxa"/>
            <w:vMerge w:val="continue"/>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rPr>
            </w:pPr>
          </w:p>
        </w:tc>
        <w:tc>
          <w:tcPr>
            <w:tcW w:w="157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非甲烷总烃</w:t>
            </w:r>
          </w:p>
        </w:tc>
        <w:tc>
          <w:tcPr>
            <w:tcW w:w="1851"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32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455"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18"/>
                <w:szCs w:val="18"/>
                <w:vertAlign w:val="baseline"/>
                <w:lang w:val="en-US" w:eastAsia="zh-CN" w:bidi="ar-SA"/>
              </w:rPr>
            </w:pPr>
            <w:r>
              <w:rPr>
                <w:rFonts w:hint="default" w:ascii="Times New Roman" w:hAnsi="Times New Roman" w:cs="Times New Roman"/>
                <w:sz w:val="18"/>
                <w:szCs w:val="18"/>
                <w:vertAlign w:val="baseline"/>
                <w:lang w:val="en-US" w:eastAsia="zh-CN"/>
              </w:rPr>
              <w:t>0.005t/a</w:t>
            </w:r>
          </w:p>
        </w:tc>
        <w:tc>
          <w:tcPr>
            <w:tcW w:w="1695"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vertAlign w:val="baseline"/>
                <w:lang w:val="en-US" w:eastAsia="zh-CN" w:bidi="ar-SA"/>
              </w:rPr>
            </w:pPr>
            <w:r>
              <w:rPr>
                <w:rFonts w:hint="default" w:ascii="Times New Roman" w:hAnsi="Times New Roman" w:cs="Times New Roman"/>
                <w:sz w:val="18"/>
                <w:szCs w:val="18"/>
                <w:vertAlign w:val="baseline"/>
                <w:lang w:val="en-US" w:eastAsia="zh-CN"/>
              </w:rPr>
              <w:t>0.005t/a</w:t>
            </w:r>
          </w:p>
        </w:tc>
        <w:tc>
          <w:tcPr>
            <w:tcW w:w="150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18"/>
                <w:szCs w:val="18"/>
                <w:vertAlign w:val="baseline"/>
                <w:lang w:val="en-US" w:eastAsia="zh-CN" w:bidi="ar-SA"/>
              </w:rPr>
            </w:pPr>
            <w:r>
              <w:rPr>
                <w:rFonts w:hint="default" w:ascii="Times New Roman" w:hAnsi="Times New Roman" w:cs="Times New Roman"/>
                <w:sz w:val="18"/>
                <w:szCs w:val="18"/>
                <w:vertAlign w:val="baseline"/>
                <w:lang w:val="en-US" w:eastAsia="zh-CN"/>
              </w:rPr>
              <w:t>/</w:t>
            </w:r>
          </w:p>
        </w:tc>
        <w:tc>
          <w:tcPr>
            <w:tcW w:w="181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vertAlign w:val="baseline"/>
                <w:lang w:val="en-US" w:eastAsia="zh-CN" w:bidi="ar-SA"/>
              </w:rPr>
            </w:pPr>
            <w:r>
              <w:rPr>
                <w:rFonts w:hint="default" w:ascii="Times New Roman" w:hAnsi="Times New Roman" w:cs="Times New Roman"/>
                <w:sz w:val="18"/>
                <w:szCs w:val="18"/>
                <w:vertAlign w:val="baseline"/>
                <w:lang w:val="en-US" w:eastAsia="zh-CN"/>
              </w:rPr>
              <w:t>0.005t/a</w:t>
            </w:r>
          </w:p>
        </w:tc>
        <w:tc>
          <w:tcPr>
            <w:tcW w:w="165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4" w:hRule="atLeast"/>
          <w:jc w:val="center"/>
        </w:trPr>
        <w:tc>
          <w:tcPr>
            <w:tcW w:w="1359" w:type="dxa"/>
            <w:vMerge w:val="restar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废水</w:t>
            </w:r>
          </w:p>
        </w:tc>
        <w:tc>
          <w:tcPr>
            <w:tcW w:w="157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废水量</w:t>
            </w:r>
          </w:p>
        </w:tc>
        <w:tc>
          <w:tcPr>
            <w:tcW w:w="1851"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32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455"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18"/>
                <w:szCs w:val="18"/>
                <w:vertAlign w:val="baseline"/>
                <w:lang w:val="en-US" w:eastAsia="zh-CN" w:bidi="ar-SA"/>
              </w:rPr>
            </w:pPr>
            <w:r>
              <w:rPr>
                <w:rFonts w:hint="default" w:ascii="Times New Roman" w:hAnsi="Times New Roman" w:cs="Times New Roman"/>
                <w:sz w:val="18"/>
                <w:szCs w:val="18"/>
                <w:vertAlign w:val="baseline"/>
                <w:lang w:val="en-US" w:eastAsia="zh-CN"/>
              </w:rPr>
              <w:t>919.2t/a</w:t>
            </w:r>
          </w:p>
        </w:tc>
        <w:tc>
          <w:tcPr>
            <w:tcW w:w="1695"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vertAlign w:val="baseline"/>
                <w:lang w:val="en-US" w:eastAsia="zh-CN"/>
              </w:rPr>
              <w:t>919.2t/a</w:t>
            </w:r>
          </w:p>
        </w:tc>
        <w:tc>
          <w:tcPr>
            <w:tcW w:w="150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18"/>
                <w:szCs w:val="18"/>
                <w:vertAlign w:val="baseline"/>
                <w:lang w:val="en-US" w:eastAsia="zh-CN" w:bidi="ar-SA"/>
              </w:rPr>
            </w:pPr>
            <w:r>
              <w:rPr>
                <w:rFonts w:hint="default" w:ascii="Times New Roman" w:hAnsi="Times New Roman" w:cs="Times New Roman"/>
                <w:sz w:val="18"/>
                <w:szCs w:val="18"/>
                <w:vertAlign w:val="baseline"/>
                <w:lang w:val="en-US" w:eastAsia="zh-CN"/>
              </w:rPr>
              <w:t>/</w:t>
            </w:r>
          </w:p>
        </w:tc>
        <w:tc>
          <w:tcPr>
            <w:tcW w:w="181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vertAlign w:val="baseline"/>
                <w:lang w:val="en-US" w:eastAsia="zh-CN" w:bidi="ar-SA"/>
              </w:rPr>
            </w:pPr>
            <w:r>
              <w:rPr>
                <w:rFonts w:hint="default" w:ascii="Times New Roman" w:hAnsi="Times New Roman" w:cs="Times New Roman"/>
                <w:sz w:val="18"/>
                <w:szCs w:val="18"/>
                <w:vertAlign w:val="baseline"/>
                <w:lang w:val="en-US" w:eastAsia="zh-CN"/>
              </w:rPr>
              <w:t>919.2t/a</w:t>
            </w:r>
          </w:p>
        </w:tc>
        <w:tc>
          <w:tcPr>
            <w:tcW w:w="165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 w:hRule="atLeast"/>
          <w:jc w:val="center"/>
        </w:trPr>
        <w:tc>
          <w:tcPr>
            <w:tcW w:w="1359" w:type="dxa"/>
            <w:vMerge w:val="continue"/>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rPr>
            </w:pPr>
          </w:p>
        </w:tc>
        <w:tc>
          <w:tcPr>
            <w:tcW w:w="157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COD</w:t>
            </w:r>
            <w:r>
              <w:rPr>
                <w:rFonts w:hint="default" w:ascii="Times New Roman" w:hAnsi="Times New Roman" w:cs="Times New Roman"/>
                <w:sz w:val="21"/>
                <w:szCs w:val="21"/>
                <w:vertAlign w:val="subscript"/>
                <w:lang w:val="en-US" w:eastAsia="zh-CN"/>
              </w:rPr>
              <w:t>Cr</w:t>
            </w:r>
          </w:p>
        </w:tc>
        <w:tc>
          <w:tcPr>
            <w:tcW w:w="1851"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32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455"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18"/>
                <w:szCs w:val="18"/>
                <w:vertAlign w:val="baseline"/>
                <w:lang w:val="en-US" w:eastAsia="zh-CN" w:bidi="ar-SA"/>
              </w:rPr>
            </w:pPr>
            <w:r>
              <w:rPr>
                <w:rFonts w:hint="default" w:ascii="Times New Roman" w:hAnsi="Times New Roman" w:cs="Times New Roman"/>
                <w:sz w:val="18"/>
                <w:szCs w:val="18"/>
                <w:lang w:val="en-US" w:eastAsia="zh-CN"/>
              </w:rPr>
              <w:t>0.22</w:t>
            </w:r>
            <w:r>
              <w:rPr>
                <w:rFonts w:hint="default" w:ascii="Times New Roman" w:hAnsi="Times New Roman" w:cs="Times New Roman"/>
                <w:sz w:val="18"/>
                <w:szCs w:val="18"/>
                <w:vertAlign w:val="baseline"/>
                <w:lang w:val="en-US" w:eastAsia="zh-CN"/>
              </w:rPr>
              <w:t>t/a</w:t>
            </w:r>
            <w:r>
              <w:rPr>
                <w:rFonts w:hint="default" w:ascii="Times New Roman" w:hAnsi="Times New Roman" w:cs="Times New Roman"/>
                <w:sz w:val="18"/>
                <w:szCs w:val="18"/>
                <w:lang w:val="en-US" w:eastAsia="zh-CN"/>
              </w:rPr>
              <w:t xml:space="preserve"> </w:t>
            </w:r>
          </w:p>
        </w:tc>
        <w:tc>
          <w:tcPr>
            <w:tcW w:w="1695"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vertAlign w:val="baseline"/>
                <w:lang w:val="en-US" w:eastAsia="zh-CN" w:bidi="ar-SA"/>
              </w:rPr>
            </w:pPr>
            <w:r>
              <w:rPr>
                <w:rFonts w:hint="default" w:ascii="Times New Roman" w:hAnsi="Times New Roman" w:cs="Times New Roman"/>
                <w:sz w:val="18"/>
                <w:szCs w:val="18"/>
                <w:lang w:val="en-US" w:eastAsia="zh-CN"/>
              </w:rPr>
              <w:t>0.22</w:t>
            </w:r>
            <w:r>
              <w:rPr>
                <w:rFonts w:hint="default" w:ascii="Times New Roman" w:hAnsi="Times New Roman" w:cs="Times New Roman"/>
                <w:sz w:val="18"/>
                <w:szCs w:val="18"/>
                <w:vertAlign w:val="baseline"/>
                <w:lang w:val="en-US" w:eastAsia="zh-CN"/>
              </w:rPr>
              <w:t>t/a</w:t>
            </w:r>
            <w:r>
              <w:rPr>
                <w:rFonts w:hint="default" w:ascii="Times New Roman" w:hAnsi="Times New Roman" w:cs="Times New Roman"/>
                <w:sz w:val="18"/>
                <w:szCs w:val="18"/>
                <w:lang w:val="en-US" w:eastAsia="zh-CN"/>
              </w:rPr>
              <w:t xml:space="preserve"> </w:t>
            </w:r>
          </w:p>
        </w:tc>
        <w:tc>
          <w:tcPr>
            <w:tcW w:w="150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18"/>
                <w:szCs w:val="18"/>
                <w:vertAlign w:val="baseline"/>
                <w:lang w:val="en-US" w:eastAsia="zh-CN" w:bidi="ar-SA"/>
              </w:rPr>
            </w:pPr>
            <w:r>
              <w:rPr>
                <w:rFonts w:hint="default" w:ascii="Times New Roman" w:hAnsi="Times New Roman" w:cs="Times New Roman"/>
                <w:sz w:val="18"/>
                <w:szCs w:val="18"/>
                <w:vertAlign w:val="baseline"/>
                <w:lang w:val="en-US" w:eastAsia="zh-CN"/>
              </w:rPr>
              <w:t>/</w:t>
            </w:r>
          </w:p>
        </w:tc>
        <w:tc>
          <w:tcPr>
            <w:tcW w:w="181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vertAlign w:val="baseline"/>
                <w:lang w:val="en-US" w:eastAsia="zh-CN" w:bidi="ar-SA"/>
              </w:rPr>
            </w:pPr>
            <w:r>
              <w:rPr>
                <w:rFonts w:hint="default" w:ascii="Times New Roman" w:hAnsi="Times New Roman" w:cs="Times New Roman"/>
                <w:sz w:val="18"/>
                <w:szCs w:val="18"/>
                <w:lang w:val="en-US" w:eastAsia="zh-CN"/>
              </w:rPr>
              <w:t>0.22</w:t>
            </w:r>
            <w:r>
              <w:rPr>
                <w:rFonts w:hint="default" w:ascii="Times New Roman" w:hAnsi="Times New Roman" w:cs="Times New Roman"/>
                <w:sz w:val="18"/>
                <w:szCs w:val="18"/>
                <w:vertAlign w:val="baseline"/>
                <w:lang w:val="en-US" w:eastAsia="zh-CN"/>
              </w:rPr>
              <w:t>t/a</w:t>
            </w:r>
            <w:r>
              <w:rPr>
                <w:rFonts w:hint="default" w:ascii="Times New Roman" w:hAnsi="Times New Roman" w:cs="Times New Roman"/>
                <w:sz w:val="18"/>
                <w:szCs w:val="18"/>
                <w:lang w:val="en-US" w:eastAsia="zh-CN"/>
              </w:rPr>
              <w:t xml:space="preserve"> </w:t>
            </w:r>
          </w:p>
        </w:tc>
        <w:tc>
          <w:tcPr>
            <w:tcW w:w="165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 w:hRule="atLeast"/>
          <w:jc w:val="center"/>
        </w:trPr>
        <w:tc>
          <w:tcPr>
            <w:tcW w:w="1359" w:type="dxa"/>
            <w:vMerge w:val="continue"/>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p>
        </w:tc>
        <w:tc>
          <w:tcPr>
            <w:tcW w:w="157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氨氮</w:t>
            </w:r>
          </w:p>
        </w:tc>
        <w:tc>
          <w:tcPr>
            <w:tcW w:w="1851"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32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455"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18"/>
                <w:szCs w:val="18"/>
                <w:vertAlign w:val="baseline"/>
                <w:lang w:val="en-US" w:eastAsia="zh-CN" w:bidi="ar-SA"/>
              </w:rPr>
            </w:pPr>
            <w:r>
              <w:rPr>
                <w:rFonts w:hint="default" w:ascii="Times New Roman" w:hAnsi="Times New Roman" w:cs="Times New Roman"/>
                <w:sz w:val="18"/>
                <w:szCs w:val="18"/>
                <w:lang w:val="en-US" w:eastAsia="zh-CN"/>
              </w:rPr>
              <w:t>0.025</w:t>
            </w:r>
            <w:r>
              <w:rPr>
                <w:rFonts w:hint="default" w:ascii="Times New Roman" w:hAnsi="Times New Roman" w:cs="Times New Roman"/>
                <w:sz w:val="18"/>
                <w:szCs w:val="18"/>
                <w:vertAlign w:val="baseline"/>
                <w:lang w:val="en-US" w:eastAsia="zh-CN"/>
              </w:rPr>
              <w:t>t/a</w:t>
            </w:r>
            <w:r>
              <w:rPr>
                <w:rFonts w:hint="default" w:ascii="Times New Roman" w:hAnsi="Times New Roman" w:cs="Times New Roman"/>
                <w:sz w:val="18"/>
                <w:szCs w:val="18"/>
                <w:lang w:val="en-US" w:eastAsia="zh-CN"/>
              </w:rPr>
              <w:t xml:space="preserve"> </w:t>
            </w:r>
          </w:p>
        </w:tc>
        <w:tc>
          <w:tcPr>
            <w:tcW w:w="1695"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vertAlign w:val="baseline"/>
                <w:lang w:val="en-US" w:eastAsia="zh-CN" w:bidi="ar-SA"/>
              </w:rPr>
            </w:pPr>
            <w:r>
              <w:rPr>
                <w:rFonts w:hint="default" w:ascii="Times New Roman" w:hAnsi="Times New Roman" w:cs="Times New Roman"/>
                <w:sz w:val="18"/>
                <w:szCs w:val="18"/>
                <w:lang w:val="en-US" w:eastAsia="zh-CN"/>
              </w:rPr>
              <w:t>0.025</w:t>
            </w:r>
            <w:r>
              <w:rPr>
                <w:rFonts w:hint="default" w:ascii="Times New Roman" w:hAnsi="Times New Roman" w:cs="Times New Roman"/>
                <w:sz w:val="18"/>
                <w:szCs w:val="18"/>
                <w:vertAlign w:val="baseline"/>
                <w:lang w:val="en-US" w:eastAsia="zh-CN"/>
              </w:rPr>
              <w:t>t/a</w:t>
            </w:r>
            <w:r>
              <w:rPr>
                <w:rFonts w:hint="default" w:ascii="Times New Roman" w:hAnsi="Times New Roman" w:cs="Times New Roman"/>
                <w:sz w:val="18"/>
                <w:szCs w:val="18"/>
                <w:lang w:val="en-US" w:eastAsia="zh-CN"/>
              </w:rPr>
              <w:t xml:space="preserve"> </w:t>
            </w:r>
          </w:p>
        </w:tc>
        <w:tc>
          <w:tcPr>
            <w:tcW w:w="150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18"/>
                <w:szCs w:val="18"/>
                <w:vertAlign w:val="baseline"/>
                <w:lang w:val="en-US" w:eastAsia="zh-CN" w:bidi="ar-SA"/>
              </w:rPr>
            </w:pPr>
            <w:r>
              <w:rPr>
                <w:rFonts w:hint="default" w:ascii="Times New Roman" w:hAnsi="Times New Roman" w:cs="Times New Roman"/>
                <w:sz w:val="18"/>
                <w:szCs w:val="18"/>
                <w:vertAlign w:val="baseline"/>
                <w:lang w:val="en-US" w:eastAsia="zh-CN"/>
              </w:rPr>
              <w:t>/</w:t>
            </w:r>
          </w:p>
        </w:tc>
        <w:tc>
          <w:tcPr>
            <w:tcW w:w="181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vertAlign w:val="baseline"/>
                <w:lang w:val="en-US" w:eastAsia="zh-CN" w:bidi="ar-SA"/>
              </w:rPr>
            </w:pPr>
            <w:r>
              <w:rPr>
                <w:rFonts w:hint="default" w:ascii="Times New Roman" w:hAnsi="Times New Roman" w:cs="Times New Roman"/>
                <w:sz w:val="18"/>
                <w:szCs w:val="18"/>
                <w:lang w:val="en-US" w:eastAsia="zh-CN"/>
              </w:rPr>
              <w:t>0.025</w:t>
            </w:r>
            <w:r>
              <w:rPr>
                <w:rFonts w:hint="default" w:ascii="Times New Roman" w:hAnsi="Times New Roman" w:cs="Times New Roman"/>
                <w:sz w:val="18"/>
                <w:szCs w:val="18"/>
                <w:vertAlign w:val="baseline"/>
                <w:lang w:val="en-US" w:eastAsia="zh-CN"/>
              </w:rPr>
              <w:t>t/a</w:t>
            </w:r>
            <w:r>
              <w:rPr>
                <w:rFonts w:hint="default" w:ascii="Times New Roman" w:hAnsi="Times New Roman" w:cs="Times New Roman"/>
                <w:sz w:val="18"/>
                <w:szCs w:val="18"/>
                <w:lang w:val="en-US" w:eastAsia="zh-CN"/>
              </w:rPr>
              <w:t xml:space="preserve"> </w:t>
            </w:r>
          </w:p>
        </w:tc>
        <w:tc>
          <w:tcPr>
            <w:tcW w:w="165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1359" w:type="dxa"/>
            <w:vMerge w:val="restar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一般工业</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固体废物</w:t>
            </w:r>
          </w:p>
        </w:tc>
        <w:tc>
          <w:tcPr>
            <w:tcW w:w="157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生活垃圾</w:t>
            </w:r>
          </w:p>
        </w:tc>
        <w:tc>
          <w:tcPr>
            <w:tcW w:w="1851"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132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1455"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18"/>
                <w:szCs w:val="18"/>
                <w:vertAlign w:val="baseline"/>
                <w:lang w:val="en-US" w:eastAsia="zh-CN" w:bidi="ar-SA"/>
              </w:rPr>
            </w:pPr>
            <w:r>
              <w:rPr>
                <w:rFonts w:hint="default" w:ascii="Times New Roman" w:hAnsi="Times New Roman" w:cs="Times New Roman"/>
                <w:kern w:val="2"/>
                <w:sz w:val="18"/>
                <w:szCs w:val="18"/>
                <w:vertAlign w:val="baseline"/>
                <w:lang w:val="en-US" w:eastAsia="zh-CN" w:bidi="ar-SA"/>
              </w:rPr>
              <w:t>12.75t/a</w:t>
            </w:r>
          </w:p>
        </w:tc>
        <w:tc>
          <w:tcPr>
            <w:tcW w:w="1695"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vertAlign w:val="baseline"/>
                <w:lang w:val="en-US" w:eastAsia="zh-CN" w:bidi="ar-SA"/>
              </w:rPr>
            </w:pPr>
            <w:r>
              <w:rPr>
                <w:rFonts w:hint="default" w:ascii="Times New Roman" w:hAnsi="Times New Roman" w:cs="Times New Roman"/>
                <w:kern w:val="2"/>
                <w:sz w:val="18"/>
                <w:szCs w:val="18"/>
                <w:vertAlign w:val="baseline"/>
                <w:lang w:val="en-US" w:eastAsia="zh-CN" w:bidi="ar-SA"/>
              </w:rPr>
              <w:t>12.75t/a</w:t>
            </w:r>
          </w:p>
        </w:tc>
        <w:tc>
          <w:tcPr>
            <w:tcW w:w="150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18"/>
                <w:szCs w:val="18"/>
                <w:vertAlign w:val="baseline"/>
                <w:lang w:val="en-US" w:eastAsia="zh-CN" w:bidi="ar-SA"/>
              </w:rPr>
            </w:pPr>
            <w:r>
              <w:rPr>
                <w:rFonts w:hint="default" w:ascii="Times New Roman" w:hAnsi="Times New Roman" w:cs="Times New Roman"/>
                <w:sz w:val="18"/>
                <w:szCs w:val="18"/>
                <w:vertAlign w:val="baseline"/>
                <w:lang w:val="en-US" w:eastAsia="zh-CN"/>
              </w:rPr>
              <w:t>/</w:t>
            </w:r>
          </w:p>
        </w:tc>
        <w:tc>
          <w:tcPr>
            <w:tcW w:w="181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vertAlign w:val="baseline"/>
                <w:lang w:val="en-US" w:eastAsia="zh-CN" w:bidi="ar-SA"/>
              </w:rPr>
            </w:pPr>
            <w:r>
              <w:rPr>
                <w:rFonts w:hint="default" w:ascii="Times New Roman" w:hAnsi="Times New Roman" w:cs="Times New Roman"/>
                <w:kern w:val="2"/>
                <w:sz w:val="18"/>
                <w:szCs w:val="18"/>
                <w:vertAlign w:val="baseline"/>
                <w:lang w:val="en-US" w:eastAsia="zh-CN" w:bidi="ar-SA"/>
              </w:rPr>
              <w:t>12.75t/a</w:t>
            </w:r>
          </w:p>
        </w:tc>
        <w:tc>
          <w:tcPr>
            <w:tcW w:w="165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1359" w:type="dxa"/>
            <w:vMerge w:val="continue"/>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rPr>
            </w:pPr>
          </w:p>
        </w:tc>
        <w:tc>
          <w:tcPr>
            <w:tcW w:w="157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u w:val="none"/>
                <w:lang w:val="en-US" w:eastAsia="zh-CN" w:bidi="ar-SA"/>
              </w:rPr>
            </w:pPr>
            <w:r>
              <w:rPr>
                <w:rFonts w:hint="default" w:ascii="Times New Roman" w:hAnsi="Times New Roman" w:cs="Times New Roman"/>
                <w:sz w:val="21"/>
                <w:szCs w:val="21"/>
                <w:u w:val="none"/>
                <w:lang w:val="en-US" w:eastAsia="zh-CN"/>
              </w:rPr>
              <w:t>废包装材料</w:t>
            </w:r>
          </w:p>
        </w:tc>
        <w:tc>
          <w:tcPr>
            <w:tcW w:w="1851"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132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145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u w:val="none"/>
                <w:lang w:val="en-US" w:eastAsia="zh-CN" w:bidi="ar-SA"/>
              </w:rPr>
            </w:pPr>
            <w:r>
              <w:rPr>
                <w:rFonts w:hint="default" w:ascii="Times New Roman" w:hAnsi="Times New Roman" w:cs="Times New Roman"/>
                <w:sz w:val="18"/>
                <w:szCs w:val="18"/>
                <w:u w:val="none"/>
                <w:lang w:val="en-US" w:eastAsia="zh-CN"/>
              </w:rPr>
              <w:t>2.0</w:t>
            </w:r>
            <w:r>
              <w:rPr>
                <w:rFonts w:hint="default" w:ascii="Times New Roman" w:hAnsi="Times New Roman" w:cs="Times New Roman"/>
                <w:sz w:val="18"/>
                <w:szCs w:val="18"/>
                <w:lang w:val="en-US" w:eastAsia="zh-CN"/>
              </w:rPr>
              <w:t>t/a</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u w:val="none"/>
                <w:lang w:val="en-US" w:eastAsia="zh-CN" w:bidi="ar-SA"/>
              </w:rPr>
            </w:pPr>
            <w:r>
              <w:rPr>
                <w:rFonts w:hint="default" w:ascii="Times New Roman" w:hAnsi="Times New Roman" w:cs="Times New Roman"/>
                <w:sz w:val="18"/>
                <w:szCs w:val="18"/>
                <w:u w:val="none"/>
                <w:lang w:val="en-US" w:eastAsia="zh-CN"/>
              </w:rPr>
              <w:t>2.0</w:t>
            </w:r>
            <w:r>
              <w:rPr>
                <w:rFonts w:hint="default" w:ascii="Times New Roman" w:hAnsi="Times New Roman" w:cs="Times New Roman"/>
                <w:sz w:val="18"/>
                <w:szCs w:val="18"/>
                <w:lang w:val="en-US" w:eastAsia="zh-CN"/>
              </w:rPr>
              <w:t>t/a</w:t>
            </w:r>
          </w:p>
        </w:tc>
        <w:tc>
          <w:tcPr>
            <w:tcW w:w="150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vertAlign w:val="baseline"/>
                <w:lang w:val="en-US" w:eastAsia="zh-CN"/>
              </w:rPr>
              <w:t>/</w:t>
            </w:r>
          </w:p>
        </w:tc>
        <w:tc>
          <w:tcPr>
            <w:tcW w:w="181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u w:val="none"/>
                <w:lang w:val="en-US" w:eastAsia="zh-CN" w:bidi="ar-SA"/>
              </w:rPr>
            </w:pPr>
            <w:r>
              <w:rPr>
                <w:rFonts w:hint="default" w:ascii="Times New Roman" w:hAnsi="Times New Roman" w:cs="Times New Roman"/>
                <w:sz w:val="18"/>
                <w:szCs w:val="18"/>
                <w:u w:val="none"/>
                <w:lang w:val="en-US" w:eastAsia="zh-CN"/>
              </w:rPr>
              <w:t>2.0</w:t>
            </w:r>
            <w:r>
              <w:rPr>
                <w:rFonts w:hint="default" w:ascii="Times New Roman" w:hAnsi="Times New Roman" w:cs="Times New Roman"/>
                <w:sz w:val="18"/>
                <w:szCs w:val="18"/>
                <w:lang w:val="en-US" w:eastAsia="zh-CN"/>
              </w:rPr>
              <w:t>t/a</w:t>
            </w:r>
          </w:p>
        </w:tc>
        <w:tc>
          <w:tcPr>
            <w:tcW w:w="165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1359" w:type="dxa"/>
            <w:vMerge w:val="continue"/>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rPr>
            </w:pPr>
          </w:p>
        </w:tc>
        <w:tc>
          <w:tcPr>
            <w:tcW w:w="157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u w:val="none"/>
                <w:lang w:val="en-US" w:eastAsia="zh-CN" w:bidi="ar-SA"/>
              </w:rPr>
            </w:pPr>
            <w:r>
              <w:rPr>
                <w:rFonts w:hint="default" w:ascii="Times New Roman" w:hAnsi="Times New Roman" w:cs="Times New Roman"/>
                <w:sz w:val="21"/>
                <w:szCs w:val="21"/>
                <w:u w:val="none"/>
                <w:lang w:val="en-US" w:eastAsia="zh-CN"/>
              </w:rPr>
              <w:t>不合格产品</w:t>
            </w:r>
          </w:p>
        </w:tc>
        <w:tc>
          <w:tcPr>
            <w:tcW w:w="1851"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32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c>
          <w:tcPr>
            <w:tcW w:w="145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u w:val="none"/>
                <w:lang w:val="en-US" w:eastAsia="zh-CN" w:bidi="ar-SA"/>
              </w:rPr>
            </w:pPr>
            <w:r>
              <w:rPr>
                <w:rFonts w:hint="default" w:ascii="Times New Roman" w:hAnsi="Times New Roman" w:cs="Times New Roman"/>
                <w:sz w:val="18"/>
                <w:szCs w:val="18"/>
                <w:u w:val="none"/>
                <w:lang w:val="en-US" w:eastAsia="zh-CN"/>
              </w:rPr>
              <w:t>98</w:t>
            </w:r>
            <w:r>
              <w:rPr>
                <w:rFonts w:hint="default" w:ascii="Times New Roman" w:hAnsi="Times New Roman" w:cs="Times New Roman"/>
                <w:sz w:val="18"/>
                <w:szCs w:val="18"/>
                <w:lang w:val="en-US" w:eastAsia="zh-CN"/>
              </w:rPr>
              <w:t>t/a</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u w:val="none"/>
                <w:lang w:val="en-US" w:eastAsia="zh-CN" w:bidi="ar-SA"/>
              </w:rPr>
            </w:pPr>
            <w:r>
              <w:rPr>
                <w:rFonts w:hint="default" w:ascii="Times New Roman" w:hAnsi="Times New Roman" w:cs="Times New Roman"/>
                <w:sz w:val="18"/>
                <w:szCs w:val="18"/>
                <w:u w:val="none"/>
                <w:lang w:val="en-US" w:eastAsia="zh-CN"/>
              </w:rPr>
              <w:t>98</w:t>
            </w:r>
            <w:r>
              <w:rPr>
                <w:rFonts w:hint="default" w:ascii="Times New Roman" w:hAnsi="Times New Roman" w:cs="Times New Roman"/>
                <w:sz w:val="18"/>
                <w:szCs w:val="18"/>
                <w:lang w:val="en-US" w:eastAsia="zh-CN"/>
              </w:rPr>
              <w:t>t/a</w:t>
            </w:r>
          </w:p>
        </w:tc>
        <w:tc>
          <w:tcPr>
            <w:tcW w:w="150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vertAlign w:val="baseline"/>
                <w:lang w:val="en-US" w:eastAsia="zh-CN"/>
              </w:rPr>
              <w:t>/</w:t>
            </w:r>
          </w:p>
        </w:tc>
        <w:tc>
          <w:tcPr>
            <w:tcW w:w="181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u w:val="none"/>
                <w:lang w:val="en-US" w:eastAsia="zh-CN" w:bidi="ar-SA"/>
              </w:rPr>
            </w:pPr>
            <w:r>
              <w:rPr>
                <w:rFonts w:hint="default" w:ascii="Times New Roman" w:hAnsi="Times New Roman" w:cs="Times New Roman"/>
                <w:sz w:val="18"/>
                <w:szCs w:val="18"/>
                <w:u w:val="none"/>
                <w:lang w:val="en-US" w:eastAsia="zh-CN"/>
              </w:rPr>
              <w:t>98</w:t>
            </w:r>
            <w:r>
              <w:rPr>
                <w:rFonts w:hint="default" w:ascii="Times New Roman" w:hAnsi="Times New Roman" w:cs="Times New Roman"/>
                <w:sz w:val="18"/>
                <w:szCs w:val="18"/>
                <w:lang w:val="en-US" w:eastAsia="zh-CN"/>
              </w:rPr>
              <w:t>t/a</w:t>
            </w:r>
          </w:p>
        </w:tc>
        <w:tc>
          <w:tcPr>
            <w:tcW w:w="165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1359" w:type="dxa"/>
            <w:vMerge w:val="continue"/>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rPr>
            </w:pPr>
          </w:p>
        </w:tc>
        <w:tc>
          <w:tcPr>
            <w:tcW w:w="157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u w:val="none"/>
                <w:lang w:val="en-US" w:eastAsia="zh-CN" w:bidi="ar-SA"/>
              </w:rPr>
            </w:pPr>
            <w:r>
              <w:rPr>
                <w:rFonts w:hint="default" w:ascii="Times New Roman" w:hAnsi="Times New Roman" w:cs="Times New Roman"/>
                <w:sz w:val="21"/>
                <w:szCs w:val="21"/>
                <w:u w:val="none"/>
                <w:lang w:val="en-US" w:eastAsia="zh-CN"/>
              </w:rPr>
              <w:t>粉尘</w:t>
            </w:r>
          </w:p>
        </w:tc>
        <w:tc>
          <w:tcPr>
            <w:tcW w:w="1851"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132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p>
        </w:tc>
        <w:tc>
          <w:tcPr>
            <w:tcW w:w="145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u w:val="none"/>
                <w:lang w:val="en-US" w:eastAsia="zh-CN" w:bidi="ar-SA"/>
              </w:rPr>
            </w:pPr>
            <w:r>
              <w:rPr>
                <w:rFonts w:hint="default" w:ascii="Times New Roman" w:hAnsi="Times New Roman" w:cs="Times New Roman"/>
                <w:sz w:val="18"/>
                <w:szCs w:val="18"/>
                <w:u w:val="none"/>
                <w:lang w:val="en-US" w:eastAsia="zh-CN"/>
              </w:rPr>
              <w:t>2034.07</w:t>
            </w:r>
            <w:r>
              <w:rPr>
                <w:rFonts w:hint="default" w:ascii="Times New Roman" w:hAnsi="Times New Roman" w:cs="Times New Roman"/>
                <w:sz w:val="18"/>
                <w:szCs w:val="18"/>
                <w:lang w:val="en-US" w:eastAsia="zh-CN"/>
              </w:rPr>
              <w:t>t/a</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u w:val="none"/>
                <w:lang w:val="en-US" w:eastAsia="zh-CN" w:bidi="ar-SA"/>
              </w:rPr>
            </w:pPr>
            <w:r>
              <w:rPr>
                <w:rFonts w:hint="default" w:ascii="Times New Roman" w:hAnsi="Times New Roman" w:cs="Times New Roman"/>
                <w:sz w:val="18"/>
                <w:szCs w:val="18"/>
                <w:u w:val="none"/>
                <w:lang w:val="en-US" w:eastAsia="zh-CN"/>
              </w:rPr>
              <w:t>2034.07</w:t>
            </w:r>
            <w:r>
              <w:rPr>
                <w:rFonts w:hint="default" w:ascii="Times New Roman" w:hAnsi="Times New Roman" w:cs="Times New Roman"/>
                <w:sz w:val="18"/>
                <w:szCs w:val="18"/>
                <w:lang w:val="en-US" w:eastAsia="zh-CN"/>
              </w:rPr>
              <w:t>t/a</w:t>
            </w:r>
          </w:p>
        </w:tc>
        <w:tc>
          <w:tcPr>
            <w:tcW w:w="150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vertAlign w:val="baseline"/>
                <w:lang w:val="en-US" w:eastAsia="zh-CN"/>
              </w:rPr>
            </w:pPr>
          </w:p>
        </w:tc>
        <w:tc>
          <w:tcPr>
            <w:tcW w:w="181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u w:val="none"/>
                <w:lang w:val="en-US" w:eastAsia="zh-CN" w:bidi="ar-SA"/>
              </w:rPr>
            </w:pPr>
            <w:r>
              <w:rPr>
                <w:rFonts w:hint="default" w:ascii="Times New Roman" w:hAnsi="Times New Roman" w:cs="Times New Roman"/>
                <w:sz w:val="18"/>
                <w:szCs w:val="18"/>
                <w:u w:val="none"/>
                <w:lang w:val="en-US" w:eastAsia="zh-CN"/>
              </w:rPr>
              <w:t>2034.07</w:t>
            </w:r>
            <w:r>
              <w:rPr>
                <w:rFonts w:hint="default" w:ascii="Times New Roman" w:hAnsi="Times New Roman" w:cs="Times New Roman"/>
                <w:sz w:val="18"/>
                <w:szCs w:val="18"/>
                <w:lang w:val="en-US" w:eastAsia="zh-CN"/>
              </w:rPr>
              <w:t>t/a</w:t>
            </w:r>
          </w:p>
        </w:tc>
        <w:tc>
          <w:tcPr>
            <w:tcW w:w="165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1359" w:type="dxa"/>
            <w:vMerge w:val="continue"/>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rPr>
            </w:pPr>
          </w:p>
        </w:tc>
        <w:tc>
          <w:tcPr>
            <w:tcW w:w="1576"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u w:val="none"/>
                <w:lang w:val="en-US" w:eastAsia="zh-CN" w:bidi="ar-SA"/>
              </w:rPr>
            </w:pPr>
            <w:r>
              <w:rPr>
                <w:rFonts w:hint="default" w:ascii="Times New Roman" w:hAnsi="Times New Roman" w:cs="Times New Roman"/>
                <w:sz w:val="21"/>
                <w:szCs w:val="21"/>
                <w:u w:val="none"/>
                <w:lang w:val="en-US" w:eastAsia="zh-CN"/>
              </w:rPr>
              <w:t>沉淀池沉渣</w:t>
            </w:r>
          </w:p>
        </w:tc>
        <w:tc>
          <w:tcPr>
            <w:tcW w:w="1851"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132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p>
        </w:tc>
        <w:tc>
          <w:tcPr>
            <w:tcW w:w="145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u w:val="none"/>
                <w:lang w:val="en-US" w:eastAsia="zh-CN" w:bidi="ar-SA"/>
              </w:rPr>
            </w:pPr>
            <w:r>
              <w:rPr>
                <w:rFonts w:hint="default" w:ascii="Times New Roman" w:hAnsi="Times New Roman" w:eastAsia="宋体" w:cs="Times New Roman"/>
                <w:sz w:val="18"/>
                <w:szCs w:val="18"/>
                <w:lang w:val="en-US" w:eastAsia="zh-CN"/>
              </w:rPr>
              <w:t>0.5</w:t>
            </w:r>
            <w:r>
              <w:rPr>
                <w:rFonts w:hint="default" w:ascii="Times New Roman" w:hAnsi="Times New Roman" w:cs="Times New Roman"/>
                <w:sz w:val="18"/>
                <w:szCs w:val="18"/>
                <w:lang w:val="en-US" w:eastAsia="zh-CN"/>
              </w:rPr>
              <w:t>t/a</w:t>
            </w:r>
          </w:p>
        </w:tc>
        <w:tc>
          <w:tcPr>
            <w:tcW w:w="169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u w:val="none"/>
                <w:lang w:val="en-US" w:eastAsia="zh-CN" w:bidi="ar-SA"/>
              </w:rPr>
            </w:pPr>
            <w:r>
              <w:rPr>
                <w:rFonts w:hint="default" w:ascii="Times New Roman" w:hAnsi="Times New Roman" w:eastAsia="宋体" w:cs="Times New Roman"/>
                <w:sz w:val="18"/>
                <w:szCs w:val="18"/>
                <w:lang w:val="en-US" w:eastAsia="zh-CN"/>
              </w:rPr>
              <w:t>0.5</w:t>
            </w:r>
            <w:r>
              <w:rPr>
                <w:rFonts w:hint="default" w:ascii="Times New Roman" w:hAnsi="Times New Roman" w:cs="Times New Roman"/>
                <w:sz w:val="18"/>
                <w:szCs w:val="18"/>
                <w:lang w:val="en-US" w:eastAsia="zh-CN"/>
              </w:rPr>
              <w:t>t/a</w:t>
            </w:r>
          </w:p>
        </w:tc>
        <w:tc>
          <w:tcPr>
            <w:tcW w:w="150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vertAlign w:val="baseline"/>
                <w:lang w:val="en-US" w:eastAsia="zh-CN"/>
              </w:rPr>
              <w:t>/</w:t>
            </w:r>
          </w:p>
        </w:tc>
        <w:tc>
          <w:tcPr>
            <w:tcW w:w="181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18"/>
                <w:szCs w:val="18"/>
                <w:u w:val="none"/>
                <w:lang w:val="en-US" w:eastAsia="zh-CN" w:bidi="ar-SA"/>
              </w:rPr>
            </w:pPr>
            <w:r>
              <w:rPr>
                <w:rFonts w:hint="default" w:ascii="Times New Roman" w:hAnsi="Times New Roman" w:eastAsia="宋体" w:cs="Times New Roman"/>
                <w:sz w:val="18"/>
                <w:szCs w:val="18"/>
                <w:lang w:val="en-US" w:eastAsia="zh-CN"/>
              </w:rPr>
              <w:t>0.5</w:t>
            </w:r>
            <w:r>
              <w:rPr>
                <w:rFonts w:hint="default" w:ascii="Times New Roman" w:hAnsi="Times New Roman" w:cs="Times New Roman"/>
                <w:sz w:val="18"/>
                <w:szCs w:val="18"/>
                <w:lang w:val="en-US" w:eastAsia="zh-CN"/>
              </w:rPr>
              <w:t>t/a</w:t>
            </w:r>
          </w:p>
        </w:tc>
        <w:tc>
          <w:tcPr>
            <w:tcW w:w="165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59" w:type="dxa"/>
            <w:vMerge w:val="restar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危险废物</w:t>
            </w:r>
          </w:p>
        </w:tc>
        <w:tc>
          <w:tcPr>
            <w:tcW w:w="1576" w:type="dxa"/>
            <w:vAlign w:val="center"/>
          </w:tcPr>
          <w:p>
            <w:pPr>
              <w:pStyle w:val="34"/>
              <w:ind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废油墨盒</w:t>
            </w:r>
          </w:p>
        </w:tc>
        <w:tc>
          <w:tcPr>
            <w:tcW w:w="1851"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132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1455" w:type="dxa"/>
            <w:vAlign w:val="center"/>
          </w:tcPr>
          <w:p>
            <w:pPr>
              <w:pStyle w:val="34"/>
              <w:ind w:firstLine="0" w:firstLineChars="0"/>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sz w:val="18"/>
                <w:szCs w:val="18"/>
                <w:lang w:val="en-US" w:eastAsia="zh-CN"/>
              </w:rPr>
              <w:t>0.0</w:t>
            </w:r>
            <w:r>
              <w:rPr>
                <w:rFonts w:hint="default" w:ascii="Times New Roman" w:hAnsi="Times New Roman" w:cs="Times New Roman"/>
                <w:sz w:val="18"/>
                <w:szCs w:val="18"/>
                <w:lang w:val="en-US" w:eastAsia="zh-CN"/>
              </w:rPr>
              <w:t>2t/a</w:t>
            </w:r>
          </w:p>
        </w:tc>
        <w:tc>
          <w:tcPr>
            <w:tcW w:w="1695" w:type="dxa"/>
            <w:vAlign w:val="center"/>
          </w:tcPr>
          <w:p>
            <w:pPr>
              <w:pStyle w:val="34"/>
              <w:ind w:firstLine="0" w:firstLineChars="0"/>
              <w:jc w:val="center"/>
              <w:rPr>
                <w:rFonts w:hint="default" w:ascii="Times New Roman" w:hAnsi="Times New Roman" w:eastAsia="宋体" w:cs="Times New Roman"/>
                <w:kern w:val="2"/>
                <w:sz w:val="18"/>
                <w:szCs w:val="18"/>
                <w:vertAlign w:val="baseline"/>
                <w:lang w:val="en-US" w:eastAsia="zh-CN" w:bidi="ar-SA"/>
              </w:rPr>
            </w:pPr>
            <w:r>
              <w:rPr>
                <w:rFonts w:hint="default" w:ascii="Times New Roman" w:hAnsi="Times New Roman" w:eastAsia="宋体" w:cs="Times New Roman"/>
                <w:sz w:val="18"/>
                <w:szCs w:val="18"/>
                <w:lang w:val="en-US" w:eastAsia="zh-CN"/>
              </w:rPr>
              <w:t>0.0</w:t>
            </w:r>
            <w:r>
              <w:rPr>
                <w:rFonts w:hint="default" w:ascii="Times New Roman" w:hAnsi="Times New Roman" w:cs="Times New Roman"/>
                <w:sz w:val="18"/>
                <w:szCs w:val="18"/>
                <w:lang w:val="en-US" w:eastAsia="zh-CN"/>
              </w:rPr>
              <w:t>2t/a</w:t>
            </w:r>
          </w:p>
        </w:tc>
        <w:tc>
          <w:tcPr>
            <w:tcW w:w="150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18"/>
                <w:szCs w:val="18"/>
                <w:vertAlign w:val="baseline"/>
                <w:lang w:val="en-US" w:eastAsia="zh-CN" w:bidi="ar-SA"/>
              </w:rPr>
            </w:pPr>
            <w:r>
              <w:rPr>
                <w:rFonts w:hint="default" w:ascii="Times New Roman" w:hAnsi="Times New Roman" w:cs="Times New Roman"/>
                <w:sz w:val="18"/>
                <w:szCs w:val="18"/>
                <w:vertAlign w:val="baseline"/>
                <w:lang w:val="en-US" w:eastAsia="zh-CN"/>
              </w:rPr>
              <w:t>/</w:t>
            </w:r>
          </w:p>
        </w:tc>
        <w:tc>
          <w:tcPr>
            <w:tcW w:w="1813" w:type="dxa"/>
            <w:vAlign w:val="center"/>
          </w:tcPr>
          <w:p>
            <w:pPr>
              <w:pStyle w:val="34"/>
              <w:ind w:firstLine="0" w:firstLineChars="0"/>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sz w:val="18"/>
                <w:szCs w:val="18"/>
                <w:lang w:val="en-US" w:eastAsia="zh-CN"/>
              </w:rPr>
              <w:t>0.0</w:t>
            </w:r>
            <w:r>
              <w:rPr>
                <w:rFonts w:hint="default" w:ascii="Times New Roman" w:hAnsi="Times New Roman" w:cs="Times New Roman"/>
                <w:sz w:val="18"/>
                <w:szCs w:val="18"/>
                <w:lang w:val="en-US" w:eastAsia="zh-CN"/>
              </w:rPr>
              <w:t>2t/a</w:t>
            </w:r>
          </w:p>
        </w:tc>
        <w:tc>
          <w:tcPr>
            <w:tcW w:w="165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59" w:type="dxa"/>
            <w:vMerge w:val="continue"/>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rPr>
            </w:pPr>
          </w:p>
        </w:tc>
        <w:tc>
          <w:tcPr>
            <w:tcW w:w="1576" w:type="dxa"/>
            <w:vAlign w:val="center"/>
          </w:tcPr>
          <w:p>
            <w:pPr>
              <w:pStyle w:val="34"/>
              <w:ind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废矿物油</w:t>
            </w:r>
          </w:p>
        </w:tc>
        <w:tc>
          <w:tcPr>
            <w:tcW w:w="1851"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1326"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1455" w:type="dxa"/>
            <w:vAlign w:val="center"/>
          </w:tcPr>
          <w:p>
            <w:pPr>
              <w:pStyle w:val="34"/>
              <w:ind w:firstLine="0" w:firstLineChars="0"/>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sz w:val="18"/>
                <w:szCs w:val="18"/>
                <w:lang w:val="en-US" w:eastAsia="zh-CN"/>
              </w:rPr>
              <w:t>0.5</w:t>
            </w:r>
            <w:r>
              <w:rPr>
                <w:rFonts w:hint="default" w:ascii="Times New Roman" w:hAnsi="Times New Roman" w:cs="Times New Roman"/>
                <w:sz w:val="18"/>
                <w:szCs w:val="18"/>
                <w:lang w:val="en-US" w:eastAsia="zh-CN"/>
              </w:rPr>
              <w:t>t/a</w:t>
            </w:r>
          </w:p>
        </w:tc>
        <w:tc>
          <w:tcPr>
            <w:tcW w:w="1695" w:type="dxa"/>
            <w:vAlign w:val="center"/>
          </w:tcPr>
          <w:p>
            <w:pPr>
              <w:pStyle w:val="34"/>
              <w:ind w:firstLine="0" w:firstLineChars="0"/>
              <w:jc w:val="center"/>
              <w:rPr>
                <w:rFonts w:hint="default" w:ascii="Times New Roman" w:hAnsi="Times New Roman" w:eastAsia="宋体" w:cs="Times New Roman"/>
                <w:kern w:val="2"/>
                <w:sz w:val="18"/>
                <w:szCs w:val="18"/>
                <w:vertAlign w:val="baseline"/>
                <w:lang w:val="en-US" w:eastAsia="zh-CN" w:bidi="ar-SA"/>
              </w:rPr>
            </w:pPr>
            <w:r>
              <w:rPr>
                <w:rFonts w:hint="default" w:ascii="Times New Roman" w:hAnsi="Times New Roman" w:eastAsia="宋体" w:cs="Times New Roman"/>
                <w:sz w:val="18"/>
                <w:szCs w:val="18"/>
                <w:lang w:val="en-US" w:eastAsia="zh-CN"/>
              </w:rPr>
              <w:t>0.5</w:t>
            </w:r>
            <w:r>
              <w:rPr>
                <w:rFonts w:hint="default" w:ascii="Times New Roman" w:hAnsi="Times New Roman" w:cs="Times New Roman"/>
                <w:sz w:val="18"/>
                <w:szCs w:val="18"/>
                <w:lang w:val="en-US" w:eastAsia="zh-CN"/>
              </w:rPr>
              <w:t>t/a</w:t>
            </w:r>
          </w:p>
        </w:tc>
        <w:tc>
          <w:tcPr>
            <w:tcW w:w="1500"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18"/>
                <w:szCs w:val="18"/>
                <w:vertAlign w:val="baseline"/>
                <w:lang w:val="en-US" w:eastAsia="zh-CN" w:bidi="ar-SA"/>
              </w:rPr>
            </w:pPr>
            <w:r>
              <w:rPr>
                <w:rFonts w:hint="default" w:ascii="Times New Roman" w:hAnsi="Times New Roman" w:cs="Times New Roman"/>
                <w:sz w:val="18"/>
                <w:szCs w:val="18"/>
                <w:vertAlign w:val="baseline"/>
                <w:lang w:val="en-US" w:eastAsia="zh-CN"/>
              </w:rPr>
              <w:t>/</w:t>
            </w:r>
          </w:p>
        </w:tc>
        <w:tc>
          <w:tcPr>
            <w:tcW w:w="1813" w:type="dxa"/>
            <w:vAlign w:val="center"/>
          </w:tcPr>
          <w:p>
            <w:pPr>
              <w:pStyle w:val="34"/>
              <w:ind w:firstLine="0" w:firstLineChars="0"/>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sz w:val="18"/>
                <w:szCs w:val="18"/>
                <w:lang w:val="en-US" w:eastAsia="zh-CN"/>
              </w:rPr>
              <w:t>0.5</w:t>
            </w:r>
            <w:r>
              <w:rPr>
                <w:rFonts w:hint="default" w:ascii="Times New Roman" w:hAnsi="Times New Roman" w:cs="Times New Roman"/>
                <w:sz w:val="18"/>
                <w:szCs w:val="18"/>
                <w:lang w:val="en-US" w:eastAsia="zh-CN"/>
              </w:rPr>
              <w:t>t/a</w:t>
            </w:r>
          </w:p>
        </w:tc>
        <w:tc>
          <w:tcPr>
            <w:tcW w:w="165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59" w:type="dxa"/>
            <w:vMerge w:val="continue"/>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rPr>
            </w:pPr>
          </w:p>
        </w:tc>
        <w:tc>
          <w:tcPr>
            <w:tcW w:w="0" w:type="auto"/>
            <w:vAlign w:val="center"/>
          </w:tcPr>
          <w:p>
            <w:pPr>
              <w:pStyle w:val="34"/>
              <w:ind w:firstLine="0"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含油抹布</w:t>
            </w:r>
          </w:p>
        </w:tc>
        <w:tc>
          <w:tcPr>
            <w:tcW w:w="0" w:type="auto"/>
          </w:tcPr>
          <w:p>
            <w:pPr>
              <w:keepNext w:val="0"/>
              <w:keepLines w:val="0"/>
              <w:pageBreakBefore w:val="0"/>
              <w:widowControl/>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0" w:type="auto"/>
          </w:tcPr>
          <w:p>
            <w:pPr>
              <w:keepNext w:val="0"/>
              <w:keepLines w:val="0"/>
              <w:pageBreakBefore w:val="0"/>
              <w:widowControl/>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c>
          <w:tcPr>
            <w:tcW w:w="0" w:type="auto"/>
            <w:vAlign w:val="center"/>
          </w:tcPr>
          <w:p>
            <w:pPr>
              <w:pStyle w:val="34"/>
              <w:ind w:firstLine="0" w:firstLineChars="0"/>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sz w:val="18"/>
                <w:szCs w:val="18"/>
                <w:lang w:val="en-US" w:eastAsia="zh-CN"/>
              </w:rPr>
              <w:t>0.05</w:t>
            </w:r>
            <w:r>
              <w:rPr>
                <w:rFonts w:hint="default" w:ascii="Times New Roman" w:hAnsi="Times New Roman" w:cs="Times New Roman"/>
                <w:sz w:val="18"/>
                <w:szCs w:val="18"/>
                <w:lang w:val="en-US" w:eastAsia="zh-CN"/>
              </w:rPr>
              <w:t>t/a</w:t>
            </w:r>
          </w:p>
        </w:tc>
        <w:tc>
          <w:tcPr>
            <w:tcW w:w="1695" w:type="dxa"/>
            <w:vAlign w:val="center"/>
          </w:tcPr>
          <w:p>
            <w:pPr>
              <w:pStyle w:val="34"/>
              <w:ind w:firstLine="0" w:firstLineChars="0"/>
              <w:jc w:val="center"/>
              <w:rPr>
                <w:rFonts w:hint="default" w:ascii="Times New Roman" w:hAnsi="Times New Roman" w:eastAsia="宋体" w:cs="Times New Roman"/>
                <w:kern w:val="2"/>
                <w:sz w:val="18"/>
                <w:szCs w:val="18"/>
                <w:vertAlign w:val="baseline"/>
                <w:lang w:val="en-US" w:eastAsia="zh-CN" w:bidi="ar-SA"/>
              </w:rPr>
            </w:pPr>
            <w:r>
              <w:rPr>
                <w:rFonts w:hint="default" w:ascii="Times New Roman" w:hAnsi="Times New Roman" w:eastAsia="宋体" w:cs="Times New Roman"/>
                <w:sz w:val="18"/>
                <w:szCs w:val="18"/>
                <w:lang w:val="en-US" w:eastAsia="zh-CN"/>
              </w:rPr>
              <w:t>0.05</w:t>
            </w:r>
            <w:r>
              <w:rPr>
                <w:rFonts w:hint="default" w:ascii="Times New Roman" w:hAnsi="Times New Roman" w:cs="Times New Roman"/>
                <w:sz w:val="18"/>
                <w:szCs w:val="18"/>
                <w:lang w:val="en-US" w:eastAsia="zh-CN"/>
              </w:rPr>
              <w:t>t/a</w:t>
            </w:r>
          </w:p>
        </w:tc>
        <w:tc>
          <w:tcPr>
            <w:tcW w:w="0" w:type="auto"/>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18"/>
                <w:szCs w:val="18"/>
                <w:vertAlign w:val="baseline"/>
                <w:lang w:val="en-US" w:eastAsia="zh-CN" w:bidi="ar-SA"/>
              </w:rPr>
            </w:pPr>
          </w:p>
        </w:tc>
        <w:tc>
          <w:tcPr>
            <w:tcW w:w="0" w:type="auto"/>
            <w:vAlign w:val="center"/>
          </w:tcPr>
          <w:p>
            <w:pPr>
              <w:pStyle w:val="34"/>
              <w:ind w:firstLine="0" w:firstLineChars="0"/>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sz w:val="18"/>
                <w:szCs w:val="18"/>
                <w:lang w:val="en-US" w:eastAsia="zh-CN"/>
              </w:rPr>
              <w:t>0.05</w:t>
            </w:r>
            <w:r>
              <w:rPr>
                <w:rFonts w:hint="default" w:ascii="Times New Roman" w:hAnsi="Times New Roman" w:cs="Times New Roman"/>
                <w:sz w:val="18"/>
                <w:szCs w:val="18"/>
                <w:lang w:val="en-US" w:eastAsia="zh-CN"/>
              </w:rPr>
              <w:t>t/a</w:t>
            </w:r>
          </w:p>
        </w:tc>
        <w:tc>
          <w:tcPr>
            <w:tcW w:w="1653" w:type="dxa"/>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cs="Times New Roman"/>
                <w:sz w:val="21"/>
                <w:szCs w:val="21"/>
                <w:vertAlign w:val="baseline"/>
                <w:lang w:val="en-US" w:eastAsia="zh-CN"/>
              </w:rPr>
              <w:t>/</w:t>
            </w:r>
          </w:p>
        </w:tc>
      </w:tr>
    </w:tbl>
    <w:p>
      <w:pPr>
        <w:jc w:val="left"/>
        <w:rPr>
          <w:rFonts w:hint="default" w:ascii="Times New Roman" w:hAnsi="Times New Roman" w:cs="Times New Roman"/>
          <w:lang w:val="en-US" w:eastAsia="zh-CN"/>
        </w:rPr>
      </w:pPr>
      <w:r>
        <w:rPr>
          <w:rFonts w:hint="default" w:ascii="Times New Roman" w:hAnsi="Times New Roman" w:cs="Times New Roman"/>
          <w:lang w:val="en-US" w:eastAsia="zh-CN"/>
        </w:rPr>
        <w:t>注：⑥=①+③+④-⑤；⑦=⑥-①</w:t>
      </w:r>
    </w:p>
    <w:p>
      <w:pPr>
        <w:pStyle w:val="2"/>
        <w:rPr>
          <w:rFonts w:hint="default" w:ascii="Times New Roman" w:hAnsi="Times New Roman" w:cs="Times New Roman"/>
          <w:lang w:val="en-US" w:eastAsia="zh-CN"/>
        </w:rPr>
      </w:pPr>
    </w:p>
    <w:p>
      <w:pPr>
        <w:pStyle w:val="2"/>
        <w:rPr>
          <w:rFonts w:hint="default" w:ascii="Times New Roman" w:hAnsi="Times New Roman" w:cs="Times New Roman"/>
          <w:lang w:val="en-US" w:eastAsia="zh-CN"/>
        </w:rPr>
      </w:pPr>
    </w:p>
    <w:p>
      <w:pPr>
        <w:pStyle w:val="2"/>
        <w:rPr>
          <w:rFonts w:hint="default" w:ascii="Times New Roman" w:hAnsi="Times New Roman" w:cs="Times New Roman"/>
          <w:lang w:val="en-US" w:eastAsia="zh-CN"/>
        </w:rPr>
        <w:sectPr>
          <w:pgSz w:w="16838" w:h="11906" w:orient="landscape"/>
          <w:pgMar w:top="1417" w:right="1417" w:bottom="1417" w:left="1553" w:header="851" w:footer="992" w:gutter="0"/>
          <w:pgBorders w:offsetFrom="page">
            <w:top w:val="none" w:sz="0" w:space="0"/>
            <w:left w:val="none" w:sz="0" w:space="0"/>
            <w:bottom w:val="none" w:sz="0" w:space="0"/>
            <w:right w:val="none" w:sz="0" w:space="0"/>
          </w:pgBorders>
          <w:cols w:space="0" w:num="1"/>
          <w:rtlGutter w:val="0"/>
          <w:docGrid w:type="lines" w:linePitch="336" w:charSpace="0"/>
        </w:sectPr>
      </w:pPr>
    </w:p>
    <w:p>
      <w:pPr>
        <w:pStyle w:val="5"/>
        <w:bidi w:val="0"/>
        <w:rPr>
          <w:rFonts w:hint="default" w:ascii="Times New Roman" w:hAnsi="Times New Roman" w:cs="Times New Roman"/>
          <w:lang w:val="en-US" w:eastAsia="zh-CN"/>
        </w:rPr>
      </w:pPr>
      <w:bookmarkStart w:id="19" w:name="_Toc22330"/>
      <w:bookmarkStart w:id="20" w:name="_Toc22118"/>
      <w:r>
        <w:rPr>
          <w:rFonts w:hint="default" w:ascii="Times New Roman" w:hAnsi="Times New Roman" w:cs="Times New Roman"/>
          <w:lang w:val="en-US" w:eastAsia="zh-CN"/>
        </w:rPr>
        <w:t>附件1：项目委托书</w:t>
      </w:r>
      <w:bookmarkEnd w:id="19"/>
      <w:bookmarkEnd w:id="20"/>
    </w:p>
    <w:p>
      <w:pPr>
        <w:ind w:left="0" w:leftChars="0" w:firstLine="0" w:firstLineChars="0"/>
        <w:jc w:val="center"/>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5728335" cy="8035290"/>
            <wp:effectExtent l="0" t="0" r="5715" b="3810"/>
            <wp:docPr id="9" name="图片 9" descr="8eabcca67fcc680d921eef780fd7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8eabcca67fcc680d921eef780fd7972"/>
                    <pic:cNvPicPr>
                      <a:picLocks noChangeAspect="1"/>
                    </pic:cNvPicPr>
                  </pic:nvPicPr>
                  <pic:blipFill>
                    <a:blip r:embed="rId42">
                      <a:lum contrast="6000"/>
                    </a:blip>
                    <a:srcRect l="1412" t="4427" r="4337" b="1877"/>
                    <a:stretch>
                      <a:fillRect/>
                    </a:stretch>
                  </pic:blipFill>
                  <pic:spPr>
                    <a:xfrm>
                      <a:off x="0" y="0"/>
                      <a:ext cx="5728335" cy="8035290"/>
                    </a:xfrm>
                    <a:prstGeom prst="rect">
                      <a:avLst/>
                    </a:prstGeom>
                  </pic:spPr>
                </pic:pic>
              </a:graphicData>
            </a:graphic>
          </wp:inline>
        </w:drawing>
      </w:r>
    </w:p>
    <w:p>
      <w:pPr>
        <w:pStyle w:val="2"/>
        <w:rPr>
          <w:rFonts w:hint="default" w:ascii="Times New Roman" w:hAnsi="Times New Roman" w:cs="Times New Roman"/>
          <w:lang w:val="en-US" w:eastAsia="zh-CN"/>
        </w:rPr>
        <w:sectPr>
          <w:pgSz w:w="11906" w:h="16838"/>
          <w:pgMar w:top="1327" w:right="1417" w:bottom="1553" w:left="1417" w:header="851" w:footer="992" w:gutter="0"/>
          <w:pgBorders w:offsetFrom="page">
            <w:top w:val="none" w:sz="0" w:space="0"/>
            <w:left w:val="none" w:sz="0" w:space="0"/>
            <w:bottom w:val="none" w:sz="0" w:space="0"/>
            <w:right w:val="none" w:sz="0" w:space="0"/>
          </w:pgBorders>
          <w:cols w:space="0" w:num="1"/>
          <w:rtlGutter w:val="0"/>
          <w:docGrid w:type="lines" w:linePitch="312" w:charSpace="0"/>
        </w:sectPr>
      </w:pPr>
    </w:p>
    <w:p>
      <w:pPr>
        <w:pStyle w:val="5"/>
        <w:bidi w:val="0"/>
        <w:rPr>
          <w:rFonts w:hint="default" w:ascii="Times New Roman" w:hAnsi="Times New Roman" w:cs="Times New Roman"/>
          <w:lang w:val="en-US" w:eastAsia="zh-CN"/>
        </w:rPr>
      </w:pPr>
      <w:bookmarkStart w:id="21" w:name="_Toc1967"/>
      <w:bookmarkStart w:id="22" w:name="_Toc27890"/>
      <w:r>
        <w:rPr>
          <w:rFonts w:hint="default" w:ascii="Times New Roman" w:hAnsi="Times New Roman" w:cs="Times New Roman"/>
          <w:lang w:val="en-US" w:eastAsia="zh-CN"/>
        </w:rPr>
        <w:t>附件2：建设单位营业执照</w:t>
      </w:r>
      <w:bookmarkEnd w:id="21"/>
    </w:p>
    <w:bookmarkEnd w:id="22"/>
    <w:p>
      <w:pPr>
        <w:bidi w:val="0"/>
        <w:ind w:left="0" w:leftChars="0" w:firstLine="0" w:firstLineChars="0"/>
        <w:rPr>
          <w:rFonts w:hint="default" w:ascii="Times New Roman" w:hAnsi="Times New Roman" w:cs="Times New Roman"/>
          <w:lang w:eastAsia="zh-CN"/>
        </w:rPr>
        <w:sectPr>
          <w:pgSz w:w="11906" w:h="16838"/>
          <w:pgMar w:top="1327" w:right="1417" w:bottom="1553" w:left="1417" w:header="851" w:footer="992" w:gutter="0"/>
          <w:pgBorders w:offsetFrom="page">
            <w:top w:val="none" w:sz="0" w:space="0"/>
            <w:left w:val="none" w:sz="0" w:space="0"/>
            <w:bottom w:val="none" w:sz="0" w:space="0"/>
            <w:right w:val="none" w:sz="0" w:space="0"/>
          </w:pgBorders>
          <w:cols w:space="0" w:num="1"/>
          <w:rtlGutter w:val="0"/>
          <w:docGrid w:type="lines" w:linePitch="312" w:charSpace="0"/>
        </w:sectPr>
      </w:pPr>
      <w:r>
        <w:rPr>
          <w:rFonts w:hint="default" w:ascii="Times New Roman" w:hAnsi="Times New Roman" w:cs="Times New Roman"/>
        </w:rPr>
        <w:drawing>
          <wp:inline distT="0" distB="0" distL="114300" distR="114300">
            <wp:extent cx="5558790" cy="8123555"/>
            <wp:effectExtent l="0" t="0" r="3810" b="10795"/>
            <wp:docPr id="2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0"/>
                    <pic:cNvPicPr>
                      <a:picLocks noChangeAspect="1"/>
                    </pic:cNvPicPr>
                  </pic:nvPicPr>
                  <pic:blipFill>
                    <a:blip r:embed="rId43"/>
                    <a:stretch>
                      <a:fillRect/>
                    </a:stretch>
                  </pic:blipFill>
                  <pic:spPr>
                    <a:xfrm rot="10800000">
                      <a:off x="0" y="0"/>
                      <a:ext cx="5558790" cy="8123555"/>
                    </a:xfrm>
                    <a:prstGeom prst="rect">
                      <a:avLst/>
                    </a:prstGeom>
                    <a:noFill/>
                    <a:ln>
                      <a:noFill/>
                    </a:ln>
                  </pic:spPr>
                </pic:pic>
              </a:graphicData>
            </a:graphic>
          </wp:inline>
        </w:drawing>
      </w:r>
    </w:p>
    <w:p>
      <w:pPr>
        <w:pStyle w:val="5"/>
        <w:bidi w:val="0"/>
        <w:rPr>
          <w:rFonts w:hint="default" w:ascii="Times New Roman" w:hAnsi="Times New Roman" w:cs="Times New Roman"/>
          <w:lang w:val="en-US" w:eastAsia="zh-CN"/>
        </w:rPr>
      </w:pPr>
      <w:bookmarkStart w:id="23" w:name="_Toc11644"/>
      <w:r>
        <w:rPr>
          <w:rFonts w:hint="default" w:ascii="Times New Roman" w:hAnsi="Times New Roman" w:cs="Times New Roman"/>
          <w:lang w:val="en-US" w:eastAsia="zh-CN"/>
        </w:rPr>
        <w:t>附件3：项目立项文件</w:t>
      </w:r>
      <w:bookmarkEnd w:id="23"/>
    </w:p>
    <w:p>
      <w:pPr>
        <w:bidi w:val="0"/>
        <w:ind w:left="0" w:leftChars="0" w:firstLine="0" w:firstLineChars="0"/>
        <w:rPr>
          <w:rFonts w:hint="default" w:ascii="Times New Roman" w:hAnsi="Times New Roman" w:cs="Times New Roman"/>
        </w:rPr>
      </w:pPr>
      <w:r>
        <w:rPr>
          <w:rFonts w:hint="default" w:ascii="Times New Roman" w:hAnsi="Times New Roman" w:cs="Times New Roman"/>
        </w:rPr>
        <w:drawing>
          <wp:inline distT="0" distB="0" distL="114300" distR="114300">
            <wp:extent cx="5426075" cy="7843520"/>
            <wp:effectExtent l="0" t="0" r="3175" b="508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44"/>
                    <a:stretch>
                      <a:fillRect/>
                    </a:stretch>
                  </pic:blipFill>
                  <pic:spPr>
                    <a:xfrm>
                      <a:off x="0" y="0"/>
                      <a:ext cx="5426075" cy="784352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636895" cy="8043545"/>
            <wp:effectExtent l="0" t="0" r="1905" b="1460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45"/>
                    <a:stretch>
                      <a:fillRect/>
                    </a:stretch>
                  </pic:blipFill>
                  <pic:spPr>
                    <a:xfrm>
                      <a:off x="0" y="0"/>
                      <a:ext cx="5636895" cy="8043545"/>
                    </a:xfrm>
                    <a:prstGeom prst="rect">
                      <a:avLst/>
                    </a:prstGeom>
                    <a:noFill/>
                    <a:ln>
                      <a:noFill/>
                    </a:ln>
                  </pic:spPr>
                </pic:pic>
              </a:graphicData>
            </a:graphic>
          </wp:inline>
        </w:drawing>
      </w:r>
    </w:p>
    <w:p>
      <w:pPr>
        <w:rPr>
          <w:rFonts w:hint="default" w:ascii="Times New Roman" w:hAnsi="Times New Roman" w:cs="Times New Roman"/>
          <w:lang w:val="en-US" w:eastAsia="zh-CN"/>
        </w:rPr>
      </w:pPr>
      <w:bookmarkStart w:id="24" w:name="_Toc32096"/>
      <w:r>
        <w:rPr>
          <w:rFonts w:hint="default" w:ascii="Times New Roman" w:hAnsi="Times New Roman" w:cs="Times New Roman"/>
          <w:lang w:val="en-US" w:eastAsia="zh-CN"/>
        </w:rPr>
        <w:br w:type="page"/>
      </w:r>
    </w:p>
    <w:p>
      <w:pPr>
        <w:pStyle w:val="5"/>
        <w:bidi w:val="0"/>
        <w:rPr>
          <w:rFonts w:hint="default" w:ascii="Times New Roman" w:hAnsi="Times New Roman" w:cs="Times New Roman"/>
          <w:lang w:val="en-US" w:eastAsia="zh-CN"/>
        </w:rPr>
      </w:pPr>
      <w:bookmarkStart w:id="25" w:name="_Toc24778"/>
      <w:r>
        <w:rPr>
          <w:rFonts w:hint="default" w:ascii="Times New Roman" w:hAnsi="Times New Roman" w:cs="Times New Roman"/>
          <w:lang w:val="en-US" w:eastAsia="zh-CN"/>
        </w:rPr>
        <w:t>附件4：土地证明文件</w:t>
      </w:r>
      <w:bookmarkEnd w:id="24"/>
      <w:bookmarkEnd w:id="25"/>
    </w:p>
    <w:p>
      <w:pPr>
        <w:bidi w:val="0"/>
        <w:ind w:left="0" w:leftChars="0" w:firstLine="0" w:firstLineChars="0"/>
        <w:jc w:val="center"/>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7789545" cy="5527040"/>
            <wp:effectExtent l="0" t="0" r="16510" b="1905"/>
            <wp:docPr id="237" name="图片 237" descr="fe94610814935bbbcf726a88146ed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fe94610814935bbbcf726a88146ed91"/>
                    <pic:cNvPicPr>
                      <a:picLocks noChangeAspect="1"/>
                    </pic:cNvPicPr>
                  </pic:nvPicPr>
                  <pic:blipFill>
                    <a:blip r:embed="rId46"/>
                    <a:stretch>
                      <a:fillRect/>
                    </a:stretch>
                  </pic:blipFill>
                  <pic:spPr>
                    <a:xfrm rot="16200000">
                      <a:off x="0" y="0"/>
                      <a:ext cx="7789545" cy="5527040"/>
                    </a:xfrm>
                    <a:prstGeom prst="rect">
                      <a:avLst/>
                    </a:prstGeom>
                  </pic:spPr>
                </pic:pic>
              </a:graphicData>
            </a:graphic>
          </wp:inline>
        </w:drawing>
      </w:r>
    </w:p>
    <w:p>
      <w:pPr>
        <w:bidi w:val="0"/>
        <w:ind w:left="0" w:leftChars="0" w:firstLine="0" w:firstLineChars="0"/>
        <w:jc w:val="center"/>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8289290" cy="5859780"/>
            <wp:effectExtent l="0" t="0" r="7620" b="16510"/>
            <wp:docPr id="238" name="图片 238" descr="5de70e1db8122fc10681957359476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5de70e1db8122fc106819573594762b"/>
                    <pic:cNvPicPr>
                      <a:picLocks noChangeAspect="1"/>
                    </pic:cNvPicPr>
                  </pic:nvPicPr>
                  <pic:blipFill>
                    <a:blip r:embed="rId47"/>
                    <a:stretch>
                      <a:fillRect/>
                    </a:stretch>
                  </pic:blipFill>
                  <pic:spPr>
                    <a:xfrm rot="16200000">
                      <a:off x="0" y="0"/>
                      <a:ext cx="8289290" cy="5859780"/>
                    </a:xfrm>
                    <a:prstGeom prst="rect">
                      <a:avLst/>
                    </a:prstGeom>
                  </pic:spPr>
                </pic:pic>
              </a:graphicData>
            </a:graphic>
          </wp:inline>
        </w:drawing>
      </w:r>
    </w:p>
    <w:p>
      <w:pPr>
        <w:rPr>
          <w:rFonts w:hint="default" w:ascii="Times New Roman" w:hAnsi="Times New Roman" w:cs="Times New Roman"/>
          <w:lang w:val="en-US" w:eastAsia="zh-CN"/>
        </w:rPr>
      </w:pPr>
      <w:r>
        <w:rPr>
          <w:rFonts w:hint="default" w:ascii="Times New Roman" w:hAnsi="Times New Roman" w:cs="Times New Roman"/>
          <w:lang w:val="en-US" w:eastAsia="zh-CN"/>
        </w:rPr>
        <w:br w:type="page"/>
      </w:r>
    </w:p>
    <w:p>
      <w:pPr>
        <w:pStyle w:val="5"/>
        <w:bidi w:val="0"/>
        <w:rPr>
          <w:rFonts w:hint="default" w:ascii="Times New Roman" w:hAnsi="Times New Roman" w:cs="Times New Roman"/>
          <w:lang w:val="en-US" w:eastAsia="zh-CN"/>
        </w:rPr>
      </w:pPr>
      <w:bookmarkStart w:id="26" w:name="_Toc9134"/>
      <w:r>
        <w:rPr>
          <w:rFonts w:hint="default" w:ascii="Times New Roman" w:hAnsi="Times New Roman" w:cs="Times New Roman"/>
          <w:lang w:val="en-US" w:eastAsia="zh-CN"/>
        </w:rPr>
        <w:t>附件5：项目所在区域规划环评批复</w:t>
      </w:r>
      <w:bookmarkEnd w:id="26"/>
    </w:p>
    <w:p>
      <w:pPr>
        <w:ind w:left="0" w:leftChars="0" w:firstLine="0" w:firstLineChars="0"/>
        <w:rPr>
          <w:rFonts w:hint="default" w:ascii="Times New Roman" w:hAnsi="Times New Roman" w:cs="Times New Roman"/>
        </w:rPr>
      </w:pPr>
      <w:r>
        <w:rPr>
          <w:rFonts w:hint="default" w:ascii="Times New Roman" w:hAnsi="Times New Roman" w:cs="Times New Roman"/>
        </w:rPr>
        <w:drawing>
          <wp:inline distT="0" distB="0" distL="114300" distR="114300">
            <wp:extent cx="5453380" cy="7805420"/>
            <wp:effectExtent l="0" t="0" r="13970" b="5080"/>
            <wp:docPr id="2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3"/>
                    <pic:cNvPicPr>
                      <a:picLocks noChangeAspect="1"/>
                    </pic:cNvPicPr>
                  </pic:nvPicPr>
                  <pic:blipFill>
                    <a:blip r:embed="rId48"/>
                    <a:srcRect t="4628"/>
                    <a:stretch>
                      <a:fillRect/>
                    </a:stretch>
                  </pic:blipFill>
                  <pic:spPr>
                    <a:xfrm>
                      <a:off x="0" y="0"/>
                      <a:ext cx="5453380" cy="7805420"/>
                    </a:xfrm>
                    <a:prstGeom prst="rect">
                      <a:avLst/>
                    </a:prstGeom>
                    <a:noFill/>
                    <a:ln>
                      <a:noFill/>
                    </a:ln>
                  </pic:spPr>
                </pic:pic>
              </a:graphicData>
            </a:graphic>
          </wp:inline>
        </w:drawing>
      </w:r>
    </w:p>
    <w:p>
      <w:pPr>
        <w:ind w:left="0" w:leftChars="0" w:firstLine="0" w:firstLineChars="0"/>
        <w:rPr>
          <w:rFonts w:hint="default" w:ascii="Times New Roman" w:hAnsi="Times New Roman" w:cs="Times New Roman"/>
        </w:rPr>
      </w:pPr>
      <w:r>
        <w:rPr>
          <w:rFonts w:hint="default" w:ascii="Times New Roman" w:hAnsi="Times New Roman" w:cs="Times New Roman"/>
        </w:rPr>
        <w:drawing>
          <wp:inline distT="0" distB="0" distL="114300" distR="114300">
            <wp:extent cx="5760085" cy="8820150"/>
            <wp:effectExtent l="0" t="0" r="12065" b="0"/>
            <wp:docPr id="2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4"/>
                    <pic:cNvPicPr>
                      <a:picLocks noChangeAspect="1"/>
                    </pic:cNvPicPr>
                  </pic:nvPicPr>
                  <pic:blipFill>
                    <a:blip r:embed="rId49"/>
                    <a:stretch>
                      <a:fillRect/>
                    </a:stretch>
                  </pic:blipFill>
                  <pic:spPr>
                    <a:xfrm>
                      <a:off x="0" y="0"/>
                      <a:ext cx="5760085" cy="8820150"/>
                    </a:xfrm>
                    <a:prstGeom prst="rect">
                      <a:avLst/>
                    </a:prstGeom>
                    <a:noFill/>
                    <a:ln>
                      <a:noFill/>
                    </a:ln>
                  </pic:spPr>
                </pic:pic>
              </a:graphicData>
            </a:graphic>
          </wp:inline>
        </w:drawing>
      </w:r>
    </w:p>
    <w:p>
      <w:pPr>
        <w:bidi w:val="0"/>
        <w:ind w:left="0" w:leftChars="0" w:firstLine="0" w:firstLineChars="0"/>
        <w:rPr>
          <w:rFonts w:hint="default" w:ascii="Times New Roman" w:hAnsi="Times New Roman" w:cs="Times New Roman"/>
        </w:rPr>
      </w:pPr>
      <w:r>
        <w:rPr>
          <w:rFonts w:hint="default" w:ascii="Times New Roman" w:hAnsi="Times New Roman" w:cs="Times New Roman"/>
        </w:rPr>
        <w:drawing>
          <wp:inline distT="0" distB="0" distL="114300" distR="114300">
            <wp:extent cx="5760720" cy="9018905"/>
            <wp:effectExtent l="0" t="0" r="11430" b="10795"/>
            <wp:docPr id="23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5"/>
                    <pic:cNvPicPr>
                      <a:picLocks noChangeAspect="1"/>
                    </pic:cNvPicPr>
                  </pic:nvPicPr>
                  <pic:blipFill>
                    <a:blip r:embed="rId50"/>
                    <a:stretch>
                      <a:fillRect/>
                    </a:stretch>
                  </pic:blipFill>
                  <pic:spPr>
                    <a:xfrm>
                      <a:off x="0" y="0"/>
                      <a:ext cx="5760720" cy="9018905"/>
                    </a:xfrm>
                    <a:prstGeom prst="rect">
                      <a:avLst/>
                    </a:prstGeom>
                    <a:noFill/>
                    <a:ln>
                      <a:noFill/>
                    </a:ln>
                  </pic:spPr>
                </pic:pic>
              </a:graphicData>
            </a:graphic>
          </wp:inline>
        </w:drawing>
      </w:r>
    </w:p>
    <w:p>
      <w:pPr>
        <w:ind w:left="0" w:leftChars="0" w:firstLine="0" w:firstLineChars="0"/>
        <w:rPr>
          <w:rFonts w:hint="default" w:ascii="Times New Roman" w:hAnsi="Times New Roman" w:cs="Times New Roman"/>
        </w:rPr>
      </w:pPr>
      <w:r>
        <w:rPr>
          <w:rFonts w:hint="default" w:ascii="Times New Roman" w:hAnsi="Times New Roman" w:cs="Times New Roman"/>
        </w:rPr>
        <w:drawing>
          <wp:inline distT="0" distB="0" distL="114300" distR="114300">
            <wp:extent cx="5760720" cy="8284210"/>
            <wp:effectExtent l="0" t="0" r="11430" b="2540"/>
            <wp:docPr id="23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6"/>
                    <pic:cNvPicPr>
                      <a:picLocks noChangeAspect="1"/>
                    </pic:cNvPicPr>
                  </pic:nvPicPr>
                  <pic:blipFill>
                    <a:blip r:embed="rId51"/>
                    <a:stretch>
                      <a:fillRect/>
                    </a:stretch>
                  </pic:blipFill>
                  <pic:spPr>
                    <a:xfrm>
                      <a:off x="0" y="0"/>
                      <a:ext cx="5760720" cy="8284210"/>
                    </a:xfrm>
                    <a:prstGeom prst="rect">
                      <a:avLst/>
                    </a:prstGeom>
                    <a:noFill/>
                    <a:ln>
                      <a:noFill/>
                    </a:ln>
                  </pic:spPr>
                </pic:pic>
              </a:graphicData>
            </a:graphic>
          </wp:inline>
        </w:drawing>
      </w:r>
    </w:p>
    <w:p>
      <w:pPr>
        <w:rPr>
          <w:rFonts w:hint="default" w:ascii="Times New Roman" w:hAnsi="Times New Roman" w:cs="Times New Roman"/>
        </w:rPr>
      </w:pPr>
    </w:p>
    <w:p>
      <w:pPr>
        <w:ind w:left="0" w:leftChars="0" w:firstLine="0" w:firstLineChars="0"/>
        <w:rPr>
          <w:rFonts w:hint="default" w:ascii="Times New Roman" w:hAnsi="Times New Roman" w:cs="Times New Roman"/>
        </w:rPr>
      </w:pPr>
      <w:r>
        <w:rPr>
          <w:rFonts w:hint="default" w:ascii="Times New Roman" w:hAnsi="Times New Roman" w:cs="Times New Roman"/>
        </w:rPr>
        <w:drawing>
          <wp:inline distT="0" distB="0" distL="114300" distR="114300">
            <wp:extent cx="5759450" cy="8394700"/>
            <wp:effectExtent l="0" t="0" r="12700" b="6350"/>
            <wp:docPr id="23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7"/>
                    <pic:cNvPicPr>
                      <a:picLocks noChangeAspect="1"/>
                    </pic:cNvPicPr>
                  </pic:nvPicPr>
                  <pic:blipFill>
                    <a:blip r:embed="rId52"/>
                    <a:stretch>
                      <a:fillRect/>
                    </a:stretch>
                  </pic:blipFill>
                  <pic:spPr>
                    <a:xfrm>
                      <a:off x="0" y="0"/>
                      <a:ext cx="5759450" cy="8394700"/>
                    </a:xfrm>
                    <a:prstGeom prst="rect">
                      <a:avLst/>
                    </a:prstGeom>
                    <a:noFill/>
                    <a:ln>
                      <a:noFill/>
                    </a:ln>
                  </pic:spPr>
                </pic:pic>
              </a:graphicData>
            </a:graphic>
          </wp:inline>
        </w:drawing>
      </w:r>
    </w:p>
    <w:p>
      <w:pPr>
        <w:ind w:left="0" w:leftChars="0" w:firstLine="0" w:firstLineChars="0"/>
        <w:rPr>
          <w:rFonts w:hint="default" w:ascii="Times New Roman" w:hAnsi="Times New Roman" w:cs="Times New Roman"/>
        </w:rPr>
      </w:pPr>
    </w:p>
    <w:p>
      <w:pPr>
        <w:pStyle w:val="5"/>
        <w:bidi w:val="0"/>
        <w:rPr>
          <w:rFonts w:hint="default" w:ascii="Times New Roman" w:hAnsi="Times New Roman" w:cs="Times New Roman"/>
          <w:lang w:val="en-US" w:eastAsia="zh-CN"/>
        </w:rPr>
      </w:pPr>
      <w:bookmarkStart w:id="27" w:name="_Toc9159"/>
      <w:r>
        <w:rPr>
          <w:rFonts w:hint="default" w:ascii="Times New Roman" w:hAnsi="Times New Roman" w:cs="Times New Roman"/>
          <w:lang w:eastAsia="zh-CN"/>
        </w:rPr>
        <w:t>附件</w:t>
      </w:r>
      <w:r>
        <w:rPr>
          <w:rFonts w:hint="default" w:ascii="Times New Roman" w:hAnsi="Times New Roman" w:cs="Times New Roman"/>
          <w:lang w:val="en-US" w:eastAsia="zh-CN"/>
        </w:rPr>
        <w:t>6：原料来源合法证明</w:t>
      </w:r>
      <w:bookmarkEnd w:id="27"/>
    </w:p>
    <w:p>
      <w:pPr>
        <w:pStyle w:val="2"/>
        <w:ind w:left="0" w:leftChars="0" w:firstLine="0" w:firstLineChars="0"/>
        <w:rPr>
          <w:rFonts w:hint="default" w:ascii="Times New Roman" w:hAnsi="Times New Roman" w:cs="Times New Roman"/>
        </w:rPr>
      </w:pPr>
      <w:r>
        <w:rPr>
          <w:rFonts w:hint="default" w:ascii="Times New Roman" w:hAnsi="Times New Roman" w:cs="Times New Roman"/>
        </w:rPr>
        <w:drawing>
          <wp:inline distT="0" distB="0" distL="114300" distR="114300">
            <wp:extent cx="5339715" cy="8090535"/>
            <wp:effectExtent l="0" t="0" r="13335" b="5715"/>
            <wp:docPr id="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8"/>
                    <pic:cNvPicPr>
                      <a:picLocks noChangeAspect="1"/>
                    </pic:cNvPicPr>
                  </pic:nvPicPr>
                  <pic:blipFill>
                    <a:blip r:embed="rId53"/>
                    <a:srcRect t="4925"/>
                    <a:stretch>
                      <a:fillRect/>
                    </a:stretch>
                  </pic:blipFill>
                  <pic:spPr>
                    <a:xfrm>
                      <a:off x="0" y="0"/>
                      <a:ext cx="5339715" cy="8090535"/>
                    </a:xfrm>
                    <a:prstGeom prst="rect">
                      <a:avLst/>
                    </a:prstGeom>
                    <a:noFill/>
                    <a:ln>
                      <a:noFill/>
                    </a:ln>
                  </pic:spPr>
                </pic:pic>
              </a:graphicData>
            </a:graphic>
          </wp:inline>
        </w:drawing>
      </w:r>
    </w:p>
    <w:p>
      <w:pPr>
        <w:pStyle w:val="2"/>
        <w:ind w:left="0" w:leftChars="0" w:firstLine="0" w:firstLineChars="0"/>
        <w:rPr>
          <w:rFonts w:hint="default" w:ascii="Times New Roman" w:hAnsi="Times New Roman" w:cs="Times New Roman"/>
        </w:rPr>
      </w:pPr>
    </w:p>
    <w:p>
      <w:pPr>
        <w:pStyle w:val="2"/>
        <w:ind w:left="0" w:leftChars="0" w:firstLine="0" w:firstLineChars="0"/>
        <w:rPr>
          <w:rFonts w:hint="default" w:ascii="Times New Roman" w:hAnsi="Times New Roman" w:cs="Times New Roman"/>
        </w:rPr>
      </w:pPr>
      <w:r>
        <w:rPr>
          <w:rFonts w:hint="default" w:ascii="Times New Roman" w:hAnsi="Times New Roman" w:cs="Times New Roman"/>
        </w:rPr>
        <w:drawing>
          <wp:inline distT="0" distB="0" distL="114300" distR="114300">
            <wp:extent cx="5386705" cy="8134350"/>
            <wp:effectExtent l="0" t="0" r="4445" b="0"/>
            <wp:docPr id="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9"/>
                    <pic:cNvPicPr>
                      <a:picLocks noChangeAspect="1"/>
                    </pic:cNvPicPr>
                  </pic:nvPicPr>
                  <pic:blipFill>
                    <a:blip r:embed="rId54"/>
                    <a:stretch>
                      <a:fillRect/>
                    </a:stretch>
                  </pic:blipFill>
                  <pic:spPr>
                    <a:xfrm>
                      <a:off x="0" y="0"/>
                      <a:ext cx="5386705" cy="8134350"/>
                    </a:xfrm>
                    <a:prstGeom prst="rect">
                      <a:avLst/>
                    </a:prstGeom>
                    <a:noFill/>
                    <a:ln>
                      <a:noFill/>
                    </a:ln>
                  </pic:spPr>
                </pic:pic>
              </a:graphicData>
            </a:graphic>
          </wp:inline>
        </w:drawing>
      </w:r>
    </w:p>
    <w:p>
      <w:pPr>
        <w:bidi w:val="0"/>
        <w:rPr>
          <w:rFonts w:hint="default" w:ascii="Times New Roman" w:hAnsi="Times New Roman" w:cs="Times New Roman"/>
          <w:lang w:eastAsia="zh-CN"/>
        </w:rPr>
      </w:pPr>
    </w:p>
    <w:p>
      <w:pPr>
        <w:pStyle w:val="5"/>
        <w:bidi w:val="0"/>
        <w:rPr>
          <w:rFonts w:hint="default" w:ascii="Times New Roman" w:hAnsi="Times New Roman" w:cs="Times New Roman"/>
          <w:lang w:val="en-US" w:eastAsia="zh-CN"/>
        </w:rPr>
      </w:pPr>
      <w:bookmarkStart w:id="28" w:name="_Toc27547"/>
      <w:r>
        <w:rPr>
          <w:rFonts w:hint="default" w:ascii="Times New Roman" w:hAnsi="Times New Roman" w:cs="Times New Roman"/>
          <w:lang w:eastAsia="zh-CN"/>
        </w:rPr>
        <w:t>附件</w:t>
      </w:r>
      <w:r>
        <w:rPr>
          <w:rFonts w:hint="default" w:ascii="Times New Roman" w:hAnsi="Times New Roman" w:cs="Times New Roman"/>
          <w:lang w:val="en-US" w:eastAsia="zh-CN"/>
        </w:rPr>
        <w:t>7：砂石保供协议</w:t>
      </w:r>
      <w:bookmarkEnd w:id="28"/>
    </w:p>
    <w:p>
      <w:pPr>
        <w:pStyle w:val="2"/>
        <w:rPr>
          <w:rFonts w:hint="default" w:ascii="Times New Roman" w:hAnsi="Times New Roman" w:cs="Times New Roman"/>
        </w:rPr>
      </w:pPr>
      <w:r>
        <w:rPr>
          <w:rFonts w:hint="default" w:ascii="Times New Roman" w:hAnsi="Times New Roman" w:cs="Times New Roman"/>
        </w:rPr>
        <w:drawing>
          <wp:inline distT="0" distB="0" distL="114300" distR="114300">
            <wp:extent cx="5759450" cy="8253095"/>
            <wp:effectExtent l="0" t="0" r="12700" b="14605"/>
            <wp:docPr id="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
                    <pic:cNvPicPr>
                      <a:picLocks noChangeAspect="1"/>
                    </pic:cNvPicPr>
                  </pic:nvPicPr>
                  <pic:blipFill>
                    <a:blip r:embed="rId55"/>
                    <a:srcRect b="2352"/>
                    <a:stretch>
                      <a:fillRect/>
                    </a:stretch>
                  </pic:blipFill>
                  <pic:spPr>
                    <a:xfrm>
                      <a:off x="0" y="0"/>
                      <a:ext cx="5759450" cy="8253095"/>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847080" cy="8026400"/>
            <wp:effectExtent l="0" t="0" r="1270" b="12700"/>
            <wp:docPr id="8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
                    <pic:cNvPicPr>
                      <a:picLocks noChangeAspect="1"/>
                    </pic:cNvPicPr>
                  </pic:nvPicPr>
                  <pic:blipFill>
                    <a:blip r:embed="rId56"/>
                    <a:stretch>
                      <a:fillRect/>
                    </a:stretch>
                  </pic:blipFill>
                  <pic:spPr>
                    <a:xfrm>
                      <a:off x="0" y="0"/>
                      <a:ext cx="5847080" cy="802640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760085" cy="8592185"/>
            <wp:effectExtent l="0" t="0" r="12065" b="18415"/>
            <wp:docPr id="9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
                    <pic:cNvPicPr>
                      <a:picLocks noChangeAspect="1"/>
                    </pic:cNvPicPr>
                  </pic:nvPicPr>
                  <pic:blipFill>
                    <a:blip r:embed="rId57"/>
                    <a:stretch>
                      <a:fillRect/>
                    </a:stretch>
                  </pic:blipFill>
                  <pic:spPr>
                    <a:xfrm>
                      <a:off x="0" y="0"/>
                      <a:ext cx="5760085" cy="8592185"/>
                    </a:xfrm>
                    <a:prstGeom prst="rect">
                      <a:avLst/>
                    </a:prstGeom>
                    <a:noFill/>
                    <a:ln>
                      <a:noFill/>
                    </a:ln>
                  </pic:spPr>
                </pic:pic>
              </a:graphicData>
            </a:graphic>
          </wp:inline>
        </w:drawing>
      </w:r>
    </w:p>
    <w:p>
      <w:pPr>
        <w:pStyle w:val="2"/>
        <w:rPr>
          <w:rFonts w:hint="default" w:ascii="Times New Roman" w:hAnsi="Times New Roman" w:cs="Times New Roman"/>
        </w:rPr>
      </w:pPr>
      <w:r>
        <w:rPr>
          <w:rFonts w:hint="default" w:ascii="Times New Roman" w:hAnsi="Times New Roman" w:cs="Times New Roman"/>
        </w:rPr>
        <w:drawing>
          <wp:inline distT="0" distB="0" distL="114300" distR="114300">
            <wp:extent cx="5752465" cy="7699375"/>
            <wp:effectExtent l="0" t="0" r="635" b="15875"/>
            <wp:docPr id="9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
                    <pic:cNvPicPr>
                      <a:picLocks noChangeAspect="1"/>
                    </pic:cNvPicPr>
                  </pic:nvPicPr>
                  <pic:blipFill>
                    <a:blip r:embed="rId58"/>
                    <a:stretch>
                      <a:fillRect/>
                    </a:stretch>
                  </pic:blipFill>
                  <pic:spPr>
                    <a:xfrm>
                      <a:off x="0" y="0"/>
                      <a:ext cx="5752465" cy="7699375"/>
                    </a:xfrm>
                    <a:prstGeom prst="rect">
                      <a:avLst/>
                    </a:prstGeom>
                    <a:noFill/>
                    <a:ln>
                      <a:noFill/>
                    </a:ln>
                  </pic:spPr>
                </pic:pic>
              </a:graphicData>
            </a:graphic>
          </wp:inline>
        </w:drawing>
      </w:r>
    </w:p>
    <w:p>
      <w:pPr>
        <w:pStyle w:val="2"/>
        <w:rPr>
          <w:rFonts w:hint="default" w:ascii="Times New Roman" w:hAnsi="Times New Roman" w:cs="Times New Roman"/>
          <w:lang w:val="en-US" w:eastAsia="zh-CN"/>
        </w:rPr>
      </w:pPr>
      <w:r>
        <w:rPr>
          <w:rFonts w:hint="default" w:ascii="Times New Roman" w:hAnsi="Times New Roman" w:cs="Times New Roman"/>
        </w:rPr>
        <w:drawing>
          <wp:inline distT="0" distB="0" distL="114300" distR="114300">
            <wp:extent cx="5758180" cy="8089265"/>
            <wp:effectExtent l="0" t="0" r="13970" b="6985"/>
            <wp:docPr id="9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5"/>
                    <pic:cNvPicPr>
                      <a:picLocks noChangeAspect="1"/>
                    </pic:cNvPicPr>
                  </pic:nvPicPr>
                  <pic:blipFill>
                    <a:blip r:embed="rId59"/>
                    <a:stretch>
                      <a:fillRect/>
                    </a:stretch>
                  </pic:blipFill>
                  <pic:spPr>
                    <a:xfrm>
                      <a:off x="0" y="0"/>
                      <a:ext cx="5758180" cy="8089265"/>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760720" cy="8070850"/>
            <wp:effectExtent l="0" t="0" r="11430" b="6350"/>
            <wp:docPr id="9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
                    <pic:cNvPicPr>
                      <a:picLocks noChangeAspect="1"/>
                    </pic:cNvPicPr>
                  </pic:nvPicPr>
                  <pic:blipFill>
                    <a:blip r:embed="rId60"/>
                    <a:stretch>
                      <a:fillRect/>
                    </a:stretch>
                  </pic:blipFill>
                  <pic:spPr>
                    <a:xfrm>
                      <a:off x="0" y="0"/>
                      <a:ext cx="5760720" cy="807085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883275" cy="8669655"/>
            <wp:effectExtent l="0" t="0" r="3175" b="17145"/>
            <wp:docPr id="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7"/>
                    <pic:cNvPicPr>
                      <a:picLocks noChangeAspect="1"/>
                    </pic:cNvPicPr>
                  </pic:nvPicPr>
                  <pic:blipFill>
                    <a:blip r:embed="rId61"/>
                    <a:stretch>
                      <a:fillRect/>
                    </a:stretch>
                  </pic:blipFill>
                  <pic:spPr>
                    <a:xfrm>
                      <a:off x="0" y="0"/>
                      <a:ext cx="5883275" cy="8669655"/>
                    </a:xfrm>
                    <a:prstGeom prst="rect">
                      <a:avLst/>
                    </a:prstGeom>
                    <a:noFill/>
                    <a:ln>
                      <a:noFill/>
                    </a:ln>
                  </pic:spPr>
                </pic:pic>
              </a:graphicData>
            </a:graphic>
          </wp:inline>
        </w:drawing>
      </w:r>
    </w:p>
    <w:p>
      <w:pPr>
        <w:pStyle w:val="5"/>
        <w:bidi w:val="0"/>
        <w:rPr>
          <w:rFonts w:hint="default" w:ascii="Times New Roman" w:hAnsi="Times New Roman" w:cs="Times New Roman"/>
          <w:lang w:val="en-US" w:eastAsia="zh-CN"/>
        </w:rPr>
      </w:pPr>
      <w:bookmarkStart w:id="29" w:name="_Toc5235"/>
      <w:r>
        <w:rPr>
          <w:rFonts w:hint="default" w:ascii="Times New Roman" w:hAnsi="Times New Roman" w:cs="Times New Roman"/>
          <w:lang w:val="en-US" w:eastAsia="zh-CN"/>
        </w:rPr>
        <w:t>附件8：依托码头合法证明</w:t>
      </w:r>
      <w:bookmarkEnd w:id="29"/>
    </w:p>
    <w:p>
      <w:pPr>
        <w:pStyle w:val="2"/>
        <w:ind w:left="0" w:leftChars="0" w:firstLine="0" w:firstLineChars="0"/>
        <w:rPr>
          <w:rFonts w:hint="default" w:ascii="Times New Roman" w:hAnsi="Times New Roman" w:cs="Times New Roman"/>
        </w:rPr>
      </w:pPr>
      <w:r>
        <w:rPr>
          <w:rFonts w:hint="default" w:ascii="Times New Roman" w:hAnsi="Times New Roman" w:cs="Times New Roman"/>
        </w:rPr>
        <w:drawing>
          <wp:inline distT="0" distB="0" distL="114300" distR="114300">
            <wp:extent cx="5754370" cy="7598410"/>
            <wp:effectExtent l="0" t="0" r="17780" b="2540"/>
            <wp:docPr id="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0"/>
                    <pic:cNvPicPr>
                      <a:picLocks noChangeAspect="1"/>
                    </pic:cNvPicPr>
                  </pic:nvPicPr>
                  <pic:blipFill>
                    <a:blip r:embed="rId62"/>
                    <a:srcRect t="11238"/>
                    <a:stretch>
                      <a:fillRect/>
                    </a:stretch>
                  </pic:blipFill>
                  <pic:spPr>
                    <a:xfrm>
                      <a:off x="0" y="0"/>
                      <a:ext cx="5754370" cy="7598410"/>
                    </a:xfrm>
                    <a:prstGeom prst="rect">
                      <a:avLst/>
                    </a:prstGeom>
                    <a:noFill/>
                    <a:ln>
                      <a:noFill/>
                    </a:ln>
                  </pic:spPr>
                </pic:pic>
              </a:graphicData>
            </a:graphic>
          </wp:inline>
        </w:drawing>
      </w:r>
    </w:p>
    <w:p>
      <w:pPr>
        <w:pStyle w:val="2"/>
        <w:ind w:left="0" w:leftChars="0" w:firstLine="0" w:firstLineChars="0"/>
        <w:rPr>
          <w:rFonts w:hint="default" w:ascii="Times New Roman" w:hAnsi="Times New Roman" w:cs="Times New Roman"/>
        </w:rPr>
      </w:pPr>
    </w:p>
    <w:p>
      <w:pPr>
        <w:pStyle w:val="2"/>
        <w:ind w:left="0" w:leftChars="0" w:firstLine="0" w:firstLineChars="0"/>
        <w:rPr>
          <w:rFonts w:hint="default" w:ascii="Times New Roman" w:hAnsi="Times New Roman" w:cs="Times New Roman"/>
        </w:rPr>
      </w:pPr>
      <w:r>
        <w:rPr>
          <w:rFonts w:hint="default" w:ascii="Times New Roman" w:hAnsi="Times New Roman" w:cs="Times New Roman"/>
        </w:rPr>
        <w:drawing>
          <wp:inline distT="0" distB="0" distL="114300" distR="114300">
            <wp:extent cx="5755640" cy="8848725"/>
            <wp:effectExtent l="0" t="0" r="16510" b="9525"/>
            <wp:docPr id="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pic:cNvPicPr>
                      <a:picLocks noChangeAspect="1"/>
                    </pic:cNvPicPr>
                  </pic:nvPicPr>
                  <pic:blipFill>
                    <a:blip r:embed="rId63"/>
                    <a:stretch>
                      <a:fillRect/>
                    </a:stretch>
                  </pic:blipFill>
                  <pic:spPr>
                    <a:xfrm>
                      <a:off x="0" y="0"/>
                      <a:ext cx="5755640" cy="8848725"/>
                    </a:xfrm>
                    <a:prstGeom prst="rect">
                      <a:avLst/>
                    </a:prstGeom>
                    <a:noFill/>
                    <a:ln>
                      <a:noFill/>
                    </a:ln>
                  </pic:spPr>
                </pic:pic>
              </a:graphicData>
            </a:graphic>
          </wp:inline>
        </w:drawing>
      </w:r>
    </w:p>
    <w:p>
      <w:pPr>
        <w:pStyle w:val="5"/>
        <w:bidi w:val="0"/>
        <w:rPr>
          <w:rFonts w:hint="default" w:ascii="Times New Roman" w:hAnsi="Times New Roman" w:cs="Times New Roman"/>
          <w:lang w:val="en-US" w:eastAsia="zh-CN"/>
        </w:rPr>
      </w:pPr>
      <w:bookmarkStart w:id="30" w:name="_Toc20189"/>
      <w:r>
        <w:rPr>
          <w:rFonts w:hint="default" w:ascii="Times New Roman" w:hAnsi="Times New Roman" w:cs="Times New Roman"/>
          <w:lang w:eastAsia="zh-CN"/>
        </w:rPr>
        <w:t>附件</w:t>
      </w:r>
      <w:r>
        <w:rPr>
          <w:rFonts w:hint="default" w:ascii="Times New Roman" w:hAnsi="Times New Roman" w:cs="Times New Roman"/>
          <w:lang w:val="en-US" w:eastAsia="zh-CN"/>
        </w:rPr>
        <w:t>9：环境质量现状监测报告及质保单</w:t>
      </w:r>
      <w:bookmarkEnd w:id="30"/>
    </w:p>
    <w:p>
      <w:pPr>
        <w:ind w:left="0" w:leftChars="0" w:firstLine="0" w:firstLineChars="0"/>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5760085" cy="8147685"/>
            <wp:effectExtent l="0" t="0" r="635" b="5715"/>
            <wp:docPr id="106" name="图片 106" descr="监测报告中联新材标杆(湘阴)工厂项目7-14扫描件监测报告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监测报告中联新材标杆(湘阴)工厂项目7-14扫描件监测报告_页面_1"/>
                    <pic:cNvPicPr>
                      <a:picLocks noChangeAspect="1"/>
                    </pic:cNvPicPr>
                  </pic:nvPicPr>
                  <pic:blipFill>
                    <a:blip r:embed="rId64"/>
                    <a:stretch>
                      <a:fillRect/>
                    </a:stretch>
                  </pic:blipFill>
                  <pic:spPr>
                    <a:xfrm>
                      <a:off x="0" y="0"/>
                      <a:ext cx="5760085" cy="8147685"/>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5760085" cy="8147685"/>
            <wp:effectExtent l="0" t="0" r="635" b="5715"/>
            <wp:docPr id="107" name="图片 107" descr="监测报告中联新材标杆(湘阴)工厂项目7-14扫描件监测报告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监测报告中联新材标杆(湘阴)工厂项目7-14扫描件监测报告_页面_2"/>
                    <pic:cNvPicPr>
                      <a:picLocks noChangeAspect="1"/>
                    </pic:cNvPicPr>
                  </pic:nvPicPr>
                  <pic:blipFill>
                    <a:blip r:embed="rId65"/>
                    <a:stretch>
                      <a:fillRect/>
                    </a:stretch>
                  </pic:blipFill>
                  <pic:spPr>
                    <a:xfrm>
                      <a:off x="0" y="0"/>
                      <a:ext cx="5760085" cy="8147685"/>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5760085" cy="8147685"/>
            <wp:effectExtent l="0" t="0" r="635" b="5715"/>
            <wp:docPr id="108" name="图片 108" descr="监测报告中联新材标杆(湘阴)工厂项目7-14扫描件监测报告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监测报告中联新材标杆(湘阴)工厂项目7-14扫描件监测报告_页面_3"/>
                    <pic:cNvPicPr>
                      <a:picLocks noChangeAspect="1"/>
                    </pic:cNvPicPr>
                  </pic:nvPicPr>
                  <pic:blipFill>
                    <a:blip r:embed="rId66"/>
                    <a:stretch>
                      <a:fillRect/>
                    </a:stretch>
                  </pic:blipFill>
                  <pic:spPr>
                    <a:xfrm>
                      <a:off x="0" y="0"/>
                      <a:ext cx="5760085" cy="8147685"/>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5760085" cy="8147685"/>
            <wp:effectExtent l="0" t="0" r="635" b="5715"/>
            <wp:docPr id="109" name="图片 109" descr="监测报告中联新材标杆(湘阴)工厂项目7-14扫描件监测报告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监测报告中联新材标杆(湘阴)工厂项目7-14扫描件监测报告_页面_4"/>
                    <pic:cNvPicPr>
                      <a:picLocks noChangeAspect="1"/>
                    </pic:cNvPicPr>
                  </pic:nvPicPr>
                  <pic:blipFill>
                    <a:blip r:embed="rId67"/>
                    <a:stretch>
                      <a:fillRect/>
                    </a:stretch>
                  </pic:blipFill>
                  <pic:spPr>
                    <a:xfrm>
                      <a:off x="0" y="0"/>
                      <a:ext cx="5760085" cy="8147685"/>
                    </a:xfrm>
                    <a:prstGeom prst="rect">
                      <a:avLst/>
                    </a:prstGeom>
                  </pic:spPr>
                </pic:pic>
              </a:graphicData>
            </a:graphic>
          </wp:inline>
        </w:drawing>
      </w:r>
      <w:r>
        <w:rPr>
          <w:rFonts w:hint="default" w:ascii="Times New Roman" w:hAnsi="Times New Roman" w:eastAsia="宋体" w:cs="Times New Roman"/>
          <w:lang w:eastAsia="zh-CN"/>
        </w:rPr>
        <w:drawing>
          <wp:inline distT="0" distB="0" distL="114300" distR="114300">
            <wp:extent cx="5760085" cy="8147685"/>
            <wp:effectExtent l="0" t="0" r="635" b="5715"/>
            <wp:docPr id="110" name="图片 110" descr="监测报告中联新材标杆(湘阴)工厂项目7-14扫描件监测报告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监测报告中联新材标杆(湘阴)工厂项目7-14扫描件监测报告_页面_5"/>
                    <pic:cNvPicPr>
                      <a:picLocks noChangeAspect="1"/>
                    </pic:cNvPicPr>
                  </pic:nvPicPr>
                  <pic:blipFill>
                    <a:blip r:embed="rId68"/>
                    <a:stretch>
                      <a:fillRect/>
                    </a:stretch>
                  </pic:blipFill>
                  <pic:spPr>
                    <a:xfrm>
                      <a:off x="0" y="0"/>
                      <a:ext cx="5760085" cy="8147685"/>
                    </a:xfrm>
                    <a:prstGeom prst="rect">
                      <a:avLst/>
                    </a:prstGeom>
                  </pic:spPr>
                </pic:pic>
              </a:graphicData>
            </a:graphic>
          </wp:inline>
        </w:drawing>
      </w:r>
    </w:p>
    <w:p>
      <w:pPr>
        <w:pStyle w:val="2"/>
        <w:ind w:left="0" w:leftChars="0" w:firstLine="0" w:firstLineChars="0"/>
        <w:rPr>
          <w:rFonts w:hint="default" w:ascii="Times New Roman" w:hAnsi="Times New Roman" w:cs="Times New Roman"/>
        </w:rPr>
      </w:pPr>
    </w:p>
    <w:p>
      <w:pPr>
        <w:bidi w:val="0"/>
        <w:ind w:left="0" w:leftChars="0" w:firstLine="0" w:firstLineChars="0"/>
        <w:rPr>
          <w:rFonts w:hint="default" w:ascii="Times New Roman" w:hAnsi="Times New Roman" w:cs="Times New Roman"/>
          <w:lang w:eastAsia="zh-CN"/>
        </w:rPr>
      </w:pPr>
    </w:p>
    <w:p>
      <w:pPr>
        <w:pStyle w:val="5"/>
        <w:bidi w:val="0"/>
        <w:rPr>
          <w:rFonts w:hint="default" w:ascii="Times New Roman" w:hAnsi="Times New Roman" w:cs="Times New Roman"/>
          <w:lang w:val="en-US" w:eastAsia="zh-CN"/>
        </w:rPr>
      </w:pPr>
      <w:bookmarkStart w:id="31" w:name="_Toc7931"/>
      <w:r>
        <w:rPr>
          <w:rFonts w:hint="default" w:ascii="Times New Roman" w:hAnsi="Times New Roman" w:cs="Times New Roman"/>
          <w:lang w:eastAsia="zh-CN"/>
        </w:rPr>
        <w:t>附件</w:t>
      </w:r>
      <w:r>
        <w:rPr>
          <w:rFonts w:hint="default" w:ascii="Times New Roman" w:hAnsi="Times New Roman" w:cs="Times New Roman"/>
          <w:lang w:val="en-US" w:eastAsia="zh-CN"/>
        </w:rPr>
        <w:t>10：水性油墨检测报告</w:t>
      </w:r>
      <w:bookmarkEnd w:id="31"/>
    </w:p>
    <w:p>
      <w:pPr>
        <w:ind w:left="0" w:leftChars="0" w:firstLine="0" w:firstLineChars="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drawing>
          <wp:inline distT="0" distB="0" distL="114300" distR="114300">
            <wp:extent cx="5763895" cy="7454265"/>
            <wp:effectExtent l="0" t="0" r="8255" b="13335"/>
            <wp:docPr id="14" name="图片 14" descr="239932b2f2b8de82bb37de83a8d6e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39932b2f2b8de82bb37de83a8d6e7b"/>
                    <pic:cNvPicPr>
                      <a:picLocks noChangeAspect="1"/>
                    </pic:cNvPicPr>
                  </pic:nvPicPr>
                  <pic:blipFill>
                    <a:blip r:embed="rId69"/>
                    <a:stretch>
                      <a:fillRect/>
                    </a:stretch>
                  </pic:blipFill>
                  <pic:spPr>
                    <a:xfrm>
                      <a:off x="0" y="0"/>
                      <a:ext cx="5763895" cy="7454265"/>
                    </a:xfrm>
                    <a:prstGeom prst="rect">
                      <a:avLst/>
                    </a:prstGeom>
                  </pic:spPr>
                </pic:pic>
              </a:graphicData>
            </a:graphic>
          </wp:inline>
        </w:drawing>
      </w:r>
      <w:r>
        <w:rPr>
          <w:rFonts w:hint="default" w:ascii="Times New Roman" w:hAnsi="Times New Roman" w:eastAsia="宋体" w:cs="Times New Roman"/>
          <w:sz w:val="24"/>
          <w:szCs w:val="24"/>
          <w:lang w:val="en-US" w:eastAsia="zh-CN"/>
        </w:rPr>
        <w:drawing>
          <wp:inline distT="0" distB="0" distL="114300" distR="114300">
            <wp:extent cx="5767070" cy="8657590"/>
            <wp:effectExtent l="0" t="0" r="5080" b="10160"/>
            <wp:docPr id="47" name="图片 47" descr="b45051a36cd9aa721fffa20542bb0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b45051a36cd9aa721fffa20542bb01f"/>
                    <pic:cNvPicPr>
                      <a:picLocks noChangeAspect="1"/>
                    </pic:cNvPicPr>
                  </pic:nvPicPr>
                  <pic:blipFill>
                    <a:blip r:embed="rId70"/>
                    <a:stretch>
                      <a:fillRect/>
                    </a:stretch>
                  </pic:blipFill>
                  <pic:spPr>
                    <a:xfrm>
                      <a:off x="0" y="0"/>
                      <a:ext cx="5767070" cy="8657590"/>
                    </a:xfrm>
                    <a:prstGeom prst="rect">
                      <a:avLst/>
                    </a:prstGeom>
                  </pic:spPr>
                </pic:pic>
              </a:graphicData>
            </a:graphic>
          </wp:inline>
        </w:drawing>
      </w:r>
      <w:r>
        <w:rPr>
          <w:rFonts w:hint="default" w:ascii="Times New Roman" w:hAnsi="Times New Roman" w:eastAsia="宋体" w:cs="Times New Roman"/>
          <w:sz w:val="24"/>
          <w:szCs w:val="24"/>
          <w:lang w:val="en-US" w:eastAsia="zh-CN"/>
        </w:rPr>
        <w:drawing>
          <wp:inline distT="0" distB="0" distL="114300" distR="114300">
            <wp:extent cx="6046470" cy="8554085"/>
            <wp:effectExtent l="0" t="0" r="11430" b="18415"/>
            <wp:docPr id="48" name="图片 48" descr="5b9039789b6bc2e1d9ba7ad9f3ab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5b9039789b6bc2e1d9ba7ad9f3ab586"/>
                    <pic:cNvPicPr>
                      <a:picLocks noChangeAspect="1"/>
                    </pic:cNvPicPr>
                  </pic:nvPicPr>
                  <pic:blipFill>
                    <a:blip r:embed="rId71"/>
                    <a:stretch>
                      <a:fillRect/>
                    </a:stretch>
                  </pic:blipFill>
                  <pic:spPr>
                    <a:xfrm>
                      <a:off x="0" y="0"/>
                      <a:ext cx="6046470" cy="8554085"/>
                    </a:xfrm>
                    <a:prstGeom prst="rect">
                      <a:avLst/>
                    </a:prstGeom>
                  </pic:spPr>
                </pic:pic>
              </a:graphicData>
            </a:graphic>
          </wp:inline>
        </w:drawing>
      </w:r>
    </w:p>
    <w:p>
      <w:pPr>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br w:type="page"/>
      </w:r>
    </w:p>
    <w:p>
      <w:pPr>
        <w:pStyle w:val="5"/>
        <w:bidi w:val="0"/>
        <w:rPr>
          <w:rFonts w:hint="default" w:ascii="Times New Roman" w:hAnsi="Times New Roman" w:cs="Times New Roman"/>
          <w:lang w:val="en-US" w:eastAsia="zh-CN"/>
        </w:rPr>
      </w:pPr>
      <w:bookmarkStart w:id="32" w:name="_Toc5633"/>
      <w:r>
        <w:rPr>
          <w:rFonts w:hint="default" w:ascii="Times New Roman" w:hAnsi="Times New Roman" w:cs="Times New Roman"/>
          <w:lang w:eastAsia="zh-CN"/>
        </w:rPr>
        <w:t>附件</w:t>
      </w:r>
      <w:r>
        <w:rPr>
          <w:rFonts w:hint="default" w:ascii="Times New Roman" w:hAnsi="Times New Roman" w:cs="Times New Roman"/>
          <w:lang w:val="en-US" w:eastAsia="zh-CN"/>
        </w:rPr>
        <w:t>11：关于关于中联新型材料标杆工程项目的联审意见</w:t>
      </w:r>
      <w:bookmarkEnd w:id="32"/>
    </w:p>
    <w:p>
      <w:pPr>
        <w:bidi w:val="0"/>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5626100" cy="7426960"/>
            <wp:effectExtent l="0" t="0" r="12700" b="10160"/>
            <wp:docPr id="38" name="图片 38" descr="微信图片_2022071818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微信图片_20220718181710"/>
                    <pic:cNvPicPr>
                      <a:picLocks noChangeAspect="1"/>
                    </pic:cNvPicPr>
                  </pic:nvPicPr>
                  <pic:blipFill>
                    <a:blip r:embed="rId72"/>
                    <a:stretch>
                      <a:fillRect/>
                    </a:stretch>
                  </pic:blipFill>
                  <pic:spPr>
                    <a:xfrm>
                      <a:off x="0" y="0"/>
                      <a:ext cx="5626100" cy="7426960"/>
                    </a:xfrm>
                    <a:prstGeom prst="rect">
                      <a:avLst/>
                    </a:prstGeom>
                  </pic:spPr>
                </pic:pic>
              </a:graphicData>
            </a:graphic>
          </wp:inline>
        </w:drawing>
      </w:r>
      <w:r>
        <w:rPr>
          <w:rFonts w:hint="default" w:ascii="Times New Roman" w:hAnsi="Times New Roman" w:cs="Times New Roman"/>
          <w:lang w:val="en-US" w:eastAsia="zh-CN"/>
        </w:rPr>
        <w:drawing>
          <wp:inline distT="0" distB="0" distL="114300" distR="114300">
            <wp:extent cx="5913120" cy="8188960"/>
            <wp:effectExtent l="0" t="0" r="0" b="10160"/>
            <wp:docPr id="41" name="图片 41" descr="微信图片_2022071818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微信图片_20220718181721"/>
                    <pic:cNvPicPr>
                      <a:picLocks noChangeAspect="1"/>
                    </pic:cNvPicPr>
                  </pic:nvPicPr>
                  <pic:blipFill>
                    <a:blip r:embed="rId73"/>
                    <a:stretch>
                      <a:fillRect/>
                    </a:stretch>
                  </pic:blipFill>
                  <pic:spPr>
                    <a:xfrm>
                      <a:off x="0" y="0"/>
                      <a:ext cx="5913120" cy="8188960"/>
                    </a:xfrm>
                    <a:prstGeom prst="rect">
                      <a:avLst/>
                    </a:prstGeom>
                  </pic:spPr>
                </pic:pic>
              </a:graphicData>
            </a:graphic>
          </wp:inline>
        </w:drawing>
      </w:r>
    </w:p>
    <w:p>
      <w:pPr>
        <w:bidi w:val="0"/>
        <w:rPr>
          <w:rFonts w:hint="default" w:ascii="Times New Roman" w:hAnsi="Times New Roman" w:cs="Times New Roman"/>
          <w:lang w:eastAsia="zh-CN"/>
        </w:rPr>
      </w:pPr>
    </w:p>
    <w:p>
      <w:pPr>
        <w:pStyle w:val="5"/>
        <w:bidi w:val="0"/>
        <w:rPr>
          <w:rFonts w:hint="default" w:ascii="Times New Roman" w:hAnsi="Times New Roman" w:cs="Times New Roman"/>
          <w:lang w:val="en-US" w:eastAsia="zh-CN"/>
        </w:rPr>
      </w:pPr>
      <w:bookmarkStart w:id="33" w:name="_Toc2687"/>
      <w:r>
        <w:rPr>
          <w:rFonts w:hint="default" w:ascii="Times New Roman" w:hAnsi="Times New Roman" w:cs="Times New Roman"/>
          <w:lang w:eastAsia="zh-CN"/>
        </w:rPr>
        <w:t>附件</w:t>
      </w:r>
      <w:r>
        <w:rPr>
          <w:rFonts w:hint="default" w:ascii="Times New Roman" w:hAnsi="Times New Roman" w:cs="Times New Roman"/>
          <w:lang w:val="en-US" w:eastAsia="zh-CN"/>
        </w:rPr>
        <w:t>12：专家评审意见及签到表</w:t>
      </w:r>
      <w:bookmarkEnd w:id="33"/>
    </w:p>
    <w:p>
      <w:pPr>
        <w:pStyle w:val="2"/>
        <w:ind w:left="0" w:leftChars="0"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5759450" cy="7967980"/>
            <wp:effectExtent l="0" t="0" r="1270" b="2540"/>
            <wp:docPr id="119" name="图片 119" descr="微信图片_2022072010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微信图片_20220720101554"/>
                    <pic:cNvPicPr>
                      <a:picLocks noChangeAspect="1"/>
                    </pic:cNvPicPr>
                  </pic:nvPicPr>
                  <pic:blipFill>
                    <a:blip r:embed="rId74"/>
                    <a:stretch>
                      <a:fillRect/>
                    </a:stretch>
                  </pic:blipFill>
                  <pic:spPr>
                    <a:xfrm>
                      <a:off x="0" y="0"/>
                      <a:ext cx="5759450" cy="7967980"/>
                    </a:xfrm>
                    <a:prstGeom prst="rect">
                      <a:avLst/>
                    </a:prstGeom>
                  </pic:spPr>
                </pic:pic>
              </a:graphicData>
            </a:graphic>
          </wp:inline>
        </w:drawing>
      </w:r>
      <w:r>
        <w:rPr>
          <w:rFonts w:hint="default" w:ascii="Times New Roman" w:hAnsi="Times New Roman" w:cs="Times New Roman"/>
          <w:lang w:val="en-US" w:eastAsia="zh-CN"/>
        </w:rPr>
        <w:drawing>
          <wp:inline distT="0" distB="0" distL="114300" distR="114300">
            <wp:extent cx="5759450" cy="7967980"/>
            <wp:effectExtent l="0" t="0" r="1270" b="2540"/>
            <wp:docPr id="120" name="图片 120" descr="微信图片_2022072010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微信图片_20220720101558"/>
                    <pic:cNvPicPr>
                      <a:picLocks noChangeAspect="1"/>
                    </pic:cNvPicPr>
                  </pic:nvPicPr>
                  <pic:blipFill>
                    <a:blip r:embed="rId75"/>
                    <a:stretch>
                      <a:fillRect/>
                    </a:stretch>
                  </pic:blipFill>
                  <pic:spPr>
                    <a:xfrm>
                      <a:off x="0" y="0"/>
                      <a:ext cx="5759450" cy="7967980"/>
                    </a:xfrm>
                    <a:prstGeom prst="rect">
                      <a:avLst/>
                    </a:prstGeom>
                  </pic:spPr>
                </pic:pic>
              </a:graphicData>
            </a:graphic>
          </wp:inline>
        </w:drawing>
      </w:r>
      <w:r>
        <w:rPr>
          <w:rFonts w:hint="default" w:ascii="Times New Roman" w:hAnsi="Times New Roman" w:cs="Times New Roman"/>
          <w:lang w:val="en-US" w:eastAsia="zh-CN"/>
        </w:rPr>
        <w:drawing>
          <wp:inline distT="0" distB="0" distL="114300" distR="114300">
            <wp:extent cx="5759450" cy="7967980"/>
            <wp:effectExtent l="0" t="0" r="1270" b="2540"/>
            <wp:docPr id="118" name="图片 118" descr="微信图片_2022072010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微信图片_20220720101530"/>
                    <pic:cNvPicPr>
                      <a:picLocks noChangeAspect="1"/>
                    </pic:cNvPicPr>
                  </pic:nvPicPr>
                  <pic:blipFill>
                    <a:blip r:embed="rId76"/>
                    <a:stretch>
                      <a:fillRect/>
                    </a:stretch>
                  </pic:blipFill>
                  <pic:spPr>
                    <a:xfrm>
                      <a:off x="0" y="0"/>
                      <a:ext cx="5759450" cy="7967980"/>
                    </a:xfrm>
                    <a:prstGeom prst="rect">
                      <a:avLst/>
                    </a:prstGeom>
                  </pic:spPr>
                </pic:pic>
              </a:graphicData>
            </a:graphic>
          </wp:inline>
        </w:drawing>
      </w:r>
    </w:p>
    <w:p>
      <w:pPr>
        <w:ind w:left="0" w:leftChars="0" w:firstLine="0" w:firstLineChars="0"/>
        <w:rPr>
          <w:rFonts w:hint="default" w:ascii="Times New Roman" w:hAnsi="Times New Roman" w:cs="Times New Roman"/>
        </w:rPr>
      </w:pPr>
      <w:r>
        <w:rPr>
          <w:rFonts w:hint="default" w:ascii="Times New Roman" w:hAnsi="Times New Roman" w:cs="Times New Roman"/>
        </w:rPr>
        <w:drawing>
          <wp:anchor distT="0" distB="0" distL="114935" distR="114935" simplePos="0" relativeHeight="251666432" behindDoc="0" locked="0" layoutInCell="1" allowOverlap="1">
            <wp:simplePos x="0" y="0"/>
            <wp:positionH relativeFrom="column">
              <wp:posOffset>5100955</wp:posOffset>
            </wp:positionH>
            <wp:positionV relativeFrom="paragraph">
              <wp:posOffset>71755</wp:posOffset>
            </wp:positionV>
            <wp:extent cx="752475" cy="1151255"/>
            <wp:effectExtent l="9525" t="9525" r="19050" b="2032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77"/>
                    <a:stretch>
                      <a:fillRect/>
                    </a:stretch>
                  </pic:blipFill>
                  <pic:spPr>
                    <a:xfrm>
                      <a:off x="0" y="0"/>
                      <a:ext cx="752475" cy="1151255"/>
                    </a:xfrm>
                    <a:prstGeom prst="rect">
                      <a:avLst/>
                    </a:prstGeom>
                    <a:noFill/>
                    <a:ln>
                      <a:solidFill>
                        <a:schemeClr val="tx1"/>
                      </a:solidFill>
                    </a:ln>
                  </pic:spPr>
                </pic:pic>
              </a:graphicData>
            </a:graphic>
          </wp:anchor>
        </w:drawing>
      </w:r>
      <w:r>
        <w:rPr>
          <w:rFonts w:hint="default" w:ascii="Times New Roman" w:hAnsi="Times New Roman" w:cs="Times New Roman"/>
          <w:sz w:val="24"/>
        </w:rPr>
        <mc:AlternateContent>
          <mc:Choice Requires="wps">
            <w:drawing>
              <wp:anchor distT="0" distB="0" distL="114300" distR="114300" simplePos="0" relativeHeight="251668480" behindDoc="0" locked="0" layoutInCell="1" allowOverlap="1">
                <wp:simplePos x="0" y="0"/>
                <wp:positionH relativeFrom="column">
                  <wp:posOffset>3968750</wp:posOffset>
                </wp:positionH>
                <wp:positionV relativeFrom="paragraph">
                  <wp:posOffset>4615815</wp:posOffset>
                </wp:positionV>
                <wp:extent cx="123825" cy="123825"/>
                <wp:effectExtent l="6350" t="6350" r="22225" b="22225"/>
                <wp:wrapNone/>
                <wp:docPr id="227" name="椭圆 227"/>
                <wp:cNvGraphicFramePr/>
                <a:graphic xmlns:a="http://schemas.openxmlformats.org/drawingml/2006/main">
                  <a:graphicData uri="http://schemas.microsoft.com/office/word/2010/wordprocessingShape">
                    <wps:wsp>
                      <wps:cNvSpPr/>
                      <wps:spPr>
                        <a:xfrm>
                          <a:off x="4487545" y="5384165"/>
                          <a:ext cx="123825" cy="123825"/>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12.5pt;margin-top:363.45pt;height:9.75pt;width:9.75pt;z-index:251668480;v-text-anchor:middle;mso-width-relative:page;mso-height-relative:page;" fillcolor="#FF0000" filled="t" stroked="t" coordsize="21600,21600" o:gfxdata="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IK+KSraAAAACwEAAA8AAAAAAAAAAQAgAAAAIgAAAGRycy9kb3ducmV2LnhtbFBLAQIUABQA&#10;AAAIAIdO4kCtGA/6YAIAALgEAAAOAAAAAAAAAAEAIAAAACkBAABkcnMvZTJvRG9jLnhtbFBLBQYA&#10;AAAABgAGAFkBAAD7BQAAAAA=&#10;">
                <v:fill on="t" focussize="0,0"/>
                <v:stroke weight="1pt" color="#000000 [3213]" miterlimit="8" joinstyle="miter"/>
                <v:imagedata o:title=""/>
                <o:lock v:ext="edit" aspectratio="f"/>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67456" behindDoc="0" locked="0" layoutInCell="1" allowOverlap="1">
                <wp:simplePos x="0" y="0"/>
                <wp:positionH relativeFrom="column">
                  <wp:posOffset>4397375</wp:posOffset>
                </wp:positionH>
                <wp:positionV relativeFrom="paragraph">
                  <wp:posOffset>2415540</wp:posOffset>
                </wp:positionV>
                <wp:extent cx="1362075" cy="390525"/>
                <wp:effectExtent l="338455" t="6350" r="13970" b="1851025"/>
                <wp:wrapNone/>
                <wp:docPr id="226" name="线形标注 2 226"/>
                <wp:cNvGraphicFramePr/>
                <a:graphic xmlns:a="http://schemas.openxmlformats.org/drawingml/2006/main">
                  <a:graphicData uri="http://schemas.microsoft.com/office/word/2010/wordprocessingShape">
                    <wps:wsp>
                      <wps:cNvSpPr/>
                      <wps:spPr>
                        <a:xfrm>
                          <a:off x="3049270" y="3374390"/>
                          <a:ext cx="1362075" cy="390525"/>
                        </a:xfrm>
                        <a:prstGeom prst="borderCallout2">
                          <a:avLst>
                            <a:gd name="adj1" fmla="val 99349"/>
                            <a:gd name="adj2" fmla="val 54172"/>
                            <a:gd name="adj3" fmla="val 199186"/>
                            <a:gd name="adj4" fmla="val 52261"/>
                            <a:gd name="adj5" fmla="val 571869"/>
                            <a:gd name="adj6" fmla="val -24475"/>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left="0" w:leftChars="0" w:firstLine="0" w:firstLineChars="0"/>
                              <w:jc w:val="center"/>
                              <w:rPr>
                                <w:rFonts w:hint="eastAsia" w:eastAsia="宋体"/>
                                <w:b/>
                                <w:bCs/>
                                <w:color w:val="FF0000"/>
                                <w:lang w:eastAsia="zh-CN"/>
                              </w:rPr>
                            </w:pPr>
                            <w:r>
                              <w:rPr>
                                <w:rFonts w:hint="eastAsia"/>
                                <w:b/>
                                <w:bCs/>
                                <w:color w:val="FF0000"/>
                                <w:lang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8" type="#_x0000_t48" style="position:absolute;left:0pt;margin-left:346.25pt;margin-top:190.2pt;height:30.75pt;width:107.25pt;z-index:251667456;v-text-anchor:middle;mso-width-relative:page;mso-height-relative:page;" filled="f" stroked="t" coordsize="21600,21600" o:gfxdata="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IJ5QHfc&#10;AAAACwEAAA8AAAAAAAAAAQAgAAAAIgAAAGRycy9kb3ducmV2LnhtbFBLAQIUABQAAAAIAIdO4kDh&#10;ipqwxwIAAI4FAAAOAAAAAAAAAAEAIAAAACsBAABkcnMvZTJvRG9jLnhtbFBLBQYAAAAABgAGAFkB&#10;AABkBgAAAAA=&#10;" adj="-5287,123524,11288,43024,11701,21459">
                <v:fill on="f" focussize="0,0"/>
                <v:stroke weight="1pt" color="#FF0000 [3204]" miterlimit="8" joinstyle="miter"/>
                <v:imagedata o:title=""/>
                <o:lock v:ext="edit" aspectratio="f"/>
                <v:textbox>
                  <w:txbxContent>
                    <w:p>
                      <w:pPr>
                        <w:ind w:left="0" w:leftChars="0" w:firstLine="0" w:firstLineChars="0"/>
                        <w:jc w:val="center"/>
                        <w:rPr>
                          <w:rFonts w:hint="eastAsia" w:eastAsia="宋体"/>
                          <w:b/>
                          <w:bCs/>
                          <w:color w:val="FF0000"/>
                          <w:lang w:eastAsia="zh-CN"/>
                        </w:rPr>
                      </w:pPr>
                      <w:r>
                        <w:rPr>
                          <w:rFonts w:hint="eastAsia"/>
                          <w:b/>
                          <w:bCs/>
                          <w:color w:val="FF0000"/>
                          <w:lang w:eastAsia="zh-CN"/>
                        </w:rPr>
                        <w:t>项目所在地</w:t>
                      </w:r>
                    </w:p>
                  </w:txbxContent>
                </v:textbox>
              </v:shape>
            </w:pict>
          </mc:Fallback>
        </mc:AlternateContent>
      </w:r>
      <w:r>
        <w:rPr>
          <w:rFonts w:hint="default" w:ascii="Times New Roman" w:hAnsi="Times New Roman" w:cs="Times New Roman"/>
        </w:rPr>
        <w:drawing>
          <wp:inline distT="0" distB="0" distL="114935" distR="114935">
            <wp:extent cx="5900420" cy="8027670"/>
            <wp:effectExtent l="9525" t="9525" r="14605" b="20955"/>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78"/>
                    <a:srcRect l="3621" t="5530" r="3621" b="5530"/>
                    <a:stretch>
                      <a:fillRect/>
                    </a:stretch>
                  </pic:blipFill>
                  <pic:spPr>
                    <a:xfrm>
                      <a:off x="0" y="0"/>
                      <a:ext cx="5900420" cy="8027670"/>
                    </a:xfrm>
                    <a:prstGeom prst="rect">
                      <a:avLst/>
                    </a:prstGeom>
                    <a:noFill/>
                    <a:ln>
                      <a:solidFill>
                        <a:schemeClr val="tx1"/>
                      </a:solidFill>
                    </a:ln>
                  </pic:spPr>
                </pic:pic>
              </a:graphicData>
            </a:graphic>
          </wp:inline>
        </w:drawing>
      </w:r>
    </w:p>
    <w:p>
      <w:pPr>
        <w:pStyle w:val="5"/>
        <w:bidi w:val="0"/>
        <w:jc w:val="center"/>
        <w:rPr>
          <w:rFonts w:hint="default" w:ascii="Times New Roman" w:hAnsi="Times New Roman" w:cs="Times New Roman"/>
          <w:lang w:val="en-US" w:eastAsia="zh-CN"/>
        </w:rPr>
      </w:pPr>
      <w:bookmarkStart w:id="34" w:name="_Toc18247"/>
      <w:bookmarkStart w:id="35" w:name="_Toc12614"/>
      <w:r>
        <w:rPr>
          <w:rFonts w:hint="default" w:ascii="Times New Roman" w:hAnsi="Times New Roman" w:cs="Times New Roman"/>
          <w:lang w:val="en-US" w:eastAsia="zh-CN"/>
        </w:rPr>
        <w:t>附图1：项目地理位置图</w:t>
      </w:r>
      <w:bookmarkEnd w:id="34"/>
      <w:bookmarkEnd w:id="35"/>
    </w:p>
    <w:p>
      <w:pPr>
        <w:pStyle w:val="5"/>
        <w:rPr>
          <w:rFonts w:hint="default" w:ascii="Times New Roman" w:hAnsi="Times New Roman" w:cs="Times New Roman"/>
        </w:rPr>
        <w:sectPr>
          <w:pgSz w:w="11906" w:h="16838"/>
          <w:pgMar w:top="1417" w:right="1417" w:bottom="1553" w:left="1417" w:header="851" w:footer="992" w:gutter="0"/>
          <w:pgBorders w:offsetFrom="page">
            <w:top w:val="none" w:sz="0" w:space="0"/>
            <w:left w:val="none" w:sz="0" w:space="0"/>
            <w:bottom w:val="none" w:sz="0" w:space="0"/>
            <w:right w:val="none" w:sz="0" w:space="0"/>
          </w:pgBorders>
          <w:cols w:space="0" w:num="1"/>
          <w:rtlGutter w:val="0"/>
          <w:docGrid w:type="lines" w:linePitch="312" w:charSpace="0"/>
        </w:sectPr>
      </w:pPr>
    </w:p>
    <w:p>
      <w:pPr>
        <w:ind w:left="0" w:leftChars="0" w:firstLine="0" w:firstLineChars="0"/>
        <w:jc w:val="center"/>
        <w:rPr>
          <w:rFonts w:hint="default" w:ascii="Times New Roman" w:hAnsi="Times New Roman" w:cs="Times New Roman"/>
        </w:rPr>
      </w:pPr>
      <w:r>
        <w:rPr>
          <w:rFonts w:hint="default" w:ascii="Times New Roman" w:hAnsi="Times New Roman" w:cs="Times New Roman"/>
        </w:rPr>
        <w:drawing>
          <wp:anchor distT="0" distB="0" distL="114935" distR="114935" simplePos="0" relativeHeight="251672576" behindDoc="0" locked="0" layoutInCell="1" allowOverlap="1">
            <wp:simplePos x="0" y="0"/>
            <wp:positionH relativeFrom="column">
              <wp:posOffset>7537450</wp:posOffset>
            </wp:positionH>
            <wp:positionV relativeFrom="paragraph">
              <wp:posOffset>124460</wp:posOffset>
            </wp:positionV>
            <wp:extent cx="752475" cy="1151255"/>
            <wp:effectExtent l="9525" t="9525" r="19050" b="20320"/>
            <wp:wrapNone/>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77"/>
                    <a:stretch>
                      <a:fillRect/>
                    </a:stretch>
                  </pic:blipFill>
                  <pic:spPr>
                    <a:xfrm>
                      <a:off x="0" y="0"/>
                      <a:ext cx="752475" cy="1151255"/>
                    </a:xfrm>
                    <a:prstGeom prst="rect">
                      <a:avLst/>
                    </a:prstGeom>
                    <a:noFill/>
                    <a:ln>
                      <a:solidFill>
                        <a:schemeClr val="tx1"/>
                      </a:solidFill>
                    </a:ln>
                  </pic:spPr>
                </pic:pic>
              </a:graphicData>
            </a:graphic>
          </wp:anchor>
        </w:drawing>
      </w:r>
      <w:r>
        <w:rPr>
          <w:rFonts w:hint="default" w:ascii="Times New Roman" w:hAnsi="Times New Roman" w:cs="Times New Roman"/>
        </w:rPr>
        <w:drawing>
          <wp:inline distT="0" distB="0" distL="114300" distR="114300">
            <wp:extent cx="7910195" cy="5208905"/>
            <wp:effectExtent l="0" t="0" r="14605" b="10795"/>
            <wp:docPr id="23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9"/>
                    <pic:cNvPicPr>
                      <a:picLocks noChangeAspect="1"/>
                    </pic:cNvPicPr>
                  </pic:nvPicPr>
                  <pic:blipFill>
                    <a:blip r:embed="rId79"/>
                    <a:stretch>
                      <a:fillRect/>
                    </a:stretch>
                  </pic:blipFill>
                  <pic:spPr>
                    <a:xfrm>
                      <a:off x="0" y="0"/>
                      <a:ext cx="7910195" cy="5208905"/>
                    </a:xfrm>
                    <a:prstGeom prst="rect">
                      <a:avLst/>
                    </a:prstGeom>
                    <a:noFill/>
                    <a:ln>
                      <a:noFill/>
                    </a:ln>
                  </pic:spPr>
                </pic:pic>
              </a:graphicData>
            </a:graphic>
          </wp:inline>
        </w:drawing>
      </w:r>
    </w:p>
    <w:p>
      <w:pPr>
        <w:pStyle w:val="5"/>
        <w:bidi w:val="0"/>
        <w:jc w:val="center"/>
        <w:rPr>
          <w:rFonts w:hint="default" w:ascii="Times New Roman" w:hAnsi="Times New Roman" w:cs="Times New Roman"/>
          <w:lang w:val="en-US" w:eastAsia="zh-CN"/>
        </w:rPr>
      </w:pPr>
      <w:bookmarkStart w:id="36" w:name="_Toc15708"/>
      <w:r>
        <w:rPr>
          <w:rFonts w:hint="default" w:ascii="Times New Roman" w:hAnsi="Times New Roman" w:cs="Times New Roman"/>
          <w:lang w:val="en-US" w:eastAsia="zh-CN"/>
        </w:rPr>
        <w:t>附图2：项目地理位置卫星地图</w:t>
      </w:r>
      <w:bookmarkEnd w:id="36"/>
    </w:p>
    <w:p>
      <w:pPr>
        <w:ind w:left="0" w:leftChars="0" w:firstLine="0" w:firstLineChars="0"/>
        <w:jc w:val="center"/>
        <w:rPr>
          <w:rFonts w:hint="default" w:ascii="Times New Roman" w:hAnsi="Times New Roman" w:cs="Times New Roman"/>
        </w:rPr>
      </w:pPr>
      <w:r>
        <w:rPr>
          <w:rFonts w:hint="default" w:ascii="Times New Roman" w:hAnsi="Times New Roman" w:cs="Times New Roman"/>
        </w:rPr>
        <w:drawing>
          <wp:anchor distT="0" distB="0" distL="114935" distR="114935" simplePos="0" relativeHeight="251673600" behindDoc="0" locked="0" layoutInCell="1" allowOverlap="1">
            <wp:simplePos x="0" y="0"/>
            <wp:positionH relativeFrom="column">
              <wp:posOffset>7580630</wp:posOffset>
            </wp:positionH>
            <wp:positionV relativeFrom="paragraph">
              <wp:posOffset>133350</wp:posOffset>
            </wp:positionV>
            <wp:extent cx="752475" cy="1151255"/>
            <wp:effectExtent l="9525" t="9525" r="19050" b="20320"/>
            <wp:wrapNone/>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77"/>
                    <a:stretch>
                      <a:fillRect/>
                    </a:stretch>
                  </pic:blipFill>
                  <pic:spPr>
                    <a:xfrm>
                      <a:off x="0" y="0"/>
                      <a:ext cx="752475" cy="1151255"/>
                    </a:xfrm>
                    <a:prstGeom prst="rect">
                      <a:avLst/>
                    </a:prstGeom>
                    <a:noFill/>
                    <a:ln>
                      <a:solidFill>
                        <a:schemeClr val="tx1"/>
                      </a:solidFill>
                    </a:ln>
                  </pic:spPr>
                </pic:pic>
              </a:graphicData>
            </a:graphic>
          </wp:anchor>
        </w:drawing>
      </w:r>
      <w:r>
        <w:rPr>
          <w:rFonts w:hint="default" w:ascii="Times New Roman" w:hAnsi="Times New Roman" w:cs="Times New Roman"/>
        </w:rPr>
        <w:drawing>
          <wp:inline distT="0" distB="0" distL="114300" distR="114300">
            <wp:extent cx="7987030" cy="5125720"/>
            <wp:effectExtent l="0" t="0" r="13970" b="17780"/>
            <wp:docPr id="23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0"/>
                    <pic:cNvPicPr>
                      <a:picLocks noChangeAspect="1"/>
                    </pic:cNvPicPr>
                  </pic:nvPicPr>
                  <pic:blipFill>
                    <a:blip r:embed="rId80"/>
                    <a:stretch>
                      <a:fillRect/>
                    </a:stretch>
                  </pic:blipFill>
                  <pic:spPr>
                    <a:xfrm>
                      <a:off x="0" y="0"/>
                      <a:ext cx="7987030" cy="5125720"/>
                    </a:xfrm>
                    <a:prstGeom prst="rect">
                      <a:avLst/>
                    </a:prstGeom>
                    <a:noFill/>
                    <a:ln>
                      <a:noFill/>
                    </a:ln>
                  </pic:spPr>
                </pic:pic>
              </a:graphicData>
            </a:graphic>
          </wp:inline>
        </w:drawing>
      </w:r>
    </w:p>
    <w:p>
      <w:pPr>
        <w:pStyle w:val="5"/>
        <w:bidi w:val="0"/>
        <w:jc w:val="center"/>
        <w:rPr>
          <w:rFonts w:hint="default" w:ascii="Times New Roman" w:hAnsi="Times New Roman" w:cs="Times New Roman"/>
        </w:rPr>
      </w:pPr>
      <w:bookmarkStart w:id="37" w:name="_Toc12359"/>
      <w:r>
        <w:rPr>
          <w:rFonts w:hint="default" w:ascii="Times New Roman" w:hAnsi="Times New Roman" w:cs="Times New Roman"/>
          <w:lang w:val="en-US" w:eastAsia="zh-CN"/>
        </w:rPr>
        <w:t>附图3：项目四至关系图</w:t>
      </w:r>
      <w:bookmarkEnd w:id="37"/>
    </w:p>
    <w:p>
      <w:pPr>
        <w:ind w:left="0" w:leftChars="0" w:firstLine="0" w:firstLineChars="0"/>
        <w:rPr>
          <w:rFonts w:hint="default" w:ascii="Times New Roman" w:hAnsi="Times New Roman" w:cs="Times New Roman"/>
          <w:sz w:val="24"/>
        </w:rPr>
        <w:sectPr>
          <w:pgSz w:w="16838" w:h="11906" w:orient="landscape"/>
          <w:pgMar w:top="1417" w:right="1417" w:bottom="1417" w:left="1553" w:header="851" w:footer="992" w:gutter="0"/>
          <w:pgBorders w:offsetFrom="page">
            <w:top w:val="none" w:sz="0" w:space="0"/>
            <w:left w:val="none" w:sz="0" w:space="0"/>
            <w:bottom w:val="none" w:sz="0" w:space="0"/>
            <w:right w:val="none" w:sz="0" w:space="0"/>
          </w:pgBorders>
          <w:cols w:space="0" w:num="1"/>
          <w:rtlGutter w:val="0"/>
          <w:docGrid w:type="lines" w:linePitch="336" w:charSpace="0"/>
        </w:sectPr>
      </w:pPr>
    </w:p>
    <w:p>
      <w:pPr>
        <w:ind w:left="0" w:leftChars="0" w:firstLine="0" w:firstLineChars="0"/>
        <w:rPr>
          <w:rFonts w:hint="default" w:ascii="Times New Roman" w:hAnsi="Times New Roman" w:cs="Times New Roman"/>
          <w:sz w:val="24"/>
        </w:rPr>
      </w:pPr>
      <w:r>
        <w:rPr>
          <w:rFonts w:hint="default" w:ascii="Times New Roman" w:hAnsi="Times New Roman" w:cs="Times New Roman"/>
          <w:sz w:val="24"/>
        </w:rPr>
        <mc:AlternateContent>
          <mc:Choice Requires="wps">
            <w:drawing>
              <wp:anchor distT="0" distB="0" distL="114300" distR="114300" simplePos="0" relativeHeight="251703296" behindDoc="0" locked="0" layoutInCell="1" allowOverlap="1">
                <wp:simplePos x="0" y="0"/>
                <wp:positionH relativeFrom="column">
                  <wp:posOffset>3314065</wp:posOffset>
                </wp:positionH>
                <wp:positionV relativeFrom="paragraph">
                  <wp:posOffset>1411605</wp:posOffset>
                </wp:positionV>
                <wp:extent cx="1362075" cy="390525"/>
                <wp:effectExtent l="360680" t="6350" r="14605" b="593725"/>
                <wp:wrapNone/>
                <wp:docPr id="21" name="线形标注 2 21"/>
                <wp:cNvGraphicFramePr/>
                <a:graphic xmlns:a="http://schemas.openxmlformats.org/drawingml/2006/main">
                  <a:graphicData uri="http://schemas.microsoft.com/office/word/2010/wordprocessingShape">
                    <wps:wsp>
                      <wps:cNvSpPr/>
                      <wps:spPr>
                        <a:xfrm>
                          <a:off x="6169660" y="142240"/>
                          <a:ext cx="1362075" cy="390525"/>
                        </a:xfrm>
                        <a:prstGeom prst="borderCallout2">
                          <a:avLst>
                            <a:gd name="adj1" fmla="val 52845"/>
                            <a:gd name="adj2" fmla="val -512"/>
                            <a:gd name="adj3" fmla="val 55121"/>
                            <a:gd name="adj4" fmla="val -25920"/>
                            <a:gd name="adj5" fmla="val 251219"/>
                            <a:gd name="adj6" fmla="val -14405"/>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left="0" w:leftChars="0" w:firstLine="0" w:firstLineChars="0"/>
                              <w:jc w:val="center"/>
                              <w:rPr>
                                <w:rFonts w:hint="eastAsia" w:eastAsia="宋体"/>
                                <w:b/>
                                <w:bCs/>
                                <w:color w:val="FF0000"/>
                                <w:lang w:eastAsia="zh-CN"/>
                              </w:rPr>
                            </w:pPr>
                            <w:r>
                              <w:rPr>
                                <w:rFonts w:hint="eastAsia"/>
                                <w:b/>
                                <w:bCs/>
                                <w:color w:val="FF0000"/>
                                <w:lang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8" type="#_x0000_t48" style="position:absolute;left:0pt;margin-left:260.95pt;margin-top:111.15pt;height:30.75pt;width:107.25pt;z-index:251703296;v-text-anchor:middle;mso-width-relative:page;mso-height-relative:page;" filled="f" stroked="t" coordsize="21600,21600" o:gfxdata="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IhHXHrbAAAA&#10;CwEAAA8AAAAAAAAAAQAgAAAAIgAAAGRycy9kb3ducmV2LnhtbFBLAQIUABQAAAAIAIdO4kCoUiZo&#10;xQIAAIoFAAAOAAAAAAAAAAEAIAAAACoBAABkcnMvZTJvRG9jLnhtbFBLBQYAAAAABgAGAFkBAABh&#10;BgAAAAA=&#10;" adj="-3111,54263,-5599,11906,-111,11415">
                <v:fill on="f" focussize="0,0"/>
                <v:stroke weight="1pt" color="#FF0000 [3204]" miterlimit="8" joinstyle="miter"/>
                <v:imagedata o:title=""/>
                <o:lock v:ext="edit" aspectratio="f"/>
                <v:textbox>
                  <w:txbxContent>
                    <w:p>
                      <w:pPr>
                        <w:ind w:left="0" w:leftChars="0" w:firstLine="0" w:firstLineChars="0"/>
                        <w:jc w:val="center"/>
                        <w:rPr>
                          <w:rFonts w:hint="eastAsia" w:eastAsia="宋体"/>
                          <w:b/>
                          <w:bCs/>
                          <w:color w:val="FF0000"/>
                          <w:lang w:eastAsia="zh-CN"/>
                        </w:rPr>
                      </w:pPr>
                      <w:r>
                        <w:rPr>
                          <w:rFonts w:hint="eastAsia"/>
                          <w:b/>
                          <w:bCs/>
                          <w:color w:val="FF0000"/>
                          <w:lang w:eastAsia="zh-CN"/>
                        </w:rPr>
                        <w:t>项目所在地</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04320" behindDoc="0" locked="0" layoutInCell="1" allowOverlap="1">
                <wp:simplePos x="0" y="0"/>
                <wp:positionH relativeFrom="column">
                  <wp:posOffset>3052445</wp:posOffset>
                </wp:positionH>
                <wp:positionV relativeFrom="paragraph">
                  <wp:posOffset>2400300</wp:posOffset>
                </wp:positionV>
                <wp:extent cx="123825" cy="123825"/>
                <wp:effectExtent l="6350" t="6350" r="22225" b="22225"/>
                <wp:wrapNone/>
                <wp:docPr id="18" name="椭圆 18"/>
                <wp:cNvGraphicFramePr/>
                <a:graphic xmlns:a="http://schemas.openxmlformats.org/drawingml/2006/main">
                  <a:graphicData uri="http://schemas.microsoft.com/office/word/2010/wordprocessingShape">
                    <wps:wsp>
                      <wps:cNvSpPr/>
                      <wps:spPr>
                        <a:xfrm>
                          <a:off x="5758815" y="2326005"/>
                          <a:ext cx="123825" cy="123825"/>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40.35pt;margin-top:189pt;height:9.75pt;width:9.75pt;z-index:251704320;v-text-anchor:middle;mso-width-relative:page;mso-height-relative:page;" fillcolor="#FF0000" filled="t" stroked="t" coordsize="21600,21600" o:gfxdata="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whkX6doAAAALAQAADwAAAAAAAAABACAAAAAiAAAAZHJzL2Rvd25yZXYueG1sUEsBAhQAFAAA&#10;AAgAh07iQNSNG/xfAgAAtgQAAA4AAAAAAAAAAQAgAAAAKQEAAGRycy9lMm9Eb2MueG1sUEsFBgAA&#10;AAAGAAYAWQEAAPoFAAAAAA==&#10;">
                <v:fill on="t" focussize="0,0"/>
                <v:stroke weight="1pt" color="#000000 [3213]" miterlimit="8" joinstyle="miter"/>
                <v:imagedata o:title=""/>
                <o:lock v:ext="edit" aspectratio="f"/>
              </v:shape>
            </w:pict>
          </mc:Fallback>
        </mc:AlternateContent>
      </w:r>
      <w:bookmarkStart w:id="38" w:name="_Toc9564"/>
      <w:r>
        <w:rPr>
          <w:rFonts w:hint="default" w:ascii="Times New Roman" w:hAnsi="Times New Roman" w:cs="Times New Roman"/>
          <w:sz w:val="24"/>
        </w:rPr>
        <w:drawing>
          <wp:inline distT="0" distB="0" distL="114300" distR="114300">
            <wp:extent cx="5712460" cy="7895590"/>
            <wp:effectExtent l="0" t="0" r="2540" b="13970"/>
            <wp:docPr id="117" name="图片 117" descr="湘阴高新区规划环评（报批稿）正文+附件+附图_页面_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湘阴高新区规划环评（报批稿）正文+附件+附图_页面_717"/>
                    <pic:cNvPicPr>
                      <a:picLocks noChangeAspect="1"/>
                    </pic:cNvPicPr>
                  </pic:nvPicPr>
                  <pic:blipFill>
                    <a:blip r:embed="rId81"/>
                    <a:srcRect l="10599" t="5499" r="7196" b="18189"/>
                    <a:stretch>
                      <a:fillRect/>
                    </a:stretch>
                  </pic:blipFill>
                  <pic:spPr>
                    <a:xfrm>
                      <a:off x="0" y="0"/>
                      <a:ext cx="5712460" cy="7895590"/>
                    </a:xfrm>
                    <a:prstGeom prst="rect">
                      <a:avLst/>
                    </a:prstGeom>
                  </pic:spPr>
                </pic:pic>
              </a:graphicData>
            </a:graphic>
          </wp:inline>
        </w:drawing>
      </w:r>
    </w:p>
    <w:p>
      <w:pPr>
        <w:pStyle w:val="5"/>
        <w:bidi w:val="0"/>
        <w:jc w:val="center"/>
        <w:rPr>
          <w:rFonts w:hint="default" w:ascii="Times New Roman" w:hAnsi="Times New Roman" w:eastAsia="宋体" w:cs="Times New Roman"/>
          <w:lang w:val="en-US" w:eastAsia="zh-CN"/>
        </w:rPr>
        <w:sectPr>
          <w:pgSz w:w="11906" w:h="16838"/>
          <w:pgMar w:top="1417" w:right="1417" w:bottom="1553" w:left="1417" w:header="851" w:footer="992" w:gutter="0"/>
          <w:pgBorders w:offsetFrom="page">
            <w:top w:val="none" w:sz="0" w:space="0"/>
            <w:left w:val="none" w:sz="0" w:space="0"/>
            <w:bottom w:val="none" w:sz="0" w:space="0"/>
            <w:right w:val="none" w:sz="0" w:space="0"/>
          </w:pgBorders>
          <w:cols w:space="0" w:num="1"/>
          <w:rtlGutter w:val="0"/>
          <w:docGrid w:type="lines" w:linePitch="336" w:charSpace="0"/>
        </w:sectPr>
      </w:pPr>
      <w:bookmarkStart w:id="39" w:name="_Toc2220"/>
      <w:r>
        <w:rPr>
          <w:rFonts w:hint="default" w:ascii="Times New Roman" w:hAnsi="Times New Roman" w:cs="Times New Roman"/>
          <w:lang w:val="en-US" w:eastAsia="zh-CN"/>
        </w:rPr>
        <w:t>附图4：地表水系及环保目标图</w:t>
      </w:r>
      <w:bookmarkEnd w:id="39"/>
    </w:p>
    <w:bookmarkEnd w:id="38"/>
    <w:p>
      <w:pPr>
        <w:ind w:left="0" w:leftChars="0" w:firstLine="0" w:firstLineChars="0"/>
        <w:rPr>
          <w:rFonts w:hint="default" w:ascii="Times New Roman" w:hAnsi="Times New Roman" w:cs="Times New Roman"/>
        </w:rPr>
      </w:pPr>
      <w:r>
        <w:rPr>
          <w:rFonts w:hint="default" w:ascii="Times New Roman" w:hAnsi="Times New Roman" w:cs="Times New Roman"/>
          <w:sz w:val="24"/>
        </w:rPr>
        <mc:AlternateContent>
          <mc:Choice Requires="wps">
            <w:drawing>
              <wp:anchor distT="0" distB="0" distL="114300" distR="114300" simplePos="0" relativeHeight="251705344" behindDoc="0" locked="0" layoutInCell="1" allowOverlap="1">
                <wp:simplePos x="0" y="0"/>
                <wp:positionH relativeFrom="column">
                  <wp:posOffset>1515110</wp:posOffset>
                </wp:positionH>
                <wp:positionV relativeFrom="paragraph">
                  <wp:posOffset>3505200</wp:posOffset>
                </wp:positionV>
                <wp:extent cx="1397000" cy="390525"/>
                <wp:effectExtent l="6350" t="742315" r="387350" b="10160"/>
                <wp:wrapNone/>
                <wp:docPr id="29" name="线形标注 2 29"/>
                <wp:cNvGraphicFramePr/>
                <a:graphic xmlns:a="http://schemas.openxmlformats.org/drawingml/2006/main">
                  <a:graphicData uri="http://schemas.microsoft.com/office/word/2010/wordprocessingShape">
                    <wps:wsp>
                      <wps:cNvSpPr/>
                      <wps:spPr>
                        <a:xfrm>
                          <a:off x="0" y="0"/>
                          <a:ext cx="1397000" cy="390525"/>
                        </a:xfrm>
                        <a:prstGeom prst="borderCallout2">
                          <a:avLst>
                            <a:gd name="adj1" fmla="val -325"/>
                            <a:gd name="adj2" fmla="val 50909"/>
                            <a:gd name="adj3" fmla="val -188455"/>
                            <a:gd name="adj4" fmla="val 49954"/>
                            <a:gd name="adj5" fmla="val -188455"/>
                            <a:gd name="adj6" fmla="val 127000"/>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left="0" w:leftChars="0" w:firstLine="0" w:firstLineChars="0"/>
                              <w:jc w:val="center"/>
                              <w:rPr>
                                <w:rFonts w:hint="eastAsia" w:eastAsia="宋体"/>
                                <w:b/>
                                <w:bCs/>
                                <w:color w:val="FF0000"/>
                                <w:lang w:eastAsia="zh-CN"/>
                              </w:rPr>
                            </w:pPr>
                            <w:r>
                              <w:rPr>
                                <w:rFonts w:hint="eastAsia"/>
                                <w:b/>
                                <w:bCs/>
                                <w:color w:val="FF0000"/>
                                <w:lang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8" type="#_x0000_t48" style="position:absolute;left:0pt;margin-left:119.3pt;margin-top:276pt;height:30.75pt;width:110pt;z-index:251705344;v-text-anchor:middle;mso-width-relative:page;mso-height-relative:page;" filled="f" stroked="t" coordsize="21600,21600" o:gfxdata="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BlAMkHaAAAACwEAAA8AAAAAAAAAAQAg&#10;AAAAIgAAAGRycy9kb3ducmV2LnhtbFBLAQIUABQAAAAIAIdO4kCDFa1TtwIAAIEFAAAOAAAAAAAA&#10;AAEAIAAAACkBAABkcnMvZTJvRG9jLnhtbFBLBQYAAAAABgAGAFkBAABSBgAAAAA=&#10;" adj="27432,-40706,10790,-40706,10996,-70">
                <v:fill on="f" focussize="0,0"/>
                <v:stroke weight="1pt" color="#FF0000 [3204]" miterlimit="8" joinstyle="miter"/>
                <v:imagedata o:title=""/>
                <o:lock v:ext="edit" aspectratio="f"/>
                <v:textbox>
                  <w:txbxContent>
                    <w:p>
                      <w:pPr>
                        <w:ind w:left="0" w:leftChars="0" w:firstLine="0" w:firstLineChars="0"/>
                        <w:jc w:val="center"/>
                        <w:rPr>
                          <w:rFonts w:hint="eastAsia" w:eastAsia="宋体"/>
                          <w:b/>
                          <w:bCs/>
                          <w:color w:val="FF0000"/>
                          <w:lang w:eastAsia="zh-CN"/>
                        </w:rPr>
                      </w:pPr>
                      <w:r>
                        <w:rPr>
                          <w:rFonts w:hint="eastAsia"/>
                          <w:b/>
                          <w:bCs/>
                          <w:color w:val="FF0000"/>
                          <w:lang w:eastAsia="zh-CN"/>
                        </w:rPr>
                        <w:t>项目所在地</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06368" behindDoc="0" locked="0" layoutInCell="1" allowOverlap="1">
                <wp:simplePos x="0" y="0"/>
                <wp:positionH relativeFrom="column">
                  <wp:posOffset>3197225</wp:posOffset>
                </wp:positionH>
                <wp:positionV relativeFrom="paragraph">
                  <wp:posOffset>2703195</wp:posOffset>
                </wp:positionV>
                <wp:extent cx="123825" cy="123825"/>
                <wp:effectExtent l="6350" t="6350" r="22225" b="22225"/>
                <wp:wrapNone/>
                <wp:docPr id="30" name="椭圆 30"/>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51.75pt;margin-top:212.85pt;height:9.75pt;width:9.75pt;z-index:251706368;v-text-anchor:middle;mso-width-relative:page;mso-height-relative:page;" fillcolor="#FF0000" filled="t" stroked="t" coordsize="21600,21600" o:gfxdata="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JAleYfZAAAACwEAAA8A&#10;AAAAAAAAAQAgAAAAIgAAAGRycy9kb3ducmV2LnhtbFBLAQIUABQAAAAIAIdO4kBAi5MoTwIAAKoE&#10;AAAOAAAAAAAAAAEAIAAAACgBAABkcnMvZTJvRG9jLnhtbFBLBQYAAAAABgAGAFkBAADpBQAAAAA=&#10;">
                <v:fill on="t" focussize="0,0"/>
                <v:stroke weight="1pt" color="#000000 [3213]" miterlimit="8" joinstyle="miter"/>
                <v:imagedata o:title=""/>
                <o:lock v:ext="edit" aspectratio="f"/>
              </v:shape>
            </w:pict>
          </mc:Fallback>
        </mc:AlternateContent>
      </w:r>
      <w:r>
        <w:rPr>
          <w:rFonts w:hint="default" w:ascii="Times New Roman" w:hAnsi="Times New Roman" w:cs="Times New Roman"/>
          <w:sz w:val="24"/>
        </w:rPr>
        <w:drawing>
          <wp:inline distT="0" distB="0" distL="114300" distR="114300">
            <wp:extent cx="5752465" cy="5288915"/>
            <wp:effectExtent l="0" t="0" r="635" b="6985"/>
            <wp:docPr id="123" name="图片 123" descr="微信图片_2022072214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微信图片_20220722143835"/>
                    <pic:cNvPicPr>
                      <a:picLocks noChangeAspect="1"/>
                    </pic:cNvPicPr>
                  </pic:nvPicPr>
                  <pic:blipFill>
                    <a:blip r:embed="rId82"/>
                    <a:stretch>
                      <a:fillRect/>
                    </a:stretch>
                  </pic:blipFill>
                  <pic:spPr>
                    <a:xfrm>
                      <a:off x="0" y="0"/>
                      <a:ext cx="5752465" cy="5288915"/>
                    </a:xfrm>
                    <a:prstGeom prst="rect">
                      <a:avLst/>
                    </a:prstGeom>
                  </pic:spPr>
                </pic:pic>
              </a:graphicData>
            </a:graphic>
          </wp:inline>
        </w:drawing>
      </w:r>
    </w:p>
    <w:p>
      <w:pPr>
        <w:pStyle w:val="5"/>
        <w:bidi w:val="0"/>
        <w:jc w:val="center"/>
        <w:rPr>
          <w:rFonts w:hint="default" w:ascii="Times New Roman" w:hAnsi="Times New Roman" w:cs="Times New Roman"/>
        </w:rPr>
        <w:sectPr>
          <w:pgSz w:w="11906" w:h="16838"/>
          <w:pgMar w:top="1417" w:right="1417" w:bottom="1553" w:left="1417" w:header="851" w:footer="992" w:gutter="0"/>
          <w:pgBorders w:offsetFrom="page">
            <w:top w:val="none" w:sz="0" w:space="0"/>
            <w:left w:val="none" w:sz="0" w:space="0"/>
            <w:bottom w:val="none" w:sz="0" w:space="0"/>
            <w:right w:val="none" w:sz="0" w:space="0"/>
          </w:pgBorders>
          <w:cols w:space="0" w:num="1"/>
          <w:rtlGutter w:val="0"/>
          <w:docGrid w:type="lines" w:linePitch="336" w:charSpace="0"/>
        </w:sectPr>
      </w:pPr>
      <w:bookmarkStart w:id="40" w:name="_Toc18428"/>
      <w:r>
        <w:rPr>
          <w:rFonts w:hint="default" w:ascii="Times New Roman" w:hAnsi="Times New Roman" w:cs="Times New Roman"/>
          <w:lang w:val="en-US" w:eastAsia="zh-CN"/>
        </w:rPr>
        <w:t>附图5：湘阴县生态红线图</w:t>
      </w:r>
      <w:bookmarkEnd w:id="40"/>
    </w:p>
    <w:p>
      <w:pPr>
        <w:pStyle w:val="2"/>
        <w:ind w:left="0" w:leftChars="0" w:firstLine="0" w:firstLineChars="0"/>
        <w:rPr>
          <w:rFonts w:hint="default" w:ascii="Times New Roman" w:hAnsi="Times New Roman" w:cs="Times New Roman"/>
        </w:rPr>
      </w:pPr>
      <w:r>
        <w:rPr>
          <w:rFonts w:hint="default" w:ascii="Times New Roman" w:hAnsi="Times New Roman" w:cs="Times New Roman"/>
          <w:sz w:val="24"/>
        </w:rPr>
        <mc:AlternateContent>
          <mc:Choice Requires="wps">
            <w:drawing>
              <wp:anchor distT="0" distB="0" distL="114300" distR="114300" simplePos="0" relativeHeight="251725824" behindDoc="0" locked="0" layoutInCell="1" allowOverlap="1">
                <wp:simplePos x="0" y="0"/>
                <wp:positionH relativeFrom="column">
                  <wp:posOffset>2548890</wp:posOffset>
                </wp:positionH>
                <wp:positionV relativeFrom="paragraph">
                  <wp:posOffset>2931795</wp:posOffset>
                </wp:positionV>
                <wp:extent cx="123825" cy="123825"/>
                <wp:effectExtent l="6350" t="6350" r="22225" b="22225"/>
                <wp:wrapNone/>
                <wp:docPr id="125" name="椭圆 125"/>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00.7pt;margin-top:230.85pt;height:9.75pt;width:9.75pt;z-index:251725824;v-text-anchor:middle;mso-width-relative:page;mso-height-relative:page;" fillcolor="#FF0000" filled="t" stroked="t" coordsize="21600,21600" o:gfxdata="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oIuzB2QAAAAsBAAAP&#10;AAAAAAAAAAEAIAAAACIAAABkcnMvZG93bnJldi54bWxQSwECFAAUAAAACACHTuJAA7pCDlACAACs&#10;BAAADgAAAAAAAAABACAAAAAoAQAAZHJzL2Uyb0RvYy54bWxQSwUGAAAAAAYABgBZAQAA6gUAAAAA&#10;">
                <v:fill on="t" focussize="0,0"/>
                <v:stroke weight="1pt" color="#000000 [3213]" miterlimit="8" joinstyle="miter"/>
                <v:imagedata o:title=""/>
                <o:lock v:ext="edit" aspectratio="f"/>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24800" behindDoc="0" locked="0" layoutInCell="1" allowOverlap="1">
                <wp:simplePos x="0" y="0"/>
                <wp:positionH relativeFrom="column">
                  <wp:posOffset>866775</wp:posOffset>
                </wp:positionH>
                <wp:positionV relativeFrom="paragraph">
                  <wp:posOffset>3733800</wp:posOffset>
                </wp:positionV>
                <wp:extent cx="1397000" cy="390525"/>
                <wp:effectExtent l="6350" t="742315" r="387350" b="10160"/>
                <wp:wrapNone/>
                <wp:docPr id="124" name="线形标注 2 124"/>
                <wp:cNvGraphicFramePr/>
                <a:graphic xmlns:a="http://schemas.openxmlformats.org/drawingml/2006/main">
                  <a:graphicData uri="http://schemas.microsoft.com/office/word/2010/wordprocessingShape">
                    <wps:wsp>
                      <wps:cNvSpPr/>
                      <wps:spPr>
                        <a:xfrm>
                          <a:off x="0" y="0"/>
                          <a:ext cx="1397000" cy="390525"/>
                        </a:xfrm>
                        <a:prstGeom prst="borderCallout2">
                          <a:avLst>
                            <a:gd name="adj1" fmla="val -325"/>
                            <a:gd name="adj2" fmla="val 50909"/>
                            <a:gd name="adj3" fmla="val -188455"/>
                            <a:gd name="adj4" fmla="val 49954"/>
                            <a:gd name="adj5" fmla="val -188455"/>
                            <a:gd name="adj6" fmla="val 127000"/>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left="0" w:leftChars="0" w:firstLine="0" w:firstLineChars="0"/>
                              <w:jc w:val="center"/>
                              <w:rPr>
                                <w:rFonts w:hint="eastAsia" w:eastAsia="宋体"/>
                                <w:b/>
                                <w:bCs/>
                                <w:color w:val="FF0000"/>
                                <w:lang w:eastAsia="zh-CN"/>
                              </w:rPr>
                            </w:pPr>
                            <w:r>
                              <w:rPr>
                                <w:rFonts w:hint="eastAsia"/>
                                <w:b/>
                                <w:bCs/>
                                <w:color w:val="FF0000"/>
                                <w:lang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8" type="#_x0000_t48" style="position:absolute;left:0pt;margin-left:68.25pt;margin-top:294pt;height:30.75pt;width:110pt;z-index:251724800;v-text-anchor:middle;mso-width-relative:page;mso-height-relative:page;" filled="f" stroked="t" coordsize="21600,21600" o:gfxdata="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CJLVjU2QAAAAsBAAAPAAAAAAAAAAEA&#10;IAAAACIAAABkcnMvZG93bnJldi54bWxQSwECFAAUAAAACACHTuJAAFWNmbkCAACDBQAADgAAAAAA&#10;AAABACAAAAAoAQAAZHJzL2Uyb0RvYy54bWxQSwUGAAAAAAYABgBZAQAAUwYAAAAA&#10;" adj="27432,-40706,10790,-40706,10996,-70">
                <v:fill on="f" focussize="0,0"/>
                <v:stroke weight="1pt" color="#FF0000 [3204]" miterlimit="8" joinstyle="miter"/>
                <v:imagedata o:title=""/>
                <o:lock v:ext="edit" aspectratio="f"/>
                <v:textbox>
                  <w:txbxContent>
                    <w:p>
                      <w:pPr>
                        <w:ind w:left="0" w:leftChars="0" w:firstLine="0" w:firstLineChars="0"/>
                        <w:jc w:val="center"/>
                        <w:rPr>
                          <w:rFonts w:hint="eastAsia" w:eastAsia="宋体"/>
                          <w:b/>
                          <w:bCs/>
                          <w:color w:val="FF0000"/>
                          <w:lang w:eastAsia="zh-CN"/>
                        </w:rPr>
                      </w:pPr>
                      <w:r>
                        <w:rPr>
                          <w:rFonts w:hint="eastAsia"/>
                          <w:b/>
                          <w:bCs/>
                          <w:color w:val="FF0000"/>
                          <w:lang w:eastAsia="zh-CN"/>
                        </w:rPr>
                        <w:t>项目所在地</w:t>
                      </w:r>
                    </w:p>
                  </w:txbxContent>
                </v:textbox>
              </v:shape>
            </w:pict>
          </mc:Fallback>
        </mc:AlternateContent>
      </w:r>
      <w:r>
        <w:rPr>
          <w:rFonts w:hint="default" w:ascii="Times New Roman" w:hAnsi="Times New Roman" w:cs="Times New Roman"/>
        </w:rPr>
        <w:drawing>
          <wp:inline distT="0" distB="0" distL="114300" distR="114300">
            <wp:extent cx="8928100" cy="5076825"/>
            <wp:effectExtent l="0" t="0" r="2540" b="13335"/>
            <wp:docPr id="1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4"/>
                    <pic:cNvPicPr>
                      <a:picLocks noChangeAspect="1"/>
                    </pic:cNvPicPr>
                  </pic:nvPicPr>
                  <pic:blipFill>
                    <a:blip r:embed="rId83"/>
                    <a:stretch>
                      <a:fillRect/>
                    </a:stretch>
                  </pic:blipFill>
                  <pic:spPr>
                    <a:xfrm>
                      <a:off x="0" y="0"/>
                      <a:ext cx="8928100" cy="5076825"/>
                    </a:xfrm>
                    <a:prstGeom prst="rect">
                      <a:avLst/>
                    </a:prstGeom>
                    <a:noFill/>
                    <a:ln>
                      <a:noFill/>
                    </a:ln>
                  </pic:spPr>
                </pic:pic>
              </a:graphicData>
            </a:graphic>
          </wp:inline>
        </w:drawing>
      </w:r>
    </w:p>
    <w:p>
      <w:pPr>
        <w:pStyle w:val="5"/>
        <w:bidi w:val="0"/>
        <w:jc w:val="center"/>
        <w:rPr>
          <w:rFonts w:hint="default" w:ascii="Times New Roman" w:hAnsi="Times New Roman" w:cs="Times New Roman"/>
          <w:lang w:val="en-US" w:eastAsia="zh-CN"/>
        </w:rPr>
      </w:pPr>
      <w:bookmarkStart w:id="41" w:name="_Toc23749"/>
      <w:r>
        <w:rPr>
          <w:rFonts w:hint="default" w:ascii="Times New Roman" w:hAnsi="Times New Roman" w:cs="Times New Roman"/>
          <w:lang w:val="en-US" w:eastAsia="zh-CN"/>
        </w:rPr>
        <w:t>附图6：湘阴高新区临港片区土地利用规划图</w:t>
      </w:r>
      <w:bookmarkEnd w:id="41"/>
    </w:p>
    <w:p>
      <w:pPr>
        <w:rPr>
          <w:rFonts w:hint="default" w:ascii="Times New Roman" w:hAnsi="Times New Roman" w:cs="Times New Roman"/>
        </w:rPr>
      </w:pPr>
      <w:r>
        <w:rPr>
          <w:rFonts w:hint="default" w:ascii="Times New Roman" w:hAnsi="Times New Roman" w:cs="Times New Roman"/>
          <w:sz w:val="24"/>
        </w:rPr>
        <mc:AlternateContent>
          <mc:Choice Requires="wps">
            <w:drawing>
              <wp:anchor distT="0" distB="0" distL="114300" distR="114300" simplePos="0" relativeHeight="251726848" behindDoc="0" locked="0" layoutInCell="1" allowOverlap="1">
                <wp:simplePos x="0" y="0"/>
                <wp:positionH relativeFrom="column">
                  <wp:posOffset>1047750</wp:posOffset>
                </wp:positionH>
                <wp:positionV relativeFrom="paragraph">
                  <wp:posOffset>3867150</wp:posOffset>
                </wp:positionV>
                <wp:extent cx="1397000" cy="390525"/>
                <wp:effectExtent l="6350" t="742315" r="387350" b="10160"/>
                <wp:wrapNone/>
                <wp:docPr id="126" name="线形标注 2 126"/>
                <wp:cNvGraphicFramePr/>
                <a:graphic xmlns:a="http://schemas.openxmlformats.org/drawingml/2006/main">
                  <a:graphicData uri="http://schemas.microsoft.com/office/word/2010/wordprocessingShape">
                    <wps:wsp>
                      <wps:cNvSpPr/>
                      <wps:spPr>
                        <a:xfrm>
                          <a:off x="0" y="0"/>
                          <a:ext cx="1397000" cy="390525"/>
                        </a:xfrm>
                        <a:prstGeom prst="borderCallout2">
                          <a:avLst>
                            <a:gd name="adj1" fmla="val -325"/>
                            <a:gd name="adj2" fmla="val 50909"/>
                            <a:gd name="adj3" fmla="val -188455"/>
                            <a:gd name="adj4" fmla="val 49954"/>
                            <a:gd name="adj5" fmla="val -188455"/>
                            <a:gd name="adj6" fmla="val 127000"/>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left="0" w:leftChars="0" w:firstLine="0" w:firstLineChars="0"/>
                              <w:jc w:val="center"/>
                              <w:rPr>
                                <w:rFonts w:hint="eastAsia" w:eastAsia="宋体"/>
                                <w:b/>
                                <w:bCs/>
                                <w:color w:val="FF0000"/>
                                <w:lang w:eastAsia="zh-CN"/>
                              </w:rPr>
                            </w:pPr>
                            <w:r>
                              <w:rPr>
                                <w:rFonts w:hint="eastAsia"/>
                                <w:b/>
                                <w:bCs/>
                                <w:color w:val="FF0000"/>
                                <w:lang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8" type="#_x0000_t48" style="position:absolute;left:0pt;margin-left:82.5pt;margin-top:304.5pt;height:30.75pt;width:110pt;z-index:251726848;v-text-anchor:middle;mso-width-relative:page;mso-height-relative:page;" filled="f" stroked="t" coordsize="21600,21600" o:gfxdata="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DO+omV1wAAAAsBAAAPAAAAAAAAAAEAIAAA&#10;ACIAAABkcnMvZG93bnJldi54bWxQSwECFAAUAAAACACHTuJAqcu+4bgCAACDBQAADgAAAAAAAAAB&#10;ACAAAAAmAQAAZHJzL2Uyb0RvYy54bWxQSwUGAAAAAAYABgBZAQAAUAYAAAAA&#10;" adj="27432,-40706,10790,-40706,10996,-70">
                <v:fill on="f" focussize="0,0"/>
                <v:stroke weight="1pt" color="#FF0000 [3204]" miterlimit="8" joinstyle="miter"/>
                <v:imagedata o:title=""/>
                <o:lock v:ext="edit" aspectratio="f"/>
                <v:textbox>
                  <w:txbxContent>
                    <w:p>
                      <w:pPr>
                        <w:ind w:left="0" w:leftChars="0" w:firstLine="0" w:firstLineChars="0"/>
                        <w:jc w:val="center"/>
                        <w:rPr>
                          <w:rFonts w:hint="eastAsia" w:eastAsia="宋体"/>
                          <w:b/>
                          <w:bCs/>
                          <w:color w:val="FF0000"/>
                          <w:lang w:eastAsia="zh-CN"/>
                        </w:rPr>
                      </w:pPr>
                      <w:r>
                        <w:rPr>
                          <w:rFonts w:hint="eastAsia"/>
                          <w:b/>
                          <w:bCs/>
                          <w:color w:val="FF0000"/>
                          <w:lang w:eastAsia="zh-CN"/>
                        </w:rPr>
                        <w:t>项目所在地</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27872" behindDoc="0" locked="0" layoutInCell="1" allowOverlap="1">
                <wp:simplePos x="0" y="0"/>
                <wp:positionH relativeFrom="column">
                  <wp:posOffset>2739390</wp:posOffset>
                </wp:positionH>
                <wp:positionV relativeFrom="paragraph">
                  <wp:posOffset>3065145</wp:posOffset>
                </wp:positionV>
                <wp:extent cx="123825" cy="123825"/>
                <wp:effectExtent l="6350" t="6350" r="22225" b="22225"/>
                <wp:wrapNone/>
                <wp:docPr id="127" name="椭圆 127"/>
                <wp:cNvGraphicFramePr/>
                <a:graphic xmlns:a="http://schemas.openxmlformats.org/drawingml/2006/main">
                  <a:graphicData uri="http://schemas.microsoft.com/office/word/2010/wordprocessingShape">
                    <wps:wsp>
                      <wps:cNvSpPr/>
                      <wps:spPr>
                        <a:xfrm>
                          <a:off x="0" y="0"/>
                          <a:ext cx="123825" cy="123825"/>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15.7pt;margin-top:241.35pt;height:9.75pt;width:9.75pt;z-index:251727872;v-text-anchor:middle;mso-width-relative:page;mso-height-relative:page;" fillcolor="#FF0000" filled="t" stroked="t" coordsize="21600,21600" o:gfxdata="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NP2G4faAAAACwEA&#10;AA8AAAAAAAAAAQAgAAAAIgAAAGRycy9kb3ducmV2LnhtbFBLAQIUABQAAAAIAIdO4kD8rYKOUQIA&#10;AKwEAAAOAAAAAAAAAAEAIAAAACkBAABkcnMvZTJvRG9jLnhtbFBLBQYAAAAABgAGAFkBAADsBQAA&#10;AAA=&#10;">
                <v:fill on="t" focussize="0,0"/>
                <v:stroke weight="1pt" color="#000000 [3213]" miterlimit="8" joinstyle="miter"/>
                <v:imagedata o:title=""/>
                <o:lock v:ext="edit" aspectratio="f"/>
              </v:shape>
            </w:pict>
          </mc:Fallback>
        </mc:AlternateContent>
      </w:r>
      <w:r>
        <w:rPr>
          <w:rFonts w:hint="default" w:ascii="Times New Roman" w:hAnsi="Times New Roman" w:cs="Times New Roman"/>
        </w:rPr>
        <w:drawing>
          <wp:inline distT="0" distB="0" distL="114300" distR="114300">
            <wp:extent cx="8130540" cy="5204460"/>
            <wp:effectExtent l="0" t="0" r="7620" b="7620"/>
            <wp:docPr id="11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5"/>
                    <pic:cNvPicPr>
                      <a:picLocks noChangeAspect="1"/>
                    </pic:cNvPicPr>
                  </pic:nvPicPr>
                  <pic:blipFill>
                    <a:blip r:embed="rId84"/>
                    <a:stretch>
                      <a:fillRect/>
                    </a:stretch>
                  </pic:blipFill>
                  <pic:spPr>
                    <a:xfrm>
                      <a:off x="0" y="0"/>
                      <a:ext cx="8130540" cy="5204460"/>
                    </a:xfrm>
                    <a:prstGeom prst="rect">
                      <a:avLst/>
                    </a:prstGeom>
                    <a:noFill/>
                    <a:ln>
                      <a:noFill/>
                    </a:ln>
                  </pic:spPr>
                </pic:pic>
              </a:graphicData>
            </a:graphic>
          </wp:inline>
        </w:drawing>
      </w:r>
    </w:p>
    <w:p>
      <w:pPr>
        <w:pStyle w:val="5"/>
        <w:bidi w:val="0"/>
        <w:jc w:val="center"/>
        <w:rPr>
          <w:rFonts w:hint="default" w:ascii="Times New Roman" w:hAnsi="Times New Roman" w:cs="Times New Roman"/>
          <w:lang w:val="en-US" w:eastAsia="zh-CN"/>
        </w:rPr>
      </w:pPr>
      <w:bookmarkStart w:id="42" w:name="_Toc25009"/>
      <w:r>
        <w:rPr>
          <w:rFonts w:hint="default" w:ascii="Times New Roman" w:hAnsi="Times New Roman" w:cs="Times New Roman"/>
          <w:lang w:val="en-US" w:eastAsia="zh-CN"/>
        </w:rPr>
        <w:t>附图7：湘阴高新区临港片区产业规划图</w:t>
      </w:r>
      <w:bookmarkEnd w:id="42"/>
    </w:p>
    <w:p>
      <w:pPr>
        <w:pStyle w:val="10"/>
        <w:bidi w:val="0"/>
        <w:rPr>
          <w:rFonts w:hint="default" w:ascii="Times New Roman" w:hAnsi="Times New Roman" w:cs="Times New Roman"/>
          <w:lang w:val="en-US" w:eastAsia="zh-CN"/>
        </w:rPr>
        <w:sectPr>
          <w:pgSz w:w="16838" w:h="11906" w:orient="landscape"/>
          <w:pgMar w:top="1417" w:right="1417" w:bottom="1417" w:left="1553" w:header="851" w:footer="992" w:gutter="0"/>
          <w:pgBorders w:offsetFrom="page">
            <w:top w:val="none" w:sz="0" w:space="0"/>
            <w:left w:val="none" w:sz="0" w:space="0"/>
            <w:bottom w:val="none" w:sz="0" w:space="0"/>
            <w:right w:val="none" w:sz="0" w:space="0"/>
          </w:pgBorders>
          <w:cols w:space="0" w:num="1"/>
          <w:rtlGutter w:val="0"/>
          <w:docGrid w:type="lines" w:linePitch="336" w:charSpace="0"/>
        </w:sectPr>
      </w:pPr>
    </w:p>
    <w:p>
      <w:pPr>
        <w:bidi w:val="0"/>
        <w:ind w:left="0" w:leftChars="0" w:firstLine="0" w:firstLineChars="0"/>
        <w:rPr>
          <w:rFonts w:hint="default" w:ascii="Times New Roman" w:hAnsi="Times New Roman" w:cs="Times New Roman"/>
        </w:rPr>
      </w:pPr>
      <w:bookmarkStart w:id="43" w:name="_Toc11120"/>
      <w:r>
        <w:rPr>
          <w:rFonts w:hint="default" w:ascii="Times New Roman" w:hAnsi="Times New Roman" w:cs="Times New Roman"/>
          <w:sz w:val="24"/>
        </w:rPr>
        <mc:AlternateContent>
          <mc:Choice Requires="wps">
            <w:drawing>
              <wp:anchor distT="0" distB="0" distL="114300" distR="114300" simplePos="0" relativeHeight="251671552" behindDoc="0" locked="0" layoutInCell="1" allowOverlap="1">
                <wp:simplePos x="0" y="0"/>
                <wp:positionH relativeFrom="column">
                  <wp:posOffset>5633085</wp:posOffset>
                </wp:positionH>
                <wp:positionV relativeFrom="paragraph">
                  <wp:posOffset>2765425</wp:posOffset>
                </wp:positionV>
                <wp:extent cx="3018155" cy="3429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3018155" cy="342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color w:val="FF0000"/>
                                <w:lang w:val="en-US" w:eastAsia="zh-CN"/>
                              </w:rPr>
                            </w:pPr>
                            <w:r>
                              <w:rPr>
                                <w:rFonts w:hint="eastAsia"/>
                                <w:color w:val="FF0000"/>
                                <w:lang w:val="en-US" w:eastAsia="zh-CN"/>
                              </w:rPr>
                              <w:t>湘阴县，SE300~500m，居民50户，210人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3.55pt;margin-top:217.75pt;height:27pt;width:237.65pt;z-index:251671552;mso-width-relative:page;mso-height-relative:page;" filled="f" stroked="f" coordsize="21600,21600" o:gfxdata="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ENH1ncAAAADAEAAA8AAAAAAAAAAQAgAAAAIgAAAGRycy9kb3ducmV2LnhtbFBLAQIUABQAAAAI&#10;AIdO4kDLs1BWIgIAABoEAAAOAAAAAAAAAAEAIAAAACsBAABkcnMvZTJvRG9jLnhtbFBLBQYAAAAA&#10;BgAGAFkBAAC/BQAAAAA=&#10;">
                <v:fill on="f" focussize="0,0"/>
                <v:stroke on="f" weight="0.5pt"/>
                <v:imagedata o:title=""/>
                <o:lock v:ext="edit" aspectratio="f"/>
                <v:textbox>
                  <w:txbxContent>
                    <w:p>
                      <w:pPr>
                        <w:ind w:left="0" w:leftChars="0" w:firstLine="0" w:firstLineChars="0"/>
                        <w:rPr>
                          <w:rFonts w:hint="default" w:eastAsia="宋体"/>
                          <w:color w:val="FF0000"/>
                          <w:lang w:val="en-US" w:eastAsia="zh-CN"/>
                        </w:rPr>
                      </w:pPr>
                      <w:r>
                        <w:rPr>
                          <w:rFonts w:hint="eastAsia"/>
                          <w:color w:val="FF0000"/>
                          <w:lang w:val="en-US" w:eastAsia="zh-CN"/>
                        </w:rPr>
                        <w:t>湘阴县，SE300~500m，居民50户，210人</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08416" behindDoc="0" locked="0" layoutInCell="1" allowOverlap="1">
                <wp:simplePos x="0" y="0"/>
                <wp:positionH relativeFrom="column">
                  <wp:posOffset>6221730</wp:posOffset>
                </wp:positionH>
                <wp:positionV relativeFrom="paragraph">
                  <wp:posOffset>2139950</wp:posOffset>
                </wp:positionV>
                <wp:extent cx="2550160" cy="3429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2550160" cy="342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color w:val="FF0000"/>
                                <w:lang w:val="en-US" w:eastAsia="zh-CN"/>
                              </w:rPr>
                            </w:pPr>
                            <w:r>
                              <w:rPr>
                                <w:rFonts w:hint="eastAsia"/>
                                <w:color w:val="FF0000"/>
                                <w:lang w:val="en-US" w:eastAsia="zh-CN"/>
                              </w:rPr>
                              <w:t>学校，E353m、405m，学校720人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9.9pt;margin-top:168.5pt;height:27pt;width:200.8pt;z-index:251708416;mso-width-relative:page;mso-height-relative:page;" filled="f" stroked="f" coordsize="21600,21600" o:gfxdata="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19kbutwAAAAMAQAADwAAAAAAAAABACAAAAAiAAAAZHJzL2Rvd25yZXYueG1sUEsBAhQAFAAAAAgA&#10;h07iQCSBRLQhAgAAGgQAAA4AAAAAAAAAAQAgAAAAKwEAAGRycy9lMm9Eb2MueG1sUEsFBgAAAAAG&#10;AAYAWQEAAL4FAAAAAA==&#10;">
                <v:fill on="f" focussize="0,0"/>
                <v:stroke on="f" weight="0.5pt"/>
                <v:imagedata o:title=""/>
                <o:lock v:ext="edit" aspectratio="f"/>
                <v:textbox>
                  <w:txbxContent>
                    <w:p>
                      <w:pPr>
                        <w:ind w:left="0" w:leftChars="0" w:firstLine="0" w:firstLineChars="0"/>
                        <w:rPr>
                          <w:rFonts w:hint="default" w:eastAsia="宋体"/>
                          <w:color w:val="FF0000"/>
                          <w:lang w:val="en-US" w:eastAsia="zh-CN"/>
                        </w:rPr>
                      </w:pPr>
                      <w:r>
                        <w:rPr>
                          <w:rFonts w:hint="eastAsia"/>
                          <w:color w:val="FF0000"/>
                          <w:lang w:val="en-US" w:eastAsia="zh-CN"/>
                        </w:rPr>
                        <w:t>学校，E353m、405m，学校720人</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07392" behindDoc="0" locked="0" layoutInCell="1" allowOverlap="1">
                <wp:simplePos x="0" y="0"/>
                <wp:positionH relativeFrom="column">
                  <wp:posOffset>5143500</wp:posOffset>
                </wp:positionH>
                <wp:positionV relativeFrom="paragraph">
                  <wp:posOffset>3832860</wp:posOffset>
                </wp:positionV>
                <wp:extent cx="3385820" cy="35179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3385820" cy="3517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color w:val="FF0000"/>
                                <w:lang w:val="en-US" w:eastAsia="zh-CN"/>
                              </w:rPr>
                            </w:pPr>
                            <w:r>
                              <w:rPr>
                                <w:rFonts w:hint="eastAsia"/>
                                <w:color w:val="FF0000"/>
                                <w:lang w:val="en-US" w:eastAsia="zh-CN"/>
                              </w:rPr>
                              <w:t>湘阴县专职消防队，SE340m，事业单位，20人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5pt;margin-top:301.8pt;height:27.7pt;width:266.6pt;z-index:251707392;mso-width-relative:page;mso-height-relative:page;" filled="f" stroked="f" coordsize="21600,21600" o:gfxdata="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F&#10;sfAY3AAAAAwBAAAPAAAAAAAAAAEAIAAAACIAAABkcnMvZG93bnJldi54bWxQSwECFAAUAAAACACH&#10;TuJA7Ona5SACAAAaBAAADgAAAAAAAAABACAAAAArAQAAZHJzL2Uyb0RvYy54bWxQSwUGAAAAAAYA&#10;BgBZAQAAvQUAAAAA&#10;">
                <v:fill on="f" focussize="0,0"/>
                <v:stroke on="f" weight="0.5pt"/>
                <v:imagedata o:title=""/>
                <o:lock v:ext="edit" aspectratio="f"/>
                <v:textbox>
                  <w:txbxContent>
                    <w:p>
                      <w:pPr>
                        <w:ind w:left="0" w:leftChars="0" w:firstLine="0" w:firstLineChars="0"/>
                        <w:rPr>
                          <w:rFonts w:hint="default" w:eastAsia="宋体"/>
                          <w:color w:val="FF0000"/>
                          <w:lang w:val="en-US" w:eastAsia="zh-CN"/>
                        </w:rPr>
                      </w:pPr>
                      <w:r>
                        <w:rPr>
                          <w:rFonts w:hint="eastAsia"/>
                          <w:color w:val="FF0000"/>
                          <w:lang w:val="en-US" w:eastAsia="zh-CN"/>
                        </w:rPr>
                        <w:t>湘阴县专职消防队，SE340m，事业单位，20人</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99200" behindDoc="0" locked="0" layoutInCell="1" allowOverlap="1">
                <wp:simplePos x="0" y="0"/>
                <wp:positionH relativeFrom="column">
                  <wp:posOffset>169545</wp:posOffset>
                </wp:positionH>
                <wp:positionV relativeFrom="paragraph">
                  <wp:posOffset>83820</wp:posOffset>
                </wp:positionV>
                <wp:extent cx="1226185" cy="683260"/>
                <wp:effectExtent l="6350" t="6350" r="310515" b="701040"/>
                <wp:wrapNone/>
                <wp:docPr id="17" name="矩形标注 17"/>
                <wp:cNvGraphicFramePr/>
                <a:graphic xmlns:a="http://schemas.openxmlformats.org/drawingml/2006/main">
                  <a:graphicData uri="http://schemas.microsoft.com/office/word/2010/wordprocessingShape">
                    <wps:wsp>
                      <wps:cNvSpPr/>
                      <wps:spPr>
                        <a:xfrm>
                          <a:off x="1768475" y="1245870"/>
                          <a:ext cx="1226185" cy="683260"/>
                        </a:xfrm>
                        <a:prstGeom prst="wedgeRectCallout">
                          <a:avLst>
                            <a:gd name="adj1" fmla="val 72061"/>
                            <a:gd name="adj2" fmla="val 147118"/>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ind w:left="0" w:leftChars="0" w:firstLine="0" w:firstLineChars="0"/>
                              <w:jc w:val="both"/>
                              <w:rPr>
                                <w:rFonts w:hint="default" w:eastAsia="宋体"/>
                                <w:color w:val="FF0000"/>
                                <w:lang w:val="en-US" w:eastAsia="zh-CN"/>
                              </w:rPr>
                            </w:pPr>
                            <w:r>
                              <w:rPr>
                                <w:rFonts w:hint="eastAsia"/>
                                <w:color w:val="FF0000"/>
                                <w:lang w:val="en-US" w:eastAsia="zh-CN"/>
                              </w:rPr>
                              <w:t>大气评价范围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3.35pt;margin-top:6.6pt;height:53.8pt;width:96.55pt;z-index:251699200;v-text-anchor:middle;mso-width-relative:page;mso-height-relative:page;" filled="f" stroked="t" coordsize="21600,21600" o:gfxdata="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C18Ofd2gAAAAkBAAAPAAAAAAAAAAEAIAAAACIAAABkcnMvZG93bnJl&#10;di54bWxQSwECFAAUAAAACACHTuJAm+gdJKYCAAAbBQAADgAAAAAAAAABACAAAAApAQAAZHJzL2Uy&#10;b0RvYy54bWxQSwUGAAAAAAYABgBZAQAAQQYAAAAA&#10;" adj="26365,42577">
                <v:fill on="f" focussize="0,0"/>
                <v:stroke weight="1pt" color="#41719C [3204]" miterlimit="8" joinstyle="miter"/>
                <v:imagedata o:title=""/>
                <o:lock v:ext="edit" aspectratio="f"/>
                <v:textbox>
                  <w:txbxContent>
                    <w:p>
                      <w:pPr>
                        <w:ind w:left="0" w:leftChars="0" w:firstLine="0" w:firstLineChars="0"/>
                        <w:jc w:val="both"/>
                        <w:rPr>
                          <w:rFonts w:hint="default" w:eastAsia="宋体"/>
                          <w:color w:val="FF0000"/>
                          <w:lang w:val="en-US" w:eastAsia="zh-CN"/>
                        </w:rPr>
                      </w:pPr>
                      <w:r>
                        <w:rPr>
                          <w:rFonts w:hint="eastAsia"/>
                          <w:color w:val="FF0000"/>
                          <w:lang w:val="en-US" w:eastAsia="zh-CN"/>
                        </w:rPr>
                        <w:t>大气评价范围</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22752" behindDoc="0" locked="0" layoutInCell="1" allowOverlap="1">
                <wp:simplePos x="0" y="0"/>
                <wp:positionH relativeFrom="column">
                  <wp:posOffset>1851025</wp:posOffset>
                </wp:positionH>
                <wp:positionV relativeFrom="paragraph">
                  <wp:posOffset>3237865</wp:posOffset>
                </wp:positionV>
                <wp:extent cx="1845310" cy="351790"/>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1845310" cy="3517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color w:val="FF0000"/>
                                <w:lang w:val="en-US" w:eastAsia="zh-CN"/>
                              </w:rPr>
                            </w:pPr>
                            <w:r>
                              <w:rPr>
                                <w:rFonts w:hint="eastAsia"/>
                                <w:color w:val="FF0000"/>
                                <w:lang w:val="en-US" w:eastAsia="zh-CN"/>
                              </w:rPr>
                              <w:t>湘江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5.75pt;margin-top:254.95pt;height:27.7pt;width:145.3pt;z-index:251722752;mso-width-relative:page;mso-height-relative:page;" filled="f" stroked="f" coordsize="21600,21600" o:gfxdata="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ImK&#10;ibPcAAAACwEAAA8AAAAAAAAAAQAgAAAAIgAAAGRycy9kb3ducmV2LnhtbFBLAQIUABQAAAAIAIdO&#10;4kCYRuU1HwIAABwEAAAOAAAAAAAAAAEAIAAAACsBAABkcnMvZTJvRG9jLnhtbFBLBQYAAAAABgAG&#10;AFkBAAC8BQAAAAA=&#10;">
                <v:fill on="f" focussize="0,0"/>
                <v:stroke on="f" weight="0.5pt"/>
                <v:imagedata o:title=""/>
                <o:lock v:ext="edit" aspectratio="f"/>
                <v:textbox>
                  <w:txbxContent>
                    <w:p>
                      <w:pPr>
                        <w:ind w:left="0" w:leftChars="0" w:firstLine="0" w:firstLineChars="0"/>
                        <w:rPr>
                          <w:rFonts w:hint="default" w:eastAsia="宋体"/>
                          <w:color w:val="FF0000"/>
                          <w:lang w:val="en-US" w:eastAsia="zh-CN"/>
                        </w:rPr>
                      </w:pPr>
                      <w:r>
                        <w:rPr>
                          <w:rFonts w:hint="eastAsia"/>
                          <w:color w:val="FF0000"/>
                          <w:lang w:val="en-US" w:eastAsia="zh-CN"/>
                        </w:rPr>
                        <w:t>湘江</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21728" behindDoc="0" locked="0" layoutInCell="1" allowOverlap="1">
                <wp:simplePos x="0" y="0"/>
                <wp:positionH relativeFrom="column">
                  <wp:posOffset>3559175</wp:posOffset>
                </wp:positionH>
                <wp:positionV relativeFrom="paragraph">
                  <wp:posOffset>2606675</wp:posOffset>
                </wp:positionV>
                <wp:extent cx="1845310" cy="351790"/>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1845310" cy="3517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color w:val="FF0000"/>
                                <w:lang w:val="en-US" w:eastAsia="zh-CN"/>
                              </w:rPr>
                            </w:pPr>
                            <w:r>
                              <w:rPr>
                                <w:rFonts w:hint="eastAsia"/>
                                <w:color w:val="FF0000"/>
                                <w:lang w:val="en-US" w:eastAsia="zh-CN"/>
                              </w:rPr>
                              <w:t>项目所在地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0.25pt;margin-top:205.25pt;height:27.7pt;width:145.3pt;z-index:251721728;mso-width-relative:page;mso-height-relative:page;" filled="f" stroked="f" coordsize="21600,21600" o:gfxdata="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Vq0dX&#10;2gAAAAsBAAAPAAAAAAAAAAEAIAAAACIAAABkcnMvZG93bnJldi54bWxQSwECFAAUAAAACACHTuJA&#10;CqHaph8CAAAcBAAADgAAAAAAAAABACAAAAApAQAAZHJzL2Uyb0RvYy54bWxQSwUGAAAAAAYABgBZ&#10;AQAAugUAAAAA&#10;">
                <v:fill on="f" focussize="0,0"/>
                <v:stroke on="f" weight="0.5pt"/>
                <v:imagedata o:title=""/>
                <o:lock v:ext="edit" aspectratio="f"/>
                <v:textbox>
                  <w:txbxContent>
                    <w:p>
                      <w:pPr>
                        <w:ind w:left="0" w:leftChars="0" w:firstLine="0" w:firstLineChars="0"/>
                        <w:rPr>
                          <w:rFonts w:hint="default" w:eastAsia="宋体"/>
                          <w:color w:val="FF0000"/>
                          <w:lang w:val="en-US" w:eastAsia="zh-CN"/>
                        </w:rPr>
                      </w:pPr>
                      <w:r>
                        <w:rPr>
                          <w:rFonts w:hint="eastAsia"/>
                          <w:color w:val="FF0000"/>
                          <w:lang w:val="en-US" w:eastAsia="zh-CN"/>
                        </w:rPr>
                        <w:t>项目所在地</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69504" behindDoc="0" locked="0" layoutInCell="1" allowOverlap="1">
                <wp:simplePos x="0" y="0"/>
                <wp:positionH relativeFrom="column">
                  <wp:posOffset>3355975</wp:posOffset>
                </wp:positionH>
                <wp:positionV relativeFrom="paragraph">
                  <wp:posOffset>1325880</wp:posOffset>
                </wp:positionV>
                <wp:extent cx="3232785" cy="360680"/>
                <wp:effectExtent l="0" t="0" r="0" b="0"/>
                <wp:wrapNone/>
                <wp:docPr id="57" name="文本框 57"/>
                <wp:cNvGraphicFramePr/>
                <a:graphic xmlns:a="http://schemas.openxmlformats.org/drawingml/2006/main">
                  <a:graphicData uri="http://schemas.microsoft.com/office/word/2010/wordprocessingShape">
                    <wps:wsp>
                      <wps:cNvSpPr txBox="1"/>
                      <wps:spPr>
                        <a:xfrm>
                          <a:off x="5193665" y="2176145"/>
                          <a:ext cx="3232785" cy="3606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color w:val="FF0000"/>
                                <w:lang w:val="en-US" w:eastAsia="zh-CN"/>
                              </w:rPr>
                            </w:pPr>
                            <w:r>
                              <w:rPr>
                                <w:rFonts w:hint="eastAsia"/>
                                <w:color w:val="FF0000"/>
                                <w:lang w:val="en-US" w:eastAsia="zh-CN"/>
                              </w:rPr>
                              <w:t>三峰社区，N27~500m，居民120户，480人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4.25pt;margin-top:104.4pt;height:28.4pt;width:254.55pt;z-index:251669504;mso-width-relative:page;mso-height-relative:page;" filled="f" stroked="f" coordsize="21600,21600" o:gfxdata="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w/YYHtsAAAAMAQAADwAAAAAAAAABACAAAAAiAAAAZHJzL2Rvd25yZXYueG1s&#10;UEsBAhQAFAAAAAgAh07iQDB1UVguAgAAJgQAAA4AAAAAAAAAAQAgAAAAKgEAAGRycy9lMm9Eb2Mu&#10;eG1sUEsFBgAAAAAGAAYAWQEAAMoFAAAAAA==&#10;">
                <v:fill on="f" focussize="0,0"/>
                <v:stroke on="f" weight="0.5pt"/>
                <v:imagedata o:title=""/>
                <o:lock v:ext="edit" aspectratio="f"/>
                <v:textbox>
                  <w:txbxContent>
                    <w:p>
                      <w:pPr>
                        <w:ind w:left="0" w:leftChars="0" w:firstLine="0" w:firstLineChars="0"/>
                        <w:rPr>
                          <w:rFonts w:hint="default" w:eastAsia="宋体"/>
                          <w:color w:val="FF0000"/>
                          <w:lang w:val="en-US" w:eastAsia="zh-CN"/>
                        </w:rPr>
                      </w:pPr>
                      <w:r>
                        <w:rPr>
                          <w:rFonts w:hint="eastAsia"/>
                          <w:color w:val="FF0000"/>
                          <w:lang w:val="en-US" w:eastAsia="zh-CN"/>
                        </w:rPr>
                        <w:t>三峰社区，N27~500m，居民120户，480人</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70528" behindDoc="0" locked="0" layoutInCell="1" allowOverlap="1">
                <wp:simplePos x="0" y="0"/>
                <wp:positionH relativeFrom="column">
                  <wp:posOffset>5293360</wp:posOffset>
                </wp:positionH>
                <wp:positionV relativeFrom="paragraph">
                  <wp:posOffset>3018155</wp:posOffset>
                </wp:positionV>
                <wp:extent cx="3106420" cy="35179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3106420" cy="3517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color w:val="FF0000"/>
                                <w:lang w:val="en-US" w:eastAsia="zh-CN"/>
                              </w:rPr>
                            </w:pPr>
                            <w:r>
                              <w:rPr>
                                <w:rFonts w:hint="eastAsia"/>
                                <w:color w:val="FF0000"/>
                                <w:lang w:val="en-US" w:eastAsia="zh-CN"/>
                              </w:rPr>
                              <w:t>乌龙社区，SE30~270m，居民65户，300人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6.8pt;margin-top:237.65pt;height:27.7pt;width:244.6pt;z-index:251670528;mso-width-relative:page;mso-height-relative:page;" filled="f" stroked="f" coordsize="21600,21600" o:gfxdata="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LEXe9d0AAAAMAQAADwAAAAAAAAABACAAAAAiAAAAZHJzL2Rvd25yZXYueG1sUEsBAhQAFAAAAAgA&#10;h07iQB+G8iMgAgAAGgQAAA4AAAAAAAAAAQAgAAAALAEAAGRycy9lMm9Eb2MueG1sUEsFBgAAAAAG&#10;AAYAWQEAAL4FAAAAAA==&#10;">
                <v:fill on="f" focussize="0,0"/>
                <v:stroke on="f" weight="0.5pt"/>
                <v:imagedata o:title=""/>
                <o:lock v:ext="edit" aspectratio="f"/>
                <v:textbox>
                  <w:txbxContent>
                    <w:p>
                      <w:pPr>
                        <w:ind w:left="0" w:leftChars="0" w:firstLine="0" w:firstLineChars="0"/>
                        <w:rPr>
                          <w:rFonts w:hint="default" w:eastAsia="宋体"/>
                          <w:color w:val="FF0000"/>
                          <w:lang w:val="en-US" w:eastAsia="zh-CN"/>
                        </w:rPr>
                      </w:pPr>
                      <w:r>
                        <w:rPr>
                          <w:rFonts w:hint="eastAsia"/>
                          <w:color w:val="FF0000"/>
                          <w:lang w:val="en-US" w:eastAsia="zh-CN"/>
                        </w:rPr>
                        <w:t>乌龙社区，SE30~270m，居民65户，300人</w:t>
                      </w:r>
                    </w:p>
                  </w:txbxContent>
                </v:textbox>
              </v:shape>
            </w:pict>
          </mc:Fallback>
        </mc:AlternateContent>
      </w:r>
      <w:r>
        <w:rPr>
          <w:rFonts w:hint="default" w:ascii="Times New Roman" w:hAnsi="Times New Roman" w:cs="Times New Roman"/>
        </w:rPr>
        <w:drawing>
          <wp:inline distT="0" distB="0" distL="114300" distR="114300">
            <wp:extent cx="8804275" cy="5003165"/>
            <wp:effectExtent l="0" t="0" r="4445" b="10795"/>
            <wp:docPr id="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2"/>
                    <pic:cNvPicPr>
                      <a:picLocks noChangeAspect="1"/>
                    </pic:cNvPicPr>
                  </pic:nvPicPr>
                  <pic:blipFill>
                    <a:blip r:embed="rId85"/>
                    <a:stretch>
                      <a:fillRect/>
                    </a:stretch>
                  </pic:blipFill>
                  <pic:spPr>
                    <a:xfrm>
                      <a:off x="0" y="0"/>
                      <a:ext cx="8804275" cy="5003165"/>
                    </a:xfrm>
                    <a:prstGeom prst="rect">
                      <a:avLst/>
                    </a:prstGeom>
                    <a:noFill/>
                    <a:ln>
                      <a:noFill/>
                    </a:ln>
                  </pic:spPr>
                </pic:pic>
              </a:graphicData>
            </a:graphic>
          </wp:inline>
        </w:drawing>
      </w:r>
      <w:r>
        <w:rPr>
          <w:rFonts w:hint="default" w:ascii="Times New Roman" w:hAnsi="Times New Roman" w:cs="Times New Roman"/>
        </w:rPr>
        <w:drawing>
          <wp:anchor distT="0" distB="0" distL="114935" distR="114935" simplePos="0" relativeHeight="251674624" behindDoc="0" locked="0" layoutInCell="1" allowOverlap="1">
            <wp:simplePos x="0" y="0"/>
            <wp:positionH relativeFrom="column">
              <wp:posOffset>8009890</wp:posOffset>
            </wp:positionH>
            <wp:positionV relativeFrom="paragraph">
              <wp:posOffset>80645</wp:posOffset>
            </wp:positionV>
            <wp:extent cx="752475" cy="1151255"/>
            <wp:effectExtent l="9525" t="9525" r="19050" b="20320"/>
            <wp:wrapNone/>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77"/>
                    <a:stretch>
                      <a:fillRect/>
                    </a:stretch>
                  </pic:blipFill>
                  <pic:spPr>
                    <a:xfrm>
                      <a:off x="0" y="0"/>
                      <a:ext cx="752475" cy="1151255"/>
                    </a:xfrm>
                    <a:prstGeom prst="rect">
                      <a:avLst/>
                    </a:prstGeom>
                    <a:noFill/>
                    <a:ln>
                      <a:solidFill>
                        <a:schemeClr val="tx1"/>
                      </a:solidFill>
                    </a:ln>
                  </pic:spPr>
                </pic:pic>
              </a:graphicData>
            </a:graphic>
          </wp:anchor>
        </w:drawing>
      </w:r>
    </w:p>
    <w:p>
      <w:pPr>
        <w:pStyle w:val="5"/>
        <w:bidi w:val="0"/>
        <w:jc w:val="center"/>
        <w:rPr>
          <w:rFonts w:hint="default" w:ascii="Times New Roman" w:hAnsi="Times New Roman" w:cs="Times New Roman"/>
          <w:lang w:val="en-US" w:eastAsia="zh-CN"/>
        </w:rPr>
      </w:pPr>
      <w:bookmarkStart w:id="44" w:name="_Toc20245"/>
      <w:bookmarkStart w:id="45" w:name="_Toc5828"/>
      <w:r>
        <w:rPr>
          <w:rFonts w:hint="default" w:ascii="Times New Roman" w:hAnsi="Times New Roman" w:cs="Times New Roman"/>
          <w:lang w:val="en-US" w:eastAsia="zh-CN"/>
        </w:rPr>
        <w:t>附图8：环境保护目标</w:t>
      </w:r>
      <w:bookmarkEnd w:id="44"/>
      <w:bookmarkEnd w:id="45"/>
    </w:p>
    <w:p>
      <w:pPr>
        <w:rPr>
          <w:rFonts w:hint="default" w:ascii="Times New Roman" w:hAnsi="Times New Roman" w:cs="Times New Roman"/>
          <w:lang w:val="en-US" w:eastAsia="zh-CN"/>
        </w:rPr>
        <w:sectPr>
          <w:pgSz w:w="16838" w:h="11906" w:orient="landscape"/>
          <w:pgMar w:top="1417" w:right="1417" w:bottom="1417" w:left="1553" w:header="851" w:footer="992" w:gutter="0"/>
          <w:pgBorders w:offsetFrom="page">
            <w:top w:val="none" w:sz="0" w:space="0"/>
            <w:left w:val="none" w:sz="0" w:space="0"/>
            <w:bottom w:val="none" w:sz="0" w:space="0"/>
            <w:right w:val="none" w:sz="0" w:space="0"/>
          </w:pgBorders>
          <w:cols w:space="0" w:num="1"/>
          <w:rtlGutter w:val="0"/>
          <w:docGrid w:type="lines" w:linePitch="336" w:charSpace="0"/>
        </w:sectPr>
      </w:pPr>
    </w:p>
    <w:p>
      <w:pPr>
        <w:ind w:left="0" w:leftChars="0" w:firstLine="0" w:firstLineChars="0"/>
        <w:rPr>
          <w:rFonts w:hint="default" w:ascii="Times New Roman" w:hAnsi="Times New Roman" w:cs="Times New Roman"/>
          <w:lang w:val="en-US" w:eastAsia="zh-CN"/>
        </w:rPr>
      </w:pPr>
      <w:r>
        <w:rPr>
          <w:rFonts w:hint="default" w:ascii="Times New Roman" w:hAnsi="Times New Roman" w:cs="Times New Roman"/>
          <w:sz w:val="24"/>
        </w:rPr>
        <mc:AlternateContent>
          <mc:Choice Requires="wps">
            <w:drawing>
              <wp:anchor distT="0" distB="0" distL="114300" distR="114300" simplePos="0" relativeHeight="251728896" behindDoc="0" locked="0" layoutInCell="1" allowOverlap="1">
                <wp:simplePos x="0" y="0"/>
                <wp:positionH relativeFrom="column">
                  <wp:posOffset>3814445</wp:posOffset>
                </wp:positionH>
                <wp:positionV relativeFrom="paragraph">
                  <wp:posOffset>2877820</wp:posOffset>
                </wp:positionV>
                <wp:extent cx="1756410" cy="502285"/>
                <wp:effectExtent l="0" t="0" r="0" b="0"/>
                <wp:wrapNone/>
                <wp:docPr id="128" name="文本框 128"/>
                <wp:cNvGraphicFramePr/>
                <a:graphic xmlns:a="http://schemas.openxmlformats.org/drawingml/2006/main">
                  <a:graphicData uri="http://schemas.microsoft.com/office/word/2010/wordprocessingShape">
                    <wps:wsp>
                      <wps:cNvSpPr txBox="1"/>
                      <wps:spPr>
                        <a:xfrm>
                          <a:off x="0" y="0"/>
                          <a:ext cx="1756410" cy="5022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auto"/>
                                <w:sz w:val="13"/>
                                <w:szCs w:val="13"/>
                                <w:lang w:val="en-US" w:eastAsia="zh-CN"/>
                              </w:rPr>
                            </w:pPr>
                            <w:r>
                              <w:rPr>
                                <w:rFonts w:hint="eastAsia"/>
                                <w:b/>
                                <w:bCs/>
                                <w:color w:val="auto"/>
                                <w:sz w:val="13"/>
                                <w:szCs w:val="13"/>
                                <w:lang w:val="en-US" w:eastAsia="zh-CN"/>
                              </w:rPr>
                              <w:t>17m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0.35pt;margin-top:226.6pt;height:39.55pt;width:138.3pt;z-index:251728896;mso-width-relative:page;mso-height-relative:page;" filled="f" stroked="f" coordsize="21600,21600" o:gfxdata="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GNy&#10;9xvbAAAACwEAAA8AAAAAAAAAAQAgAAAAIgAAAGRycy9kb3ducmV2LnhtbFBLAQIUABQAAAAIAIdO&#10;4kBrKZ2yIAIAABwEAAAOAAAAAAAAAAEAIAAAACoBAABkcnMvZTJvRG9jLnhtbFBLBQYAAAAABgAG&#10;AFkBAAC8BQAAAAA=&#10;">
                <v:fill on="f" focussize="0,0"/>
                <v:stroke on="f" weight="0.5pt"/>
                <v:imagedata o:title=""/>
                <o:lock v:ext="edit" aspectratio="f"/>
                <v:textbox>
                  <w:txbxContent>
                    <w:p>
                      <w:pPr>
                        <w:ind w:left="0" w:leftChars="0" w:firstLine="0" w:firstLineChars="0"/>
                        <w:rPr>
                          <w:rFonts w:hint="default" w:eastAsia="宋体"/>
                          <w:b/>
                          <w:bCs/>
                          <w:color w:val="auto"/>
                          <w:sz w:val="13"/>
                          <w:szCs w:val="13"/>
                          <w:lang w:val="en-US" w:eastAsia="zh-CN"/>
                        </w:rPr>
                      </w:pPr>
                      <w:r>
                        <w:rPr>
                          <w:rFonts w:hint="eastAsia"/>
                          <w:b/>
                          <w:bCs/>
                          <w:color w:val="auto"/>
                          <w:sz w:val="13"/>
                          <w:szCs w:val="13"/>
                          <w:lang w:val="en-US" w:eastAsia="zh-CN"/>
                        </w:rPr>
                        <w:t>17m</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75648" behindDoc="0" locked="0" layoutInCell="1" allowOverlap="1">
                <wp:simplePos x="0" y="0"/>
                <wp:positionH relativeFrom="column">
                  <wp:posOffset>6934835</wp:posOffset>
                </wp:positionH>
                <wp:positionV relativeFrom="paragraph">
                  <wp:posOffset>3663315</wp:posOffset>
                </wp:positionV>
                <wp:extent cx="2133600" cy="459740"/>
                <wp:effectExtent l="0" t="0" r="0" b="0"/>
                <wp:wrapNone/>
                <wp:docPr id="53" name="文本框 53"/>
                <wp:cNvGraphicFramePr/>
                <a:graphic xmlns:a="http://schemas.openxmlformats.org/drawingml/2006/main">
                  <a:graphicData uri="http://schemas.microsoft.com/office/word/2010/wordprocessingShape">
                    <wps:wsp>
                      <wps:cNvSpPr txBox="1"/>
                      <wps:spPr>
                        <a:xfrm>
                          <a:off x="5318760" y="4018915"/>
                          <a:ext cx="2133600" cy="4597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lang w:val="en-US" w:eastAsia="zh-CN"/>
                              </w:rPr>
                            </w:pPr>
                            <w:r>
                              <w:rPr>
                                <w:rFonts w:hint="eastAsia"/>
                                <w:b/>
                                <w:bCs/>
                                <w:color w:val="FF0000"/>
                                <w:lang w:val="en-US" w:eastAsia="zh-CN"/>
                              </w:rPr>
                              <w:t>1#生产厂房（干粉砂浆车间）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6.05pt;margin-top:288.45pt;height:36.2pt;width:168pt;z-index:251675648;mso-width-relative:page;mso-height-relative:page;" filled="f" stroked="f" coordsize="21600,21600" o:gfxdata="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PMTQT3dAAAADQEAAA8AAAAAAAAAAQAgAAAAIgAAAGRycy9kb3ducmV2Lnht&#10;bFBLAQIUABQAAAAIAIdO4kAcsM7WLQIAACYEAAAOAAAAAAAAAAEAIAAAACwBAABkcnMvZTJvRG9j&#10;LnhtbFBLBQYAAAAABgAGAFkBAADLBQAAAAA=&#10;">
                <v:fill on="f" focussize="0,0"/>
                <v:stroke on="f" weight="0.5pt"/>
                <v:imagedata o:title=""/>
                <o:lock v:ext="edit" aspectratio="f"/>
                <v:textbox>
                  <w:txbxContent>
                    <w:p>
                      <w:pPr>
                        <w:ind w:left="0" w:leftChars="0" w:firstLine="0" w:firstLineChars="0"/>
                        <w:rPr>
                          <w:rFonts w:hint="default" w:eastAsia="宋体"/>
                          <w:b/>
                          <w:bCs/>
                          <w:color w:val="FF0000"/>
                          <w:lang w:val="en-US" w:eastAsia="zh-CN"/>
                        </w:rPr>
                      </w:pPr>
                      <w:r>
                        <w:rPr>
                          <w:rFonts w:hint="eastAsia"/>
                          <w:b/>
                          <w:bCs/>
                          <w:color w:val="FF0000"/>
                          <w:lang w:val="en-US" w:eastAsia="zh-CN"/>
                        </w:rPr>
                        <w:t>1#生产厂房（干粉砂浆车间）</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80768" behindDoc="0" locked="0" layoutInCell="1" allowOverlap="1">
                <wp:simplePos x="0" y="0"/>
                <wp:positionH relativeFrom="column">
                  <wp:posOffset>3863975</wp:posOffset>
                </wp:positionH>
                <wp:positionV relativeFrom="paragraph">
                  <wp:posOffset>4730750</wp:posOffset>
                </wp:positionV>
                <wp:extent cx="752475" cy="301625"/>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752475" cy="3016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center"/>
                              <w:textAlignment w:val="auto"/>
                              <w:rPr>
                                <w:rFonts w:hint="default" w:eastAsia="宋体"/>
                                <w:b/>
                                <w:bCs/>
                                <w:color w:val="FF0000"/>
                                <w:lang w:val="en-US" w:eastAsia="zh-CN"/>
                              </w:rPr>
                            </w:pPr>
                            <w:r>
                              <w:rPr>
                                <w:rFonts w:hint="eastAsia"/>
                                <w:b/>
                                <w:bCs/>
                                <w:color w:val="FF0000"/>
                                <w:lang w:val="en-US" w:eastAsia="zh-CN"/>
                              </w:rPr>
                              <w:t>6#门卫2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4.25pt;margin-top:372.5pt;height:23.75pt;width:59.25pt;z-index:251680768;mso-width-relative:page;mso-height-relative:page;" filled="f" stroked="f" coordsize="21600,21600" o:gfxdata="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Ff/&#10;Nd7bAAAACwEAAA8AAAAAAAAAAQAgAAAAIgAAAGRycy9kb3ducmV2LnhtbFBLAQIUABQAAAAIAIdO&#10;4kAKMOFoIAIAABkEAAAOAAAAAAAAAAEAIAAAACoBAABkcnMvZTJvRG9jLnhtbFBLBQYAAAAABgAG&#10;AFkBAAC8BQ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center"/>
                        <w:textAlignment w:val="auto"/>
                        <w:rPr>
                          <w:rFonts w:hint="default" w:eastAsia="宋体"/>
                          <w:b/>
                          <w:bCs/>
                          <w:color w:val="FF0000"/>
                          <w:lang w:val="en-US" w:eastAsia="zh-CN"/>
                        </w:rPr>
                      </w:pPr>
                      <w:r>
                        <w:rPr>
                          <w:rFonts w:hint="eastAsia"/>
                          <w:b/>
                          <w:bCs/>
                          <w:color w:val="FF0000"/>
                          <w:lang w:val="en-US" w:eastAsia="zh-CN"/>
                        </w:rPr>
                        <w:t>6#门卫2</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79744" behindDoc="0" locked="0" layoutInCell="1" allowOverlap="1">
                <wp:simplePos x="0" y="0"/>
                <wp:positionH relativeFrom="column">
                  <wp:posOffset>9138920</wp:posOffset>
                </wp:positionH>
                <wp:positionV relativeFrom="paragraph">
                  <wp:posOffset>5763895</wp:posOffset>
                </wp:positionV>
                <wp:extent cx="752475" cy="301625"/>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752475" cy="3016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center"/>
                              <w:textAlignment w:val="auto"/>
                              <w:rPr>
                                <w:rFonts w:hint="default" w:eastAsia="宋体"/>
                                <w:b/>
                                <w:bCs/>
                                <w:color w:val="FF0000"/>
                                <w:lang w:val="en-US" w:eastAsia="zh-CN"/>
                              </w:rPr>
                            </w:pPr>
                            <w:r>
                              <w:rPr>
                                <w:rFonts w:hint="eastAsia"/>
                                <w:b/>
                                <w:bCs/>
                                <w:color w:val="FF0000"/>
                                <w:lang w:val="en-US" w:eastAsia="zh-CN"/>
                              </w:rPr>
                              <w:t>5#门卫1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19.6pt;margin-top:453.85pt;height:23.75pt;width:59.25pt;z-index:251679744;mso-width-relative:page;mso-height-relative:page;" filled="f" stroked="f" coordsize="21600,21600" o:gfxdata="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e&#10;dgHp3AAAAA0BAAAPAAAAAAAAAAEAIAAAACIAAABkcnMvZG93bnJldi54bWxQSwECFAAUAAAACACH&#10;TuJAUE8igCACAAAZBAAADgAAAAAAAAABACAAAAArAQAAZHJzL2Uyb0RvYy54bWxQSwUGAAAAAAYA&#10;BgBZAQAAvQ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center"/>
                        <w:textAlignment w:val="auto"/>
                        <w:rPr>
                          <w:rFonts w:hint="default" w:eastAsia="宋体"/>
                          <w:b/>
                          <w:bCs/>
                          <w:color w:val="FF0000"/>
                          <w:lang w:val="en-US" w:eastAsia="zh-CN"/>
                        </w:rPr>
                      </w:pPr>
                      <w:r>
                        <w:rPr>
                          <w:rFonts w:hint="eastAsia"/>
                          <w:b/>
                          <w:bCs/>
                          <w:color w:val="FF0000"/>
                          <w:lang w:val="en-US" w:eastAsia="zh-CN"/>
                        </w:rPr>
                        <w:t>5#门卫1</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76672" behindDoc="0" locked="0" layoutInCell="1" allowOverlap="1">
                <wp:simplePos x="0" y="0"/>
                <wp:positionH relativeFrom="column">
                  <wp:posOffset>3104515</wp:posOffset>
                </wp:positionH>
                <wp:positionV relativeFrom="paragraph">
                  <wp:posOffset>3804285</wp:posOffset>
                </wp:positionV>
                <wp:extent cx="1756410" cy="502285"/>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1756410" cy="5022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lang w:val="en-US" w:eastAsia="zh-CN"/>
                              </w:rPr>
                            </w:pPr>
                            <w:r>
                              <w:rPr>
                                <w:rFonts w:hint="eastAsia"/>
                                <w:b/>
                                <w:bCs/>
                                <w:color w:val="FF0000"/>
                                <w:lang w:val="en-US" w:eastAsia="zh-CN"/>
                              </w:rPr>
                              <w:t>3#制砂车间及堆场雨棚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4.45pt;margin-top:299.55pt;height:39.55pt;width:138.3pt;z-index:251676672;mso-width-relative:page;mso-height-relative:page;" filled="f" stroked="f" coordsize="21600,21600" o:gfxdata="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I&#10;TQ/33QAAAAsBAAAPAAAAAAAAAAEAIAAAACIAAABkcnMvZG93bnJldi54bWxQSwECFAAUAAAACACH&#10;TuJAh/dfGx8CAAAaBAAADgAAAAAAAAABACAAAAAsAQAAZHJzL2Uyb0RvYy54bWxQSwUGAAAAAAYA&#10;BgBZAQAAvQUAAAAA&#10;">
                <v:fill on="f" focussize="0,0"/>
                <v:stroke on="f" weight="0.5pt"/>
                <v:imagedata o:title=""/>
                <o:lock v:ext="edit" aspectratio="f"/>
                <v:textbox>
                  <w:txbxContent>
                    <w:p>
                      <w:pPr>
                        <w:ind w:left="0" w:leftChars="0" w:firstLine="0" w:firstLineChars="0"/>
                        <w:rPr>
                          <w:rFonts w:hint="default" w:eastAsia="宋体"/>
                          <w:b/>
                          <w:bCs/>
                          <w:color w:val="FF0000"/>
                          <w:lang w:val="en-US" w:eastAsia="zh-CN"/>
                        </w:rPr>
                      </w:pPr>
                      <w:r>
                        <w:rPr>
                          <w:rFonts w:hint="eastAsia"/>
                          <w:b/>
                          <w:bCs/>
                          <w:color w:val="FF0000"/>
                          <w:lang w:val="en-US" w:eastAsia="zh-CN"/>
                        </w:rPr>
                        <w:t>3#制砂车间及堆场雨棚</w:t>
                      </w:r>
                    </w:p>
                  </w:txbxContent>
                </v:textbox>
              </v:shape>
            </w:pict>
          </mc:Fallback>
        </mc:AlternateContent>
      </w:r>
      <w:r>
        <w:rPr>
          <w:rFonts w:hint="default" w:ascii="Times New Roman" w:hAnsi="Times New Roman" w:cs="Times New Roman"/>
          <w:lang w:val="en-US" w:eastAsia="zh-CN"/>
        </w:rPr>
        <w:drawing>
          <wp:inline distT="0" distB="0" distL="114300" distR="114300">
            <wp:extent cx="12990830" cy="8145780"/>
            <wp:effectExtent l="0" t="0" r="1270" b="7620"/>
            <wp:docPr id="37" name="图片 37" descr="2-中联新材标杆（湘阴）工厂项目规划方案设计20220708（提交规划复审）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中联新材标杆（湘阴）工厂项目规划方案设计20220708（提交规划复审） 36"/>
                    <pic:cNvPicPr>
                      <a:picLocks noChangeAspect="1"/>
                    </pic:cNvPicPr>
                  </pic:nvPicPr>
                  <pic:blipFill>
                    <a:blip r:embed="rId86"/>
                    <a:srcRect l="7630" t="4991" r="7296" b="5907"/>
                    <a:stretch>
                      <a:fillRect/>
                    </a:stretch>
                  </pic:blipFill>
                  <pic:spPr>
                    <a:xfrm>
                      <a:off x="0" y="0"/>
                      <a:ext cx="12990830" cy="8145780"/>
                    </a:xfrm>
                    <a:prstGeom prst="rect">
                      <a:avLst/>
                    </a:prstGeom>
                  </pic:spPr>
                </pic:pic>
              </a:graphicData>
            </a:graphic>
          </wp:inline>
        </w:drawing>
      </w:r>
      <w:r>
        <w:rPr>
          <w:rFonts w:hint="default" w:ascii="Times New Roman" w:hAnsi="Times New Roman" w:cs="Times New Roman"/>
          <w:sz w:val="24"/>
        </w:rPr>
        <mc:AlternateContent>
          <mc:Choice Requires="wps">
            <w:drawing>
              <wp:anchor distT="0" distB="0" distL="114300" distR="114300" simplePos="0" relativeHeight="251678720" behindDoc="0" locked="0" layoutInCell="1" allowOverlap="1">
                <wp:simplePos x="0" y="0"/>
                <wp:positionH relativeFrom="column">
                  <wp:posOffset>4271010</wp:posOffset>
                </wp:positionH>
                <wp:positionV relativeFrom="paragraph">
                  <wp:posOffset>2379980</wp:posOffset>
                </wp:positionV>
                <wp:extent cx="1163955" cy="32258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163955" cy="3225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center"/>
                              <w:textAlignment w:val="auto"/>
                              <w:rPr>
                                <w:rFonts w:hint="default" w:eastAsia="宋体"/>
                                <w:b/>
                                <w:bCs/>
                                <w:color w:val="FF0000"/>
                                <w:lang w:val="en-US" w:eastAsia="zh-CN"/>
                              </w:rPr>
                            </w:pPr>
                            <w:r>
                              <w:rPr>
                                <w:rFonts w:hint="eastAsia"/>
                                <w:b/>
                                <w:bCs/>
                                <w:color w:val="FF0000"/>
                                <w:lang w:val="en-US" w:eastAsia="zh-CN"/>
                              </w:rPr>
                              <w:t>4#生产辅房2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6.3pt;margin-top:187.4pt;height:25.4pt;width:91.65pt;z-index:251678720;mso-width-relative:page;mso-height-relative:page;" filled="f" stroked="f" coordsize="21600,21600" o:gfxdata="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PtPr5bdAAAACwEAAA8AAAAAAAAAAQAgAAAAIgAAAGRycy9kb3ducmV2LnhtbFBLAQIUABQAAAAI&#10;AIdO4kBj+vCRIQIAABoEAAAOAAAAAAAAAAEAIAAAACwBAABkcnMvZTJvRG9jLnhtbFBLBQYAAAAA&#10;BgAGAFkBAAC/BQ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center"/>
                        <w:textAlignment w:val="auto"/>
                        <w:rPr>
                          <w:rFonts w:hint="default" w:eastAsia="宋体"/>
                          <w:b/>
                          <w:bCs/>
                          <w:color w:val="FF0000"/>
                          <w:lang w:val="en-US" w:eastAsia="zh-CN"/>
                        </w:rPr>
                      </w:pPr>
                      <w:r>
                        <w:rPr>
                          <w:rFonts w:hint="eastAsia"/>
                          <w:b/>
                          <w:bCs/>
                          <w:color w:val="FF0000"/>
                          <w:lang w:val="en-US" w:eastAsia="zh-CN"/>
                        </w:rPr>
                        <w:t>4#生产辅房2</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77696" behindDoc="0" locked="0" layoutInCell="1" allowOverlap="1">
                <wp:simplePos x="0" y="0"/>
                <wp:positionH relativeFrom="column">
                  <wp:posOffset>9417050</wp:posOffset>
                </wp:positionH>
                <wp:positionV relativeFrom="paragraph">
                  <wp:posOffset>3610610</wp:posOffset>
                </wp:positionV>
                <wp:extent cx="415925" cy="142113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415925" cy="14211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center"/>
                              <w:textAlignment w:val="auto"/>
                              <w:rPr>
                                <w:rFonts w:hint="default" w:eastAsia="宋体"/>
                                <w:b/>
                                <w:bCs/>
                                <w:color w:val="FF0000"/>
                                <w:lang w:val="en-US" w:eastAsia="zh-CN"/>
                              </w:rPr>
                            </w:pPr>
                            <w:r>
                              <w:rPr>
                                <w:rFonts w:hint="eastAsia"/>
                                <w:b/>
                                <w:bCs/>
                                <w:color w:val="FF0000"/>
                                <w:lang w:val="en-US" w:eastAsia="zh-CN"/>
                              </w:rPr>
                              <w:t>2#生产辅房1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41.5pt;margin-top:284.3pt;height:111.9pt;width:32.75pt;z-index:251677696;mso-width-relative:page;mso-height-relative:page;" filled="f" stroked="f" coordsize="21600,21600" o:gfxdata="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quegtt0AAAANAQAADwAAAAAAAAABACAAAAAiAAAAZHJzL2Rvd25yZXYueG1sUEsBAhQAFAAAAAgA&#10;h07iQFES9s8gAgAAGgQAAA4AAAAAAAAAAQAgAAAALAEAAGRycy9lMm9Eb2MueG1sUEsFBgAAAAAG&#10;AAYAWQEAAL4F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00" w:lineRule="exact"/>
                        <w:ind w:left="0" w:leftChars="0" w:firstLine="0" w:firstLineChars="0"/>
                        <w:jc w:val="center"/>
                        <w:textAlignment w:val="auto"/>
                        <w:rPr>
                          <w:rFonts w:hint="default" w:eastAsia="宋体"/>
                          <w:b/>
                          <w:bCs/>
                          <w:color w:val="FF0000"/>
                          <w:lang w:val="en-US" w:eastAsia="zh-CN"/>
                        </w:rPr>
                      </w:pPr>
                      <w:r>
                        <w:rPr>
                          <w:rFonts w:hint="eastAsia"/>
                          <w:b/>
                          <w:bCs/>
                          <w:color w:val="FF0000"/>
                          <w:lang w:val="en-US" w:eastAsia="zh-CN"/>
                        </w:rPr>
                        <w:t>2#生产辅房1</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64384" behindDoc="0" locked="0" layoutInCell="1" allowOverlap="1">
                <wp:simplePos x="0" y="0"/>
                <wp:positionH relativeFrom="column">
                  <wp:posOffset>4250690</wp:posOffset>
                </wp:positionH>
                <wp:positionV relativeFrom="paragraph">
                  <wp:posOffset>2414270</wp:posOffset>
                </wp:positionV>
                <wp:extent cx="1229360" cy="213995"/>
                <wp:effectExtent l="6350" t="6350" r="21590" b="8255"/>
                <wp:wrapNone/>
                <wp:docPr id="25" name="矩形 25"/>
                <wp:cNvGraphicFramePr/>
                <a:graphic xmlns:a="http://schemas.openxmlformats.org/drawingml/2006/main">
                  <a:graphicData uri="http://schemas.microsoft.com/office/word/2010/wordprocessingShape">
                    <wps:wsp>
                      <wps:cNvSpPr/>
                      <wps:spPr>
                        <a:xfrm>
                          <a:off x="0" y="0"/>
                          <a:ext cx="1229360" cy="213995"/>
                        </a:xfrm>
                        <a:prstGeom prst="rect">
                          <a:avLst/>
                        </a:prstGeom>
                        <a:solidFill>
                          <a:schemeClr val="accent1">
                            <a:lumMod val="40000"/>
                            <a:lumOff val="60000"/>
                          </a:schemeClr>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4.7pt;margin-top:190.1pt;height:16.85pt;width:96.8pt;z-index:251664384;v-text-anchor:middle;mso-width-relative:page;mso-height-relative:page;" fillcolor="#BDD7EE [1300]" filled="t" stroked="t" coordsize="21600,21600" o:gfxdata="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gv4C2gAAAAsBAAAPAAAAAAAAAAEAIAAAACIA&#10;AABkcnMvZG93bnJldi54bWxQSwECFAAUAAAACACHTuJAOcJ1jXkCAAADBQAADgAAAAAAAAABACAA&#10;AAApAQAAZHJzL2Uyb0RvYy54bWxQSwUGAAAAAAYABgBZAQAAFAYAAAAA&#10;">
                <v:fill on="t" focussize="0,0"/>
                <v:stroke weight="1pt" color="#1F4E79 [1604]" miterlimit="8" joinstyle="miter"/>
                <v:imagedata o:title=""/>
                <o:lock v:ext="edit" aspectratio="f"/>
              </v:rect>
            </w:pict>
          </mc:Fallback>
        </mc:AlternateContent>
      </w:r>
      <w:r>
        <w:rPr>
          <w:rFonts w:hint="default" w:ascii="Times New Roman" w:hAnsi="Times New Roman" w:cs="Times New Roman"/>
          <w:sz w:val="24"/>
        </w:rPr>
        <mc:AlternateContent>
          <mc:Choice Requires="wps">
            <w:drawing>
              <wp:anchor distT="0" distB="0" distL="114300" distR="114300" simplePos="0" relativeHeight="251665408" behindDoc="0" locked="0" layoutInCell="1" allowOverlap="1">
                <wp:simplePos x="0" y="0"/>
                <wp:positionH relativeFrom="column">
                  <wp:posOffset>9496425</wp:posOffset>
                </wp:positionH>
                <wp:positionV relativeFrom="paragraph">
                  <wp:posOffset>3638550</wp:posOffset>
                </wp:positionV>
                <wp:extent cx="277495" cy="1186815"/>
                <wp:effectExtent l="6350" t="6350" r="20955" b="6985"/>
                <wp:wrapNone/>
                <wp:docPr id="65" name="矩形 65"/>
                <wp:cNvGraphicFramePr/>
                <a:graphic xmlns:a="http://schemas.openxmlformats.org/drawingml/2006/main">
                  <a:graphicData uri="http://schemas.microsoft.com/office/word/2010/wordprocessingShape">
                    <wps:wsp>
                      <wps:cNvSpPr/>
                      <wps:spPr>
                        <a:xfrm>
                          <a:off x="10457180" y="4538345"/>
                          <a:ext cx="277495" cy="1186815"/>
                        </a:xfrm>
                        <a:prstGeom prst="rect">
                          <a:avLst/>
                        </a:prstGeom>
                        <a:solidFill>
                          <a:schemeClr val="accent1">
                            <a:lumMod val="40000"/>
                            <a:lumOff val="60000"/>
                          </a:schemeClr>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7.75pt;margin-top:286.5pt;height:93.45pt;width:21.85pt;z-index:251665408;v-text-anchor:middle;mso-width-relative:page;mso-height-relative:page;" fillcolor="#BDD7EE [1300]" filled="t" stroked="t" coordsize="21600,21600" o:gfxdata="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pTHozNsAAAANAQAA&#10;DwAAAAAAAAABACAAAAAiAAAAZHJzL2Rvd25yZXYueG1sUEsBAhQAFAAAAAgAh07iQJ9NAn+IAgAA&#10;EAUAAA4AAAAAAAAAAQAgAAAAKgEAAGRycy9lMm9Eb2MueG1sUEsFBgAAAAAGAAYAWQEAACQGAAAA&#10;AA==&#10;">
                <v:fill on="t" focussize="0,0"/>
                <v:stroke weight="1pt" color="#1F4E79 [1604]" miterlimit="8" joinstyle="miter"/>
                <v:imagedata o:title=""/>
                <o:lock v:ext="edit" aspectratio="f"/>
              </v:rect>
            </w:pict>
          </mc:Fallback>
        </mc:AlternateContent>
      </w:r>
    </w:p>
    <w:p>
      <w:pPr>
        <w:pStyle w:val="5"/>
        <w:bidi w:val="0"/>
        <w:jc w:val="center"/>
        <w:rPr>
          <w:rFonts w:hint="default" w:ascii="Times New Roman" w:hAnsi="Times New Roman" w:cs="Times New Roman"/>
          <w:lang w:val="en-US" w:eastAsia="zh-CN"/>
        </w:rPr>
      </w:pPr>
      <w:bookmarkStart w:id="46" w:name="_Toc17137"/>
      <w:r>
        <w:rPr>
          <w:rFonts w:hint="default" w:ascii="Times New Roman" w:hAnsi="Times New Roman" w:cs="Times New Roman"/>
          <w:lang w:val="en-US" w:eastAsia="zh-CN"/>
        </w:rPr>
        <w:t>附图9：平面布置图</w:t>
      </w:r>
      <w:bookmarkEnd w:id="46"/>
    </w:p>
    <w:bookmarkEnd w:id="43"/>
    <w:p>
      <w:pPr>
        <w:pStyle w:val="2"/>
        <w:ind w:left="0" w:leftChars="0" w:firstLine="0" w:firstLineChars="0"/>
        <w:rPr>
          <w:rFonts w:hint="default" w:ascii="Times New Roman" w:hAnsi="Times New Roman" w:cs="Times New Roman"/>
          <w:lang w:eastAsia="zh-CN"/>
        </w:rPr>
      </w:pPr>
      <w:r>
        <w:rPr>
          <w:rFonts w:hint="default" w:ascii="Times New Roman" w:hAnsi="Times New Roman" w:cs="Times New Roman"/>
          <w:sz w:val="24"/>
        </w:rPr>
        <mc:AlternateContent>
          <mc:Choice Requires="wps">
            <w:drawing>
              <wp:anchor distT="0" distB="0" distL="114300" distR="114300" simplePos="0" relativeHeight="251719680" behindDoc="0" locked="0" layoutInCell="1" allowOverlap="1">
                <wp:simplePos x="0" y="0"/>
                <wp:positionH relativeFrom="column">
                  <wp:posOffset>6182360</wp:posOffset>
                </wp:positionH>
                <wp:positionV relativeFrom="paragraph">
                  <wp:posOffset>3863975</wp:posOffset>
                </wp:positionV>
                <wp:extent cx="1562735" cy="365125"/>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1562735" cy="365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sz w:val="15"/>
                                <w:szCs w:val="15"/>
                                <w:lang w:val="en-US" w:eastAsia="zh-CN"/>
                              </w:rPr>
                            </w:pPr>
                            <w:r>
                              <w:rPr>
                                <w:rFonts w:hint="eastAsia"/>
                                <w:b/>
                                <w:bCs/>
                                <w:color w:val="FF0000"/>
                                <w:sz w:val="15"/>
                                <w:szCs w:val="15"/>
                                <w:lang w:val="en-US" w:eastAsia="zh-CN"/>
                              </w:rPr>
                              <w:t>DA004（石灰石）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6.8pt;margin-top:304.25pt;height:28.75pt;width:123.05pt;z-index:251719680;mso-width-relative:page;mso-height-relative:page;" filled="f" stroked="f" coordsize="21600,21600" o:gfxdata="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I&#10;DtrP3AAAAAwBAAAPAAAAAAAAAAEAIAAAACIAAABkcnMvZG93bnJldi54bWxQSwECFAAUAAAACACH&#10;TuJAWfFxdiACAAAcBAAADgAAAAAAAAABACAAAAArAQAAZHJzL2Uyb0RvYy54bWxQSwUGAAAAAAYA&#10;BgBZAQAAvQUAAAAA&#10;">
                <v:fill on="f" focussize="0,0"/>
                <v:stroke on="f" weight="0.5pt"/>
                <v:imagedata o:title=""/>
                <o:lock v:ext="edit" aspectratio="f"/>
                <v:textbox>
                  <w:txbxContent>
                    <w:p>
                      <w:pPr>
                        <w:ind w:left="0" w:leftChars="0" w:firstLine="0" w:firstLineChars="0"/>
                        <w:rPr>
                          <w:rFonts w:hint="default" w:eastAsia="宋体"/>
                          <w:b/>
                          <w:bCs/>
                          <w:color w:val="FF0000"/>
                          <w:sz w:val="15"/>
                          <w:szCs w:val="15"/>
                          <w:lang w:val="en-US" w:eastAsia="zh-CN"/>
                        </w:rPr>
                      </w:pPr>
                      <w:r>
                        <w:rPr>
                          <w:rFonts w:hint="eastAsia"/>
                          <w:b/>
                          <w:bCs/>
                          <w:color w:val="FF0000"/>
                          <w:sz w:val="15"/>
                          <w:szCs w:val="15"/>
                          <w:lang w:val="en-US" w:eastAsia="zh-CN"/>
                        </w:rPr>
                        <w:t>DA004（石灰石）</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13536" behindDoc="0" locked="0" layoutInCell="1" allowOverlap="1">
                <wp:simplePos x="0" y="0"/>
                <wp:positionH relativeFrom="column">
                  <wp:posOffset>7131050</wp:posOffset>
                </wp:positionH>
                <wp:positionV relativeFrom="paragraph">
                  <wp:posOffset>3047365</wp:posOffset>
                </wp:positionV>
                <wp:extent cx="1400810" cy="365125"/>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400810" cy="365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sz w:val="15"/>
                                <w:szCs w:val="15"/>
                                <w:lang w:val="en-US" w:eastAsia="zh-CN"/>
                              </w:rPr>
                            </w:pPr>
                            <w:r>
                              <w:rPr>
                                <w:rFonts w:hint="eastAsia"/>
                                <w:b/>
                                <w:bCs/>
                                <w:color w:val="FF0000"/>
                                <w:sz w:val="15"/>
                                <w:szCs w:val="15"/>
                                <w:lang w:val="en-US" w:eastAsia="zh-CN"/>
                              </w:rPr>
                              <w:t>DA005(彩色砂浆)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1.5pt;margin-top:239.95pt;height:28.75pt;width:110.3pt;z-index:251713536;mso-width-relative:page;mso-height-relative:page;" filled="f" stroked="f" coordsize="21600,21600" o:gfxdata="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L&#10;YrVo3QAAAA0BAAAPAAAAAAAAAAEAIAAAACIAAABkcnMvZG93bnJldi54bWxQSwECFAAUAAAACACH&#10;TuJA7wbkIR8CAAAaBAAADgAAAAAAAAABACAAAAAsAQAAZHJzL2Uyb0RvYy54bWxQSwUGAAAAAAYA&#10;BgBZAQAAvQUAAAAA&#10;">
                <v:fill on="f" focussize="0,0"/>
                <v:stroke on="f" weight="0.5pt"/>
                <v:imagedata o:title=""/>
                <o:lock v:ext="edit" aspectratio="f"/>
                <v:textbox>
                  <w:txbxContent>
                    <w:p>
                      <w:pPr>
                        <w:ind w:left="0" w:leftChars="0" w:firstLine="0" w:firstLineChars="0"/>
                        <w:rPr>
                          <w:rFonts w:hint="default" w:eastAsia="宋体"/>
                          <w:b/>
                          <w:bCs/>
                          <w:color w:val="FF0000"/>
                          <w:sz w:val="15"/>
                          <w:szCs w:val="15"/>
                          <w:lang w:val="en-US" w:eastAsia="zh-CN"/>
                        </w:rPr>
                      </w:pPr>
                      <w:r>
                        <w:rPr>
                          <w:rFonts w:hint="eastAsia"/>
                          <w:b/>
                          <w:bCs/>
                          <w:color w:val="FF0000"/>
                          <w:sz w:val="15"/>
                          <w:szCs w:val="15"/>
                          <w:lang w:val="en-US" w:eastAsia="zh-CN"/>
                        </w:rPr>
                        <w:t>DA005(彩色砂浆)</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11488" behindDoc="0" locked="0" layoutInCell="1" allowOverlap="1">
                <wp:simplePos x="0" y="0"/>
                <wp:positionH relativeFrom="column">
                  <wp:posOffset>3816350</wp:posOffset>
                </wp:positionH>
                <wp:positionV relativeFrom="paragraph">
                  <wp:posOffset>3251835</wp:posOffset>
                </wp:positionV>
                <wp:extent cx="1141095" cy="365125"/>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141095" cy="365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sz w:val="15"/>
                                <w:szCs w:val="15"/>
                                <w:lang w:val="en-US" w:eastAsia="zh-CN"/>
                              </w:rPr>
                            </w:pPr>
                            <w:r>
                              <w:rPr>
                                <w:rFonts w:hint="eastAsia"/>
                                <w:b/>
                                <w:bCs/>
                                <w:color w:val="FF0000"/>
                                <w:sz w:val="15"/>
                                <w:szCs w:val="15"/>
                                <w:lang w:val="en-US" w:eastAsia="zh-CN"/>
                              </w:rPr>
                              <w:t>DA001(烘干)</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0.5pt;margin-top:256.05pt;height:28.75pt;width:89.85pt;z-index:251711488;mso-width-relative:page;mso-height-relative:page;" filled="f" stroked="f" coordsize="21600,21600" o:gfxdata="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DbC&#10;zejbAAAACwEAAA8AAAAAAAAAAQAgAAAAIgAAAGRycy9kb3ducmV2LnhtbFBLAQIUABQAAAAIAIdO&#10;4kCP9EviIAIAABoEAAAOAAAAAAAAAAEAIAAAACoBAABkcnMvZTJvRG9jLnhtbFBLBQYAAAAABgAG&#10;AFkBAAC8BQAAAAA=&#10;">
                <v:fill on="f" focussize="0,0"/>
                <v:stroke on="f" weight="0.5pt"/>
                <v:imagedata o:title=""/>
                <o:lock v:ext="edit" aspectratio="f"/>
                <v:textbox>
                  <w:txbxContent>
                    <w:p>
                      <w:pPr>
                        <w:ind w:left="0" w:leftChars="0" w:firstLine="0" w:firstLineChars="0"/>
                        <w:rPr>
                          <w:rFonts w:hint="default" w:eastAsia="宋体"/>
                          <w:b/>
                          <w:bCs/>
                          <w:color w:val="FF0000"/>
                          <w:sz w:val="15"/>
                          <w:szCs w:val="15"/>
                          <w:lang w:val="en-US" w:eastAsia="zh-CN"/>
                        </w:rPr>
                      </w:pPr>
                      <w:r>
                        <w:rPr>
                          <w:rFonts w:hint="eastAsia"/>
                          <w:b/>
                          <w:bCs/>
                          <w:color w:val="FF0000"/>
                          <w:sz w:val="15"/>
                          <w:szCs w:val="15"/>
                          <w:lang w:val="en-US" w:eastAsia="zh-CN"/>
                        </w:rPr>
                        <w:t>DA001(烘干)</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20704" behindDoc="0" locked="0" layoutInCell="1" allowOverlap="1">
                <wp:simplePos x="0" y="0"/>
                <wp:positionH relativeFrom="column">
                  <wp:posOffset>6870065</wp:posOffset>
                </wp:positionH>
                <wp:positionV relativeFrom="paragraph">
                  <wp:posOffset>4467860</wp:posOffset>
                </wp:positionV>
                <wp:extent cx="1315720" cy="365125"/>
                <wp:effectExtent l="0" t="0" r="0" b="0"/>
                <wp:wrapNone/>
                <wp:docPr id="105" name="文本框 105"/>
                <wp:cNvGraphicFramePr/>
                <a:graphic xmlns:a="http://schemas.openxmlformats.org/drawingml/2006/main">
                  <a:graphicData uri="http://schemas.microsoft.com/office/word/2010/wordprocessingShape">
                    <wps:wsp>
                      <wps:cNvSpPr txBox="1"/>
                      <wps:spPr>
                        <a:xfrm>
                          <a:off x="0" y="0"/>
                          <a:ext cx="1315720" cy="365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sz w:val="15"/>
                                <w:szCs w:val="15"/>
                                <w:lang w:val="en-US" w:eastAsia="zh-CN"/>
                              </w:rPr>
                            </w:pPr>
                            <w:r>
                              <w:rPr>
                                <w:rFonts w:hint="eastAsia"/>
                                <w:b/>
                                <w:bCs/>
                                <w:color w:val="FF0000"/>
                                <w:sz w:val="15"/>
                                <w:szCs w:val="15"/>
                                <w:lang w:val="en-US" w:eastAsia="zh-CN"/>
                              </w:rPr>
                              <w:t>DA006（MTA普通砂浆）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0.95pt;margin-top:351.8pt;height:28.75pt;width:103.6pt;z-index:251720704;mso-width-relative:page;mso-height-relative:page;" filled="f" stroked="f" coordsize="21600,21600" o:gfxdata="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KFoBOnc&#10;AAAADQEAAA8AAAAAAAAAAQAgAAAAIgAAAGRycy9kb3ducmV2LnhtbFBLAQIUABQAAAAIAIdO4kCY&#10;oACFHAIAABwEAAAOAAAAAAAAAAEAIAAAACsBAABkcnMvZTJvRG9jLnhtbFBLBQYAAAAABgAGAFkB&#10;AAC5BQAAAAA=&#10;">
                <v:fill on="f" focussize="0,0"/>
                <v:stroke on="f" weight="0.5pt"/>
                <v:imagedata o:title=""/>
                <o:lock v:ext="edit" aspectratio="f"/>
                <v:textbox>
                  <w:txbxContent>
                    <w:p>
                      <w:pPr>
                        <w:ind w:left="0" w:leftChars="0" w:firstLine="0" w:firstLineChars="0"/>
                        <w:rPr>
                          <w:rFonts w:hint="default" w:eastAsia="宋体"/>
                          <w:b/>
                          <w:bCs/>
                          <w:color w:val="FF0000"/>
                          <w:sz w:val="15"/>
                          <w:szCs w:val="15"/>
                          <w:lang w:val="en-US" w:eastAsia="zh-CN"/>
                        </w:rPr>
                      </w:pPr>
                      <w:r>
                        <w:rPr>
                          <w:rFonts w:hint="eastAsia"/>
                          <w:b/>
                          <w:bCs/>
                          <w:color w:val="FF0000"/>
                          <w:sz w:val="15"/>
                          <w:szCs w:val="15"/>
                          <w:lang w:val="en-US" w:eastAsia="zh-CN"/>
                        </w:rPr>
                        <w:t>DA006（MTA普通砂浆）</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18656" behindDoc="0" locked="0" layoutInCell="1" allowOverlap="1">
                <wp:simplePos x="0" y="0"/>
                <wp:positionH relativeFrom="column">
                  <wp:posOffset>7026275</wp:posOffset>
                </wp:positionH>
                <wp:positionV relativeFrom="paragraph">
                  <wp:posOffset>3431540</wp:posOffset>
                </wp:positionV>
                <wp:extent cx="1316990" cy="365125"/>
                <wp:effectExtent l="0" t="0" r="0" b="0"/>
                <wp:wrapNone/>
                <wp:docPr id="103" name="文本框 103"/>
                <wp:cNvGraphicFramePr/>
                <a:graphic xmlns:a="http://schemas.openxmlformats.org/drawingml/2006/main">
                  <a:graphicData uri="http://schemas.microsoft.com/office/word/2010/wordprocessingShape">
                    <wps:wsp>
                      <wps:cNvSpPr txBox="1"/>
                      <wps:spPr>
                        <a:xfrm>
                          <a:off x="0" y="0"/>
                          <a:ext cx="1316990" cy="365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sz w:val="15"/>
                                <w:szCs w:val="15"/>
                                <w:lang w:val="en-US" w:eastAsia="zh-CN"/>
                              </w:rPr>
                            </w:pPr>
                            <w:r>
                              <w:rPr>
                                <w:rFonts w:hint="eastAsia"/>
                                <w:b/>
                                <w:bCs/>
                                <w:color w:val="FF0000"/>
                                <w:sz w:val="15"/>
                                <w:szCs w:val="15"/>
                                <w:lang w:val="en-US" w:eastAsia="zh-CN"/>
                              </w:rPr>
                              <w:t>DA003（KMA特种砂浆）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3.25pt;margin-top:270.2pt;height:28.75pt;width:103.7pt;z-index:251718656;mso-width-relative:page;mso-height-relative:page;" filled="f" stroked="f" coordsize="21600,21600" o:gfxdata="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j&#10;Lxa33QAAAA0BAAAPAAAAAAAAAAEAIAAAACIAAABkcnMvZG93bnJldi54bWxQSwECFAAUAAAACACH&#10;TuJAd4r1+h8CAAAcBAAADgAAAAAAAAABACAAAAAsAQAAZHJzL2Uyb0RvYy54bWxQSwUGAAAAAAYA&#10;BgBZAQAAvQUAAAAA&#10;">
                <v:fill on="f" focussize="0,0"/>
                <v:stroke on="f" weight="0.5pt"/>
                <v:imagedata o:title=""/>
                <o:lock v:ext="edit" aspectratio="f"/>
                <v:textbox>
                  <w:txbxContent>
                    <w:p>
                      <w:pPr>
                        <w:ind w:left="0" w:leftChars="0" w:firstLine="0" w:firstLineChars="0"/>
                        <w:rPr>
                          <w:rFonts w:hint="default" w:eastAsia="宋体"/>
                          <w:b/>
                          <w:bCs/>
                          <w:color w:val="FF0000"/>
                          <w:sz w:val="15"/>
                          <w:szCs w:val="15"/>
                          <w:lang w:val="en-US" w:eastAsia="zh-CN"/>
                        </w:rPr>
                      </w:pPr>
                      <w:r>
                        <w:rPr>
                          <w:rFonts w:hint="eastAsia"/>
                          <w:b/>
                          <w:bCs/>
                          <w:color w:val="FF0000"/>
                          <w:sz w:val="15"/>
                          <w:szCs w:val="15"/>
                          <w:lang w:val="en-US" w:eastAsia="zh-CN"/>
                        </w:rPr>
                        <w:t>DA003（KMA特种砂浆）</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17632" behindDoc="0" locked="0" layoutInCell="1" allowOverlap="1">
                <wp:simplePos x="0" y="0"/>
                <wp:positionH relativeFrom="column">
                  <wp:posOffset>7009130</wp:posOffset>
                </wp:positionH>
                <wp:positionV relativeFrom="paragraph">
                  <wp:posOffset>4422775</wp:posOffset>
                </wp:positionV>
                <wp:extent cx="75565" cy="156210"/>
                <wp:effectExtent l="6350" t="6350" r="9525" b="20320"/>
                <wp:wrapNone/>
                <wp:docPr id="102" name="圆柱形 102"/>
                <wp:cNvGraphicFramePr/>
                <a:graphic xmlns:a="http://schemas.openxmlformats.org/drawingml/2006/main">
                  <a:graphicData uri="http://schemas.microsoft.com/office/word/2010/wordprocessingShape">
                    <wps:wsp>
                      <wps:cNvSpPr/>
                      <wps:spPr>
                        <a:xfrm>
                          <a:off x="0" y="0"/>
                          <a:ext cx="75565" cy="156210"/>
                        </a:xfrm>
                        <a:prstGeom prst="can">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2" type="#_x0000_t22" style="position:absolute;left:0pt;margin-left:551.9pt;margin-top:348.25pt;height:12.3pt;width:5.95pt;z-index:251717632;v-text-anchor:middle;mso-width-relative:page;mso-height-relative:page;" fillcolor="#92D050" filled="t" stroked="t" coordsize="21600,21600" o:gfxdata="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hWOP3QAAAA0BAAAPAAAAAAAAAAEAIAAAACIAAABkcnMvZG93bnJldi54bWxQSwECFAAU&#10;AAAACACHTuJAwjxOR14CAACqBAAADgAAAAAAAAABACAAAAAsAQAAZHJzL2Uyb0RvYy54bWxQSwUG&#10;AAAAAAYABgBZAQAA/AUAAAAA&#10;" adj="2612">
                <v:fill on="t" focussize="0,0"/>
                <v:stroke weight="1pt" color="#00B050 [3204]" miterlimit="8" joinstyle="miter"/>
                <v:imagedata o:title=""/>
                <o:lock v:ext="edit" aspectratio="f"/>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15584" behindDoc="0" locked="0" layoutInCell="1" allowOverlap="1">
                <wp:simplePos x="0" y="0"/>
                <wp:positionH relativeFrom="column">
                  <wp:posOffset>6995795</wp:posOffset>
                </wp:positionH>
                <wp:positionV relativeFrom="paragraph">
                  <wp:posOffset>3491865</wp:posOffset>
                </wp:positionV>
                <wp:extent cx="75565" cy="156210"/>
                <wp:effectExtent l="6350" t="6350" r="9525" b="20320"/>
                <wp:wrapNone/>
                <wp:docPr id="100" name="圆柱形 100"/>
                <wp:cNvGraphicFramePr/>
                <a:graphic xmlns:a="http://schemas.openxmlformats.org/drawingml/2006/main">
                  <a:graphicData uri="http://schemas.microsoft.com/office/word/2010/wordprocessingShape">
                    <wps:wsp>
                      <wps:cNvSpPr/>
                      <wps:spPr>
                        <a:xfrm>
                          <a:off x="0" y="0"/>
                          <a:ext cx="75565" cy="156210"/>
                        </a:xfrm>
                        <a:prstGeom prst="can">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2" type="#_x0000_t22" style="position:absolute;left:0pt;margin-left:550.85pt;margin-top:274.95pt;height:12.3pt;width:5.95pt;z-index:251715584;v-text-anchor:middle;mso-width-relative:page;mso-height-relative:page;" fillcolor="#92D050" filled="t" stroked="t" coordsize="21600,21600" o:gfxdata="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AcAShzdAAAADQEAAA8AAAAAAAAAAQAgAAAAIgAAAGRycy9kb3ducmV2LnhtbFBLAQIUABQA&#10;AAAIAIdO4kAHjyYJXQIAAKoEAAAOAAAAAAAAAAEAIAAAACwBAABkcnMvZTJvRG9jLnhtbFBLBQYA&#10;AAAABgAGAFkBAAD7BQAAAAA=&#10;" adj="2612">
                <v:fill on="t" focussize="0,0"/>
                <v:stroke weight="1pt" color="#00B050 [3204]" miterlimit="8" joinstyle="miter"/>
                <v:imagedata o:title=""/>
                <o:lock v:ext="edit" aspectratio="f"/>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16608" behindDoc="0" locked="0" layoutInCell="1" allowOverlap="1">
                <wp:simplePos x="0" y="0"/>
                <wp:positionH relativeFrom="column">
                  <wp:posOffset>6624955</wp:posOffset>
                </wp:positionH>
                <wp:positionV relativeFrom="paragraph">
                  <wp:posOffset>3790950</wp:posOffset>
                </wp:positionV>
                <wp:extent cx="75565" cy="156210"/>
                <wp:effectExtent l="6350" t="6350" r="9525" b="20320"/>
                <wp:wrapNone/>
                <wp:docPr id="101" name="圆柱形 101"/>
                <wp:cNvGraphicFramePr/>
                <a:graphic xmlns:a="http://schemas.openxmlformats.org/drawingml/2006/main">
                  <a:graphicData uri="http://schemas.microsoft.com/office/word/2010/wordprocessingShape">
                    <wps:wsp>
                      <wps:cNvSpPr/>
                      <wps:spPr>
                        <a:xfrm>
                          <a:off x="0" y="0"/>
                          <a:ext cx="75565" cy="156210"/>
                        </a:xfrm>
                        <a:prstGeom prst="can">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2" type="#_x0000_t22" style="position:absolute;left:0pt;margin-left:521.65pt;margin-top:298.5pt;height:12.3pt;width:5.95pt;z-index:251716608;v-text-anchor:middle;mso-width-relative:page;mso-height-relative:page;" fillcolor="#92D050" filled="t" stroked="t" coordsize="21600,21600" o:gfxdata="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PRe6MPdAAAADQEAAA8AAAAAAAAAAQAgAAAAIgAAAGRycy9kb3ducmV2LnhtbFBLAQIUABQA&#10;AAAIAIdO4kDFVarDXQIAAKoEAAAOAAAAAAAAAAEAIAAAACwBAABkcnMvZTJvRG9jLnhtbFBLBQYA&#10;AAAABgAGAFkBAAD7BQAAAAA=&#10;" adj="2612">
                <v:fill on="t" focussize="0,0"/>
                <v:stroke weight="1pt" color="#00B050 [3204]" miterlimit="8" joinstyle="miter"/>
                <v:imagedata o:title=""/>
                <o:lock v:ext="edit" aspectratio="f"/>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14560" behindDoc="0" locked="0" layoutInCell="1" allowOverlap="1">
                <wp:simplePos x="0" y="0"/>
                <wp:positionH relativeFrom="column">
                  <wp:posOffset>7614920</wp:posOffset>
                </wp:positionH>
                <wp:positionV relativeFrom="paragraph">
                  <wp:posOffset>2990215</wp:posOffset>
                </wp:positionV>
                <wp:extent cx="75565" cy="156210"/>
                <wp:effectExtent l="6350" t="6350" r="9525" b="20320"/>
                <wp:wrapNone/>
                <wp:docPr id="35" name="圆柱形 35"/>
                <wp:cNvGraphicFramePr/>
                <a:graphic xmlns:a="http://schemas.openxmlformats.org/drawingml/2006/main">
                  <a:graphicData uri="http://schemas.microsoft.com/office/word/2010/wordprocessingShape">
                    <wps:wsp>
                      <wps:cNvSpPr/>
                      <wps:spPr>
                        <a:xfrm>
                          <a:off x="0" y="0"/>
                          <a:ext cx="75565" cy="156210"/>
                        </a:xfrm>
                        <a:prstGeom prst="can">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2" type="#_x0000_t22" style="position:absolute;left:0pt;margin-left:599.6pt;margin-top:235.45pt;height:12.3pt;width:5.95pt;z-index:251714560;v-text-anchor:middle;mso-width-relative:page;mso-height-relative:page;" fillcolor="#92D050" filled="t" stroked="t" coordsize="21600,21600" o:gfxdata="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OVbD23AAAAA0BAAAPAAAAAAAAAAEAIAAAACIAAABkcnMvZG93bnJldi54bWxQSwECFAAUAAAA&#10;CACHTuJAYhtPC1wCAACoBAAADgAAAAAAAAABACAAAAArAQAAZHJzL2Uyb0RvYy54bWxQSwUGAAAA&#10;AAYABgBZAQAA+QUAAAAA&#10;" adj="2612">
                <v:fill on="t" focussize="0,0"/>
                <v:stroke weight="1pt" color="#00B050 [3204]" miterlimit="8" joinstyle="miter"/>
                <v:imagedata o:title=""/>
                <o:lock v:ext="edit" aspectratio="f"/>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12512" behindDoc="0" locked="0" layoutInCell="1" allowOverlap="1">
                <wp:simplePos x="0" y="0"/>
                <wp:positionH relativeFrom="column">
                  <wp:posOffset>3925570</wp:posOffset>
                </wp:positionH>
                <wp:positionV relativeFrom="paragraph">
                  <wp:posOffset>3743960</wp:posOffset>
                </wp:positionV>
                <wp:extent cx="1259205" cy="365125"/>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259205" cy="365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sz w:val="15"/>
                                <w:szCs w:val="15"/>
                                <w:lang w:val="en-US" w:eastAsia="zh-CN"/>
                              </w:rPr>
                            </w:pPr>
                            <w:r>
                              <w:rPr>
                                <w:rFonts w:hint="eastAsia"/>
                                <w:b/>
                                <w:bCs/>
                                <w:color w:val="FF0000"/>
                                <w:sz w:val="15"/>
                                <w:szCs w:val="15"/>
                                <w:lang w:val="en-US" w:eastAsia="zh-CN"/>
                              </w:rPr>
                              <w:t>DA002（机制砂）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9.1pt;margin-top:294.8pt;height:28.75pt;width:99.15pt;z-index:251712512;mso-width-relative:page;mso-height-relative:page;" filled="f" stroked="f" coordsize="21600,21600" o:gfxdata="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C+27&#10;YNwAAAALAQAADwAAAAAAAAABACAAAAAiAAAAZHJzL2Rvd25yZXYueG1sUEsBAhQAFAAAAAgAh07i&#10;QB3V6QQeAgAAGgQAAA4AAAAAAAAAAQAgAAAAKwEAAGRycy9lMm9Eb2MueG1sUEsFBgAAAAAGAAYA&#10;WQEAALsFAAAAAA==&#10;">
                <v:fill on="f" focussize="0,0"/>
                <v:stroke on="f" weight="0.5pt"/>
                <v:imagedata o:title=""/>
                <o:lock v:ext="edit" aspectratio="f"/>
                <v:textbox>
                  <w:txbxContent>
                    <w:p>
                      <w:pPr>
                        <w:ind w:left="0" w:leftChars="0" w:firstLine="0" w:firstLineChars="0"/>
                        <w:rPr>
                          <w:rFonts w:hint="default" w:eastAsia="宋体"/>
                          <w:b/>
                          <w:bCs/>
                          <w:color w:val="FF0000"/>
                          <w:sz w:val="15"/>
                          <w:szCs w:val="15"/>
                          <w:lang w:val="en-US" w:eastAsia="zh-CN"/>
                        </w:rPr>
                      </w:pPr>
                      <w:r>
                        <w:rPr>
                          <w:rFonts w:hint="eastAsia"/>
                          <w:b/>
                          <w:bCs/>
                          <w:color w:val="FF0000"/>
                          <w:sz w:val="15"/>
                          <w:szCs w:val="15"/>
                          <w:lang w:val="en-US" w:eastAsia="zh-CN"/>
                        </w:rPr>
                        <w:t>DA002（机制砂）</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10464" behindDoc="0" locked="0" layoutInCell="1" allowOverlap="1">
                <wp:simplePos x="0" y="0"/>
                <wp:positionH relativeFrom="column">
                  <wp:posOffset>4104640</wp:posOffset>
                </wp:positionH>
                <wp:positionV relativeFrom="paragraph">
                  <wp:posOffset>3687445</wp:posOffset>
                </wp:positionV>
                <wp:extent cx="75565" cy="156210"/>
                <wp:effectExtent l="6350" t="6350" r="9525" b="20320"/>
                <wp:wrapNone/>
                <wp:docPr id="31" name="圆柱形 31"/>
                <wp:cNvGraphicFramePr/>
                <a:graphic xmlns:a="http://schemas.openxmlformats.org/drawingml/2006/main">
                  <a:graphicData uri="http://schemas.microsoft.com/office/word/2010/wordprocessingShape">
                    <wps:wsp>
                      <wps:cNvSpPr/>
                      <wps:spPr>
                        <a:xfrm>
                          <a:off x="0" y="0"/>
                          <a:ext cx="75565" cy="156210"/>
                        </a:xfrm>
                        <a:prstGeom prst="can">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2" type="#_x0000_t22" style="position:absolute;left:0pt;margin-left:323.2pt;margin-top:290.35pt;height:12.3pt;width:5.95pt;z-index:251710464;v-text-anchor:middle;mso-width-relative:page;mso-height-relative:page;" fillcolor="#92D050" filled="t" stroked="t" coordsize="21600,21600" o:gfxdata="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ryEOu3AAAAAsBAAAPAAAAAAAAAAEAIAAAACIAAABkcnMvZG93bnJldi54bWxQSwECFAAUAAAA&#10;CACHTuJAZlsCg1wCAACoBAAADgAAAAAAAAABACAAAAArAQAAZHJzL2Uyb0RvYy54bWxQSwUGAAAA&#10;AAYABgBZAQAA+QUAAAAA&#10;" adj="2612">
                <v:fill on="t" focussize="0,0"/>
                <v:stroke weight="1pt" color="#00B050 [3204]" miterlimit="8" joinstyle="miter"/>
                <v:imagedata o:title=""/>
                <o:lock v:ext="edit" aspectratio="f"/>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09440" behindDoc="0" locked="0" layoutInCell="1" allowOverlap="1">
                <wp:simplePos x="0" y="0"/>
                <wp:positionH relativeFrom="column">
                  <wp:posOffset>3765550</wp:posOffset>
                </wp:positionH>
                <wp:positionV relativeFrom="paragraph">
                  <wp:posOffset>3225800</wp:posOffset>
                </wp:positionV>
                <wp:extent cx="75565" cy="156210"/>
                <wp:effectExtent l="6350" t="6350" r="9525" b="20320"/>
                <wp:wrapNone/>
                <wp:docPr id="28" name="圆柱形 28"/>
                <wp:cNvGraphicFramePr/>
                <a:graphic xmlns:a="http://schemas.openxmlformats.org/drawingml/2006/main">
                  <a:graphicData uri="http://schemas.microsoft.com/office/word/2010/wordprocessingShape">
                    <wps:wsp>
                      <wps:cNvSpPr/>
                      <wps:spPr>
                        <a:xfrm>
                          <a:off x="4751705" y="4125595"/>
                          <a:ext cx="75565" cy="156210"/>
                        </a:xfrm>
                        <a:prstGeom prst="can">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2" type="#_x0000_t22" style="position:absolute;left:0pt;margin-left:296.5pt;margin-top:254pt;height:12.3pt;width:5.95pt;z-index:251709440;v-text-anchor:middle;mso-width-relative:page;mso-height-relative:page;" fillcolor="#92D050" filled="t" stroked="t" coordsize="21600,21600" o:gfxdata="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u0lwX2wAAAAsBAAAPAAAAAAAAAAEAIAAAACIAAABkcnMvZG93bnJldi54&#10;bWxQSwECFAAUAAAACACHTuJAZjm6EGkCAAC0BAAADgAAAAAAAAABACAAAAAqAQAAZHJzL2Uyb0Rv&#10;Yy54bWxQSwUGAAAAAAYABgBZAQAABQYAAAAA&#10;" adj="2612">
                <v:fill on="t" focussize="0,0"/>
                <v:stroke weight="1pt" color="#00B050 [3204]" miterlimit="8" joinstyle="miter"/>
                <v:imagedata o:title=""/>
                <o:lock v:ext="edit" aspectratio="f"/>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02272" behindDoc="0" locked="0" layoutInCell="1" allowOverlap="1">
                <wp:simplePos x="0" y="0"/>
                <wp:positionH relativeFrom="column">
                  <wp:posOffset>3199765</wp:posOffset>
                </wp:positionH>
                <wp:positionV relativeFrom="paragraph">
                  <wp:posOffset>1302385</wp:posOffset>
                </wp:positionV>
                <wp:extent cx="1141730" cy="678815"/>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141730" cy="6788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危废暂存间和一般固废暂存间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1.95pt;margin-top:102.55pt;height:53.45pt;width:89.9pt;z-index:251702272;mso-width-relative:page;mso-height-relative:page;" filled="f" stroked="f" coordsize="21600,21600" o:gfxdata="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d&#10;Inr63AAAAAsBAAAPAAAAAAAAAAEAIAAAACIAAABkcnMvZG93bnJldi54bWxQSwECFAAUAAAACACH&#10;TuJAuztAMiACAAAaBAAADgAAAAAAAAABACAAAAArAQAAZHJzL2Uyb0RvYy54bWxQSwUGAAAAAAYA&#10;BgBZAQAAvQUAAAAA&#10;">
                <v:fill on="f" focussize="0,0"/>
                <v:stroke on="f" weight="0.5pt"/>
                <v:imagedata o:title=""/>
                <o:lock v:ext="edit" aspectratio="f"/>
                <v:textbox>
                  <w:txbxContent>
                    <w:p>
                      <w:pPr>
                        <w:spacing w:line="240" w:lineRule="auto"/>
                        <w:ind w:left="0" w:leftChars="0" w:firstLine="0" w:firstLineChars="0"/>
                        <w:rPr>
                          <w:rFonts w:hint="default" w:eastAsia="宋体"/>
                          <w:b/>
                          <w:bCs/>
                          <w:color w:val="FF0000"/>
                          <w:sz w:val="21"/>
                          <w:szCs w:val="21"/>
                          <w:lang w:val="en-US" w:eastAsia="zh-CN"/>
                        </w:rPr>
                      </w:pPr>
                      <w:r>
                        <w:rPr>
                          <w:rFonts w:hint="eastAsia"/>
                          <w:b/>
                          <w:bCs/>
                          <w:color w:val="FF0000"/>
                          <w:sz w:val="21"/>
                          <w:szCs w:val="21"/>
                          <w:lang w:val="en-US" w:eastAsia="zh-CN"/>
                        </w:rPr>
                        <w:t>危废暂存间和一般固废暂存间</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01248" behindDoc="0" locked="0" layoutInCell="1" allowOverlap="1">
                <wp:simplePos x="0" y="0"/>
                <wp:positionH relativeFrom="column">
                  <wp:posOffset>3621405</wp:posOffset>
                </wp:positionH>
                <wp:positionV relativeFrom="paragraph">
                  <wp:posOffset>1788160</wp:posOffset>
                </wp:positionV>
                <wp:extent cx="180975" cy="618490"/>
                <wp:effectExtent l="13970" t="3810" r="14605" b="6350"/>
                <wp:wrapNone/>
                <wp:docPr id="39" name="直接连接符 39"/>
                <wp:cNvGraphicFramePr/>
                <a:graphic xmlns:a="http://schemas.openxmlformats.org/drawingml/2006/main">
                  <a:graphicData uri="http://schemas.microsoft.com/office/word/2010/wordprocessingShape">
                    <wps:wsp>
                      <wps:cNvCnPr/>
                      <wps:spPr>
                        <a:xfrm flipH="1" flipV="1">
                          <a:off x="0" y="0"/>
                          <a:ext cx="180975" cy="61849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285.15pt;margin-top:140.8pt;height:48.7pt;width:14.25pt;z-index:251701248;mso-width-relative:page;mso-height-relative:page;" filled="f" stroked="t" coordsize="21600,21600" o:gfxdata="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J8NPGdoAAAALAQAA&#10;DwAAAAAAAAABACAAAAAiAAAAZHJzL2Rvd25yZXYueG1sUEsBAhQAFAAAAAgAh07iQFDgRM/eAQAA&#10;fgMAAA4AAAAAAAAAAQAgAAAAKQEAAGRycy9lMm9Eb2MueG1sUEsFBgAAAAAGAAYAWQEAAHkFAAAA&#10;AA==&#10;">
                <v:fill on="f" focussize="0,0"/>
                <v:stroke weight="2.25pt" color="#FF0000 [3204]" miterlimit="8" joinstyle="miter"/>
                <v:imagedata o:title=""/>
                <o:lock v:ext="edit" aspectratio="f"/>
              </v:line>
            </w:pict>
          </mc:Fallback>
        </mc:AlternateContent>
      </w:r>
      <w:r>
        <w:rPr>
          <w:rFonts w:hint="default" w:ascii="Times New Roman" w:hAnsi="Times New Roman" w:cs="Times New Roman"/>
          <w:sz w:val="24"/>
        </w:rPr>
        <mc:AlternateContent>
          <mc:Choice Requires="wps">
            <w:drawing>
              <wp:anchor distT="0" distB="0" distL="114300" distR="114300" simplePos="0" relativeHeight="251700224" behindDoc="0" locked="0" layoutInCell="1" allowOverlap="1">
                <wp:simplePos x="0" y="0"/>
                <wp:positionH relativeFrom="column">
                  <wp:posOffset>3728720</wp:posOffset>
                </wp:positionH>
                <wp:positionV relativeFrom="paragraph">
                  <wp:posOffset>2398395</wp:posOffset>
                </wp:positionV>
                <wp:extent cx="381000" cy="133985"/>
                <wp:effectExtent l="13970" t="13970" r="24130" b="23495"/>
                <wp:wrapNone/>
                <wp:docPr id="40" name="矩形 40"/>
                <wp:cNvGraphicFramePr/>
                <a:graphic xmlns:a="http://schemas.openxmlformats.org/drawingml/2006/main">
                  <a:graphicData uri="http://schemas.microsoft.com/office/word/2010/wordprocessingShape">
                    <wps:wsp>
                      <wps:cNvSpPr/>
                      <wps:spPr>
                        <a:xfrm>
                          <a:off x="0" y="0"/>
                          <a:ext cx="381000" cy="13398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3.6pt;margin-top:188.85pt;height:10.55pt;width:30pt;z-index:251700224;v-text-anchor:middle;mso-width-relative:page;mso-height-relative:page;" filled="f" stroked="t" coordsize="21600,21600" o:gfxdata="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RN5JKtkAAAALAQAA&#10;DwAAAAAAAAABACAAAAAiAAAAZHJzL2Rvd25yZXYueG1sUEsBAhQAFAAAAAgAh07iQJEypGhRAgAA&#10;fgQAAA4AAAAAAAAAAQAgAAAAKAEAAGRycy9lMm9Eb2MueG1sUEsFBgAAAAAGAAYAWQEAAOsFAAAA&#10;AA==&#10;">
                <v:fill on="f" focussize="0,0"/>
                <v:stroke weight="2.25pt" color="#FF0000 [3204]" miterlimit="8" joinstyle="miter"/>
                <v:imagedata o:title=""/>
                <o:lock v:ext="edit" aspectratio="f"/>
              </v:rect>
            </w:pict>
          </mc:Fallback>
        </mc:AlternateContent>
      </w:r>
      <w:r>
        <w:rPr>
          <w:rFonts w:hint="default" w:ascii="Times New Roman" w:hAnsi="Times New Roman" w:cs="Times New Roman"/>
          <w:sz w:val="24"/>
        </w:rPr>
        <mc:AlternateContent>
          <mc:Choice Requires="wps">
            <w:drawing>
              <wp:anchor distT="0" distB="0" distL="114300" distR="114300" simplePos="0" relativeHeight="251688960" behindDoc="0" locked="0" layoutInCell="1" allowOverlap="1">
                <wp:simplePos x="0" y="0"/>
                <wp:positionH relativeFrom="column">
                  <wp:posOffset>2511425</wp:posOffset>
                </wp:positionH>
                <wp:positionV relativeFrom="paragraph">
                  <wp:posOffset>4404360</wp:posOffset>
                </wp:positionV>
                <wp:extent cx="381000" cy="133985"/>
                <wp:effectExtent l="13970" t="13970" r="24130" b="23495"/>
                <wp:wrapNone/>
                <wp:docPr id="80" name="矩形 80"/>
                <wp:cNvGraphicFramePr/>
                <a:graphic xmlns:a="http://schemas.openxmlformats.org/drawingml/2006/main">
                  <a:graphicData uri="http://schemas.microsoft.com/office/word/2010/wordprocessingShape">
                    <wps:wsp>
                      <wps:cNvSpPr/>
                      <wps:spPr>
                        <a:xfrm>
                          <a:off x="0" y="0"/>
                          <a:ext cx="381000" cy="13398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7.75pt;margin-top:346.8pt;height:10.55pt;width:30pt;z-index:251688960;v-text-anchor:middle;mso-width-relative:page;mso-height-relative:page;" filled="f" stroked="t" coordsize="21600,21600" o:gfxdata="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BAffz/aAAAACwEAAA8A&#10;AAAAAAAAAQAgAAAAIgAAAGRycy9kb3ducmV2LnhtbFBLAQIUABQAAAAIAIdO4kC1hJQkTgIAAH4E&#10;AAAOAAAAAAAAAAEAIAAAACkBAABkcnMvZTJvRG9jLnhtbFBLBQYAAAAABgAGAFkBAADpBQAAAAA=&#10;">
                <v:fill on="f" focussize="0,0"/>
                <v:stroke weight="2.25pt" color="#FF0000 [3204]" miterlimit="8" joinstyle="miter"/>
                <v:imagedata o:title=""/>
                <o:lock v:ext="edit" aspectratio="f"/>
              </v:rect>
            </w:pict>
          </mc:Fallback>
        </mc:AlternateContent>
      </w:r>
      <w:r>
        <w:rPr>
          <w:rFonts w:hint="default" w:ascii="Times New Roman" w:hAnsi="Times New Roman" w:cs="Times New Roman"/>
          <w:sz w:val="24"/>
        </w:rPr>
        <mc:AlternateContent>
          <mc:Choice Requires="wps">
            <w:drawing>
              <wp:anchor distT="0" distB="0" distL="114300" distR="114300" simplePos="0" relativeHeight="251698176" behindDoc="0" locked="0" layoutInCell="1" allowOverlap="1">
                <wp:simplePos x="0" y="0"/>
                <wp:positionH relativeFrom="column">
                  <wp:posOffset>940435</wp:posOffset>
                </wp:positionH>
                <wp:positionV relativeFrom="paragraph">
                  <wp:posOffset>2546350</wp:posOffset>
                </wp:positionV>
                <wp:extent cx="82550" cy="5080"/>
                <wp:effectExtent l="0" t="0" r="0" b="0"/>
                <wp:wrapNone/>
                <wp:docPr id="87" name="直接连接符 87"/>
                <wp:cNvGraphicFramePr/>
                <a:graphic xmlns:a="http://schemas.openxmlformats.org/drawingml/2006/main">
                  <a:graphicData uri="http://schemas.microsoft.com/office/word/2010/wordprocessingShape">
                    <wps:wsp>
                      <wps:cNvCnPr>
                        <a:stCxn id="74" idx="10"/>
                        <a:endCxn id="75" idx="1"/>
                      </wps:cNvCnPr>
                      <wps:spPr>
                        <a:xfrm>
                          <a:off x="1926590" y="3446145"/>
                          <a:ext cx="82550" cy="508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74.05pt;margin-top:200.5pt;height:0.4pt;width:6.5pt;z-index:251698176;mso-width-relative:page;mso-height-relative:page;" filled="f" stroked="t" coordsize="21600,21600" o:gfxdata="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JJWCD1gAAAAsBAAAPAAAAAAAAAAEAIAAAACIAAABkcnMvZG93bnJldi54bWxQSwEC&#10;FAAUAAAACACHTuJAncUBmvYBAAC2AwAADgAAAAAAAAABACAAAAAlAQAAZHJzL2Uyb0RvYy54bWxQ&#10;SwUGAAAAAAYABgBZAQAAjQUAAAAA&#10;">
                <v:fill on="f" focussize="0,0"/>
                <v:stroke weight="2.25pt" color="#00B0F0 [3204]" miterlimit="8" joinstyle="miter"/>
                <v:imagedata o:title=""/>
                <o:lock v:ext="edit" aspectratio="f"/>
              </v:line>
            </w:pict>
          </mc:Fallback>
        </mc:AlternateContent>
      </w:r>
      <w:r>
        <w:rPr>
          <w:rFonts w:hint="default" w:ascii="Times New Roman" w:hAnsi="Times New Roman" w:cs="Times New Roman"/>
          <w:sz w:val="24"/>
        </w:rPr>
        <mc:AlternateContent>
          <mc:Choice Requires="wps">
            <w:drawing>
              <wp:anchor distT="0" distB="0" distL="114300" distR="114300" simplePos="0" relativeHeight="251697152" behindDoc="0" locked="0" layoutInCell="1" allowOverlap="1">
                <wp:simplePos x="0" y="0"/>
                <wp:positionH relativeFrom="column">
                  <wp:posOffset>4820920</wp:posOffset>
                </wp:positionH>
                <wp:positionV relativeFrom="paragraph">
                  <wp:posOffset>1818005</wp:posOffset>
                </wp:positionV>
                <wp:extent cx="318770" cy="475615"/>
                <wp:effectExtent l="12065" t="8255" r="12065" b="11430"/>
                <wp:wrapNone/>
                <wp:docPr id="43" name="直接连接符 43"/>
                <wp:cNvGraphicFramePr/>
                <a:graphic xmlns:a="http://schemas.openxmlformats.org/drawingml/2006/main">
                  <a:graphicData uri="http://schemas.microsoft.com/office/word/2010/wordprocessingShape">
                    <wps:wsp>
                      <wps:cNvCnPr/>
                      <wps:spPr>
                        <a:xfrm flipH="1">
                          <a:off x="0" y="0"/>
                          <a:ext cx="318770" cy="475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379.6pt;margin-top:143.15pt;height:37.45pt;width:25.1pt;z-index:251697152;mso-width-relative:page;mso-height-relative:page;" filled="f" stroked="t" coordsize="21600,21600" o:gfxdata="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LY4MbdwAAAALAQAADwAA&#10;AAAAAAABACAAAAAiAAAAZHJzL2Rvd25yZXYueG1sUEsBAhQAFAAAAAgAh07iQLV9K7/ZAQAAdAMA&#10;AA4AAAAAAAAAAQAgAAAAKwEAAGRycy9lMm9Eb2MueG1sUEsFBgAAAAAGAAYAWQEAAHYFAAAAAA==&#10;">
                <v:fill on="f" focussize="0,0"/>
                <v:stroke weight="2.25pt" color="#FF0000 [3204]" miterlimit="8" joinstyle="miter"/>
                <v:imagedata o:title=""/>
                <o:lock v:ext="edit" aspectratio="f"/>
              </v:line>
            </w:pict>
          </mc:Fallback>
        </mc:AlternateContent>
      </w:r>
      <w:r>
        <w:rPr>
          <w:rFonts w:hint="default" w:ascii="Times New Roman" w:hAnsi="Times New Roman" w:cs="Times New Roman"/>
          <w:sz w:val="24"/>
        </w:rPr>
        <mc:AlternateContent>
          <mc:Choice Requires="wps">
            <w:drawing>
              <wp:anchor distT="0" distB="0" distL="114300" distR="114300" simplePos="0" relativeHeight="251696128" behindDoc="0" locked="0" layoutInCell="1" allowOverlap="1">
                <wp:simplePos x="0" y="0"/>
                <wp:positionH relativeFrom="column">
                  <wp:posOffset>5034280</wp:posOffset>
                </wp:positionH>
                <wp:positionV relativeFrom="paragraph">
                  <wp:posOffset>1522095</wp:posOffset>
                </wp:positionV>
                <wp:extent cx="837565" cy="38100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837565"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lang w:val="en-US" w:eastAsia="zh-CN"/>
                              </w:rPr>
                            </w:pPr>
                            <w:r>
                              <w:rPr>
                                <w:rFonts w:hint="eastAsia"/>
                                <w:b/>
                                <w:bCs/>
                                <w:color w:val="FF0000"/>
                                <w:lang w:val="en-US" w:eastAsia="zh-CN"/>
                              </w:rPr>
                              <w:t>消防水池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6.4pt;margin-top:119.85pt;height:30pt;width:65.95pt;z-index:251696128;mso-width-relative:page;mso-height-relative:page;" filled="f" stroked="f" coordsize="21600,21600" o:gfxdata="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B&#10;cwMO3AAAAAsBAAAPAAAAAAAAAAEAIAAAACIAAABkcnMvZG93bnJldi54bWxQSwECFAAUAAAACACH&#10;TuJAD7QwIyACAAAZBAAADgAAAAAAAAABACAAAAArAQAAZHJzL2Uyb0RvYy54bWxQSwUGAAAAAAYA&#10;BgBZAQAAvQUAAAAA&#10;">
                <v:fill on="f" focussize="0,0"/>
                <v:stroke on="f" weight="0.5pt"/>
                <v:imagedata o:title=""/>
                <o:lock v:ext="edit" aspectratio="f"/>
                <v:textbox>
                  <w:txbxContent>
                    <w:p>
                      <w:pPr>
                        <w:ind w:left="0" w:leftChars="0" w:firstLine="0" w:firstLineChars="0"/>
                        <w:rPr>
                          <w:rFonts w:hint="default" w:eastAsia="宋体"/>
                          <w:b/>
                          <w:bCs/>
                          <w:color w:val="FF0000"/>
                          <w:lang w:val="en-US" w:eastAsia="zh-CN"/>
                        </w:rPr>
                      </w:pPr>
                      <w:r>
                        <w:rPr>
                          <w:rFonts w:hint="eastAsia"/>
                          <w:b/>
                          <w:bCs/>
                          <w:color w:val="FF0000"/>
                          <w:lang w:val="en-US" w:eastAsia="zh-CN"/>
                        </w:rPr>
                        <w:t>消防水池</w:t>
                      </w:r>
                    </w:p>
                  </w:txbxContent>
                </v:textbox>
              </v:shape>
            </w:pict>
          </mc:Fallback>
        </mc:AlternateContent>
      </w:r>
      <w:r>
        <w:rPr>
          <w:rFonts w:hint="default" w:ascii="Times New Roman" w:hAnsi="Times New Roman" w:eastAsia="宋体" w:cs="Times New Roman"/>
          <w:lang w:eastAsia="zh-CN"/>
        </w:rPr>
        <w:drawing>
          <wp:inline distT="0" distB="0" distL="114300" distR="114300">
            <wp:extent cx="13513435" cy="8301355"/>
            <wp:effectExtent l="0" t="0" r="4445" b="4445"/>
            <wp:docPr id="44" name="图片 44" descr="2-中联新材标杆（湘阴）工厂项目规划方案设计20220708（提交规划复审）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2-中联新材标杆（湘阴）工厂项目规划方案设计20220708（提交规划复审） 41"/>
                    <pic:cNvPicPr>
                      <a:picLocks noChangeAspect="1"/>
                    </pic:cNvPicPr>
                  </pic:nvPicPr>
                  <pic:blipFill>
                    <a:blip r:embed="rId87"/>
                    <a:stretch>
                      <a:fillRect/>
                    </a:stretch>
                  </pic:blipFill>
                  <pic:spPr>
                    <a:xfrm>
                      <a:off x="0" y="0"/>
                      <a:ext cx="13513435" cy="8301355"/>
                    </a:xfrm>
                    <a:prstGeom prst="rect">
                      <a:avLst/>
                    </a:prstGeom>
                  </pic:spPr>
                </pic:pic>
              </a:graphicData>
            </a:graphic>
          </wp:inline>
        </w:drawing>
      </w:r>
      <w:r>
        <w:rPr>
          <w:rFonts w:hint="default" w:ascii="Times New Roman" w:hAnsi="Times New Roman" w:cs="Times New Roman"/>
          <w:sz w:val="24"/>
        </w:rPr>
        <mc:AlternateContent>
          <mc:Choice Requires="wps">
            <w:drawing>
              <wp:anchor distT="0" distB="0" distL="114300" distR="114300" simplePos="0" relativeHeight="251695104" behindDoc="0" locked="0" layoutInCell="1" allowOverlap="1">
                <wp:simplePos x="0" y="0"/>
                <wp:positionH relativeFrom="column">
                  <wp:posOffset>5114290</wp:posOffset>
                </wp:positionH>
                <wp:positionV relativeFrom="paragraph">
                  <wp:posOffset>1609725</wp:posOffset>
                </wp:positionV>
                <wp:extent cx="1276350" cy="381000"/>
                <wp:effectExtent l="0" t="0" r="0" b="0"/>
                <wp:wrapNone/>
                <wp:docPr id="86" name="文本框 86"/>
                <wp:cNvGraphicFramePr/>
                <a:graphic xmlns:a="http://schemas.openxmlformats.org/drawingml/2006/main">
                  <a:graphicData uri="http://schemas.microsoft.com/office/word/2010/wordprocessingShape">
                    <wps:wsp>
                      <wps:cNvSpPr txBox="1"/>
                      <wps:spPr>
                        <a:xfrm>
                          <a:off x="0" y="0"/>
                          <a:ext cx="1276350"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2.7pt;margin-top:126.75pt;height:30pt;width:100.5pt;z-index:251695104;mso-width-relative:page;mso-height-relative:page;" filled="f" stroked="f" coordsize="21600,21600" o:gfxdata="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AGrS+Xa&#10;AAAADAEAAA8AAAAAAAAAAQAgAAAAIgAAAGRycy9kb3ducmV2LnhtbFBLAQIUABQAAAAIAIdO4kCC&#10;kujsHgIAABoEAAAOAAAAAAAAAAEAIAAAACkBAABkcnMvZTJvRG9jLnhtbFBLBQYAAAAABgAGAFkB&#10;AAC5BQAAAAA=&#10;">
                <v:fill on="f" focussize="0,0"/>
                <v:stroke on="f" weight="0.5pt"/>
                <v:imagedata o:title=""/>
                <o:lock v:ext="edit" aspectratio="f"/>
                <v:textbox>
                  <w:txbxContent>
                    <w:p>
                      <w:pPr>
                        <w:ind w:left="0" w:leftChars="0" w:firstLine="0" w:firstLineChars="0"/>
                        <w:rPr>
                          <w:rFonts w:hint="default" w:eastAsia="宋体"/>
                          <w:b/>
                          <w:bCs/>
                          <w:color w:val="FF0000"/>
                          <w:lang w:val="en-US" w:eastAsia="zh-CN"/>
                        </w:rPr>
                      </w:pP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94080" behindDoc="0" locked="0" layoutInCell="1" allowOverlap="1">
                <wp:simplePos x="0" y="0"/>
                <wp:positionH relativeFrom="column">
                  <wp:posOffset>4392930</wp:posOffset>
                </wp:positionH>
                <wp:positionV relativeFrom="paragraph">
                  <wp:posOffset>2296160</wp:posOffset>
                </wp:positionV>
                <wp:extent cx="428625" cy="276225"/>
                <wp:effectExtent l="14605" t="13970" r="13970" b="14605"/>
                <wp:wrapNone/>
                <wp:docPr id="85" name="矩形 85"/>
                <wp:cNvGraphicFramePr/>
                <a:graphic xmlns:a="http://schemas.openxmlformats.org/drawingml/2006/main">
                  <a:graphicData uri="http://schemas.microsoft.com/office/word/2010/wordprocessingShape">
                    <wps:wsp>
                      <wps:cNvSpPr/>
                      <wps:spPr>
                        <a:xfrm>
                          <a:off x="0" y="0"/>
                          <a:ext cx="428625" cy="2762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5.9pt;margin-top:180.8pt;height:21.75pt;width:33.75pt;z-index:251694080;v-text-anchor:middle;mso-width-relative:page;mso-height-relative:page;" filled="f" stroked="t" coordsize="21600,21600" o:gfxdata="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JBP/qjaAAAACwEAAA8A&#10;AAAAAAAAAQAgAAAAIgAAAGRycy9kb3ducmV2LnhtbFBLAQIUABQAAAAIAIdO4kAMoT0rTgIAAH4E&#10;AAAOAAAAAAAAAAEAIAAAACkBAABkcnMvZTJvRG9jLnhtbFBLBQYAAAAABgAGAFkBAADpBQAAAAA=&#10;">
                <v:fill on="f" focussize="0,0"/>
                <v:stroke weight="2.25pt" color="#FF0000 [3204]" miterlimit="8" joinstyle="miter"/>
                <v:imagedata o:title=""/>
                <o:lock v:ext="edit" aspectratio="f"/>
              </v:rect>
            </w:pict>
          </mc:Fallback>
        </mc:AlternateContent>
      </w:r>
      <w:r>
        <w:rPr>
          <w:rFonts w:hint="default" w:ascii="Times New Roman" w:hAnsi="Times New Roman" w:cs="Times New Roman"/>
          <w:sz w:val="24"/>
        </w:rPr>
        <mc:AlternateContent>
          <mc:Choice Requires="wps">
            <w:drawing>
              <wp:anchor distT="0" distB="0" distL="114300" distR="114300" simplePos="0" relativeHeight="251683840" behindDoc="0" locked="0" layoutInCell="1" allowOverlap="1">
                <wp:simplePos x="0" y="0"/>
                <wp:positionH relativeFrom="column">
                  <wp:posOffset>1022985</wp:posOffset>
                </wp:positionH>
                <wp:positionV relativeFrom="paragraph">
                  <wp:posOffset>2413000</wp:posOffset>
                </wp:positionV>
                <wp:extent cx="428625" cy="276225"/>
                <wp:effectExtent l="14605" t="13970" r="13970" b="14605"/>
                <wp:wrapNone/>
                <wp:docPr id="75" name="矩形 75"/>
                <wp:cNvGraphicFramePr/>
                <a:graphic xmlns:a="http://schemas.openxmlformats.org/drawingml/2006/main">
                  <a:graphicData uri="http://schemas.microsoft.com/office/word/2010/wordprocessingShape">
                    <wps:wsp>
                      <wps:cNvSpPr/>
                      <wps:spPr>
                        <a:xfrm>
                          <a:off x="1993265" y="3312795"/>
                          <a:ext cx="428625" cy="2762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0.55pt;margin-top:190pt;height:21.75pt;width:33.75pt;z-index:251683840;v-text-anchor:middle;mso-width-relative:page;mso-height-relative:page;" filled="f" stroked="t" coordsize="21600,21600" o:gfxdata="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j&#10;a34y2QAAAAsBAAAPAAAAAAAAAAEAIAAAACIAAABkcnMvZG93bnJldi54bWxQSwECFAAUAAAACACH&#10;TuJA16zM7FwCAACKBAAADgAAAAAAAAABACAAAAAoAQAAZHJzL2Uyb0RvYy54bWxQSwUGAAAAAAYA&#10;BgBZAQAA9gUAAAAA&#10;">
                <v:fill on="f" focussize="0,0"/>
                <v:stroke weight="2.25pt" color="#FF0000 [3204]" miterlimit="8" joinstyle="miter"/>
                <v:imagedata o:title=""/>
                <o:lock v:ext="edit" aspectratio="f"/>
              </v:rect>
            </w:pict>
          </mc:Fallback>
        </mc:AlternateContent>
      </w:r>
      <w:r>
        <w:rPr>
          <w:rFonts w:hint="default" w:ascii="Times New Roman" w:hAnsi="Times New Roman" w:cs="Times New Roman"/>
          <w:sz w:val="24"/>
        </w:rPr>
        <mc:AlternateContent>
          <mc:Choice Requires="wps">
            <w:drawing>
              <wp:anchor distT="0" distB="0" distL="114300" distR="114300" simplePos="0" relativeHeight="251692032" behindDoc="0" locked="0" layoutInCell="1" allowOverlap="1">
                <wp:simplePos x="0" y="0"/>
                <wp:positionH relativeFrom="column">
                  <wp:posOffset>1165860</wp:posOffset>
                </wp:positionH>
                <wp:positionV relativeFrom="paragraph">
                  <wp:posOffset>4871720</wp:posOffset>
                </wp:positionV>
                <wp:extent cx="1221740" cy="38100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1221740"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lang w:val="en-US" w:eastAsia="zh-CN"/>
                              </w:rPr>
                            </w:pPr>
                            <w:r>
                              <w:rPr>
                                <w:rFonts w:hint="eastAsia"/>
                                <w:b/>
                                <w:bCs/>
                                <w:color w:val="FF0000"/>
                                <w:lang w:val="en-US" w:eastAsia="zh-CN"/>
                              </w:rPr>
                              <w:t>接市政污水管网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1.8pt;margin-top:383.6pt;height:30pt;width:96.2pt;z-index:251692032;mso-width-relative:page;mso-height-relative:page;" filled="f" stroked="f" coordsize="21600,21600" o:gfxdata="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cpwDF&#10;2gAAAAsBAAAPAAAAAAAAAAEAIAAAACIAAABkcnMvZG93bnJldi54bWxQSwECFAAUAAAACACHTuJA&#10;+D+rZR8CAAAaBAAADgAAAAAAAAABACAAAAApAQAAZHJzL2Uyb0RvYy54bWxQSwUGAAAAAAYABgBZ&#10;AQAAugUAAAAA&#10;">
                <v:fill on="f" focussize="0,0"/>
                <v:stroke on="f" weight="0.5pt"/>
                <v:imagedata o:title=""/>
                <o:lock v:ext="edit" aspectratio="f"/>
                <v:textbox>
                  <w:txbxContent>
                    <w:p>
                      <w:pPr>
                        <w:ind w:left="0" w:leftChars="0" w:firstLine="0" w:firstLineChars="0"/>
                        <w:rPr>
                          <w:rFonts w:hint="default" w:eastAsia="宋体"/>
                          <w:b/>
                          <w:bCs/>
                          <w:color w:val="FF0000"/>
                          <w:lang w:val="en-US" w:eastAsia="zh-CN"/>
                        </w:rPr>
                      </w:pPr>
                      <w:r>
                        <w:rPr>
                          <w:rFonts w:hint="eastAsia"/>
                          <w:b/>
                          <w:bCs/>
                          <w:color w:val="FF0000"/>
                          <w:lang w:val="en-US" w:eastAsia="zh-CN"/>
                        </w:rPr>
                        <w:t>接市政污水管网</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93056" behindDoc="0" locked="0" layoutInCell="1" allowOverlap="1">
                <wp:simplePos x="0" y="0"/>
                <wp:positionH relativeFrom="column">
                  <wp:posOffset>1146810</wp:posOffset>
                </wp:positionH>
                <wp:positionV relativeFrom="paragraph">
                  <wp:posOffset>4869180</wp:posOffset>
                </wp:positionV>
                <wp:extent cx="104775" cy="212090"/>
                <wp:effectExtent l="12700" t="6350" r="15875" b="10160"/>
                <wp:wrapNone/>
                <wp:docPr id="84" name="直接连接符 84"/>
                <wp:cNvGraphicFramePr/>
                <a:graphic xmlns:a="http://schemas.openxmlformats.org/drawingml/2006/main">
                  <a:graphicData uri="http://schemas.microsoft.com/office/word/2010/wordprocessingShape">
                    <wps:wsp>
                      <wps:cNvCnPr/>
                      <wps:spPr>
                        <a:xfrm flipH="1" flipV="1">
                          <a:off x="0" y="0"/>
                          <a:ext cx="104775" cy="21209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90.3pt;margin-top:383.4pt;height:16.7pt;width:8.25pt;z-index:251693056;mso-width-relative:page;mso-height-relative:page;" filled="f" stroked="t" coordsize="21600,21600" o:gfxdata="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AGa0f+2AAAAAsBAAAPAAAA&#10;AAAAAAEAIAAAACIAAABkcnMvZG93bnJldi54bWxQSwECFAAUAAAACACHTuJAMpNXotwBAAB+AwAA&#10;DgAAAAAAAAABACAAAAAnAQAAZHJzL2Uyb0RvYy54bWxQSwUGAAAAAAYABgBZAQAAdQUAAAAA&#10;">
                <v:fill on="f" focussize="0,0"/>
                <v:stroke weight="2.25pt" color="#FF0000 [3204]" miterlimit="8" joinstyle="miter"/>
                <v:imagedata o:title=""/>
                <o:lock v:ext="edit" aspectratio="f"/>
              </v:line>
            </w:pict>
          </mc:Fallback>
        </mc:AlternateContent>
      </w:r>
      <w:r>
        <w:rPr>
          <w:rFonts w:hint="default" w:ascii="Times New Roman" w:hAnsi="Times New Roman" w:cs="Times New Roman"/>
          <w:sz w:val="24"/>
        </w:rPr>
        <mc:AlternateContent>
          <mc:Choice Requires="wps">
            <w:drawing>
              <wp:anchor distT="0" distB="0" distL="114300" distR="114300" simplePos="0" relativeHeight="251691008" behindDoc="0" locked="0" layoutInCell="1" allowOverlap="1">
                <wp:simplePos x="0" y="0"/>
                <wp:positionH relativeFrom="column">
                  <wp:posOffset>2693035</wp:posOffset>
                </wp:positionH>
                <wp:positionV relativeFrom="paragraph">
                  <wp:posOffset>4547235</wp:posOffset>
                </wp:positionV>
                <wp:extent cx="180975" cy="618490"/>
                <wp:effectExtent l="13970" t="3810" r="14605" b="6350"/>
                <wp:wrapNone/>
                <wp:docPr id="82" name="直接连接符 82"/>
                <wp:cNvGraphicFramePr/>
                <a:graphic xmlns:a="http://schemas.openxmlformats.org/drawingml/2006/main">
                  <a:graphicData uri="http://schemas.microsoft.com/office/word/2010/wordprocessingShape">
                    <wps:wsp>
                      <wps:cNvCnPr/>
                      <wps:spPr>
                        <a:xfrm flipH="1" flipV="1">
                          <a:off x="0" y="0"/>
                          <a:ext cx="180975" cy="61849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212.05pt;margin-top:358.05pt;height:48.7pt;width:14.25pt;z-index:251691008;mso-width-relative:page;mso-height-relative:page;" filled="f" stroked="t" coordsize="21600,21600" o:gfxdata="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c/tFu2gAAAAsBAAAP&#10;AAAAAAAAAAEAIAAAACIAAABkcnMvZG93bnJldi54bWxQSwECFAAUAAAACACHTuJAsGMPDd0BAAB+&#10;AwAADgAAAAAAAAABACAAAAApAQAAZHJzL2Uyb0RvYy54bWxQSwUGAAAAAAYABgBZAQAAeAUAAAAA&#10;">
                <v:fill on="f" focussize="0,0"/>
                <v:stroke weight="2.25pt" color="#FF0000 [3204]" miterlimit="8" joinstyle="miter"/>
                <v:imagedata o:title=""/>
                <o:lock v:ext="edit" aspectratio="f"/>
              </v:line>
            </w:pict>
          </mc:Fallback>
        </mc:AlternateContent>
      </w:r>
      <w:r>
        <w:rPr>
          <w:rFonts w:hint="default" w:ascii="Times New Roman" w:hAnsi="Times New Roman" w:cs="Times New Roman"/>
          <w:sz w:val="24"/>
        </w:rPr>
        <mc:AlternateContent>
          <mc:Choice Requires="wps">
            <w:drawing>
              <wp:anchor distT="0" distB="0" distL="114300" distR="114300" simplePos="0" relativeHeight="251689984" behindDoc="0" locked="0" layoutInCell="1" allowOverlap="1">
                <wp:simplePos x="0" y="0"/>
                <wp:positionH relativeFrom="column">
                  <wp:posOffset>2569210</wp:posOffset>
                </wp:positionH>
                <wp:positionV relativeFrom="paragraph">
                  <wp:posOffset>5051425</wp:posOffset>
                </wp:positionV>
                <wp:extent cx="704215" cy="381000"/>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704215"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lang w:val="en-US" w:eastAsia="zh-CN"/>
                              </w:rPr>
                            </w:pPr>
                            <w:r>
                              <w:rPr>
                                <w:rFonts w:hint="eastAsia"/>
                                <w:b/>
                                <w:bCs/>
                                <w:color w:val="FF0000"/>
                                <w:lang w:val="en-US" w:eastAsia="zh-CN"/>
                              </w:rPr>
                              <w:t>化粪池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2.3pt;margin-top:397.75pt;height:30pt;width:55.45pt;z-index:251689984;mso-width-relative:page;mso-height-relative:page;" filled="f" stroked="f" coordsize="21600,21600" o:gfxdata="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Y&#10;vmPS2wAAAAsBAAAPAAAAAAAAAAEAIAAAACIAAABkcnMvZG93bnJldi54bWxQSwECFAAUAAAACACH&#10;TuJAvcotkiECAAAZBAAADgAAAAAAAAABACAAAAAqAQAAZHJzL2Uyb0RvYy54bWxQSwUGAAAAAAYA&#10;BgBZAQAAvQUAAAAA&#10;">
                <v:fill on="f" focussize="0,0"/>
                <v:stroke on="f" weight="0.5pt"/>
                <v:imagedata o:title=""/>
                <o:lock v:ext="edit" aspectratio="f"/>
                <v:textbox>
                  <w:txbxContent>
                    <w:p>
                      <w:pPr>
                        <w:ind w:left="0" w:leftChars="0" w:firstLine="0" w:firstLineChars="0"/>
                        <w:rPr>
                          <w:rFonts w:hint="default" w:eastAsia="宋体"/>
                          <w:b/>
                          <w:bCs/>
                          <w:color w:val="FF0000"/>
                          <w:lang w:val="en-US" w:eastAsia="zh-CN"/>
                        </w:rPr>
                      </w:pPr>
                      <w:r>
                        <w:rPr>
                          <w:rFonts w:hint="eastAsia"/>
                          <w:b/>
                          <w:bCs/>
                          <w:color w:val="FF0000"/>
                          <w:lang w:val="en-US" w:eastAsia="zh-CN"/>
                        </w:rPr>
                        <w:t>化粪池</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87936" behindDoc="0" locked="0" layoutInCell="1" allowOverlap="1">
                <wp:simplePos x="0" y="0"/>
                <wp:positionH relativeFrom="column">
                  <wp:posOffset>5464175</wp:posOffset>
                </wp:positionH>
                <wp:positionV relativeFrom="paragraph">
                  <wp:posOffset>3881120</wp:posOffset>
                </wp:positionV>
                <wp:extent cx="3610610" cy="1790700"/>
                <wp:effectExtent l="13970" t="0" r="33020" b="19050"/>
                <wp:wrapNone/>
                <wp:docPr id="79" name="任意多边形 79"/>
                <wp:cNvGraphicFramePr/>
                <a:graphic xmlns:a="http://schemas.openxmlformats.org/drawingml/2006/main">
                  <a:graphicData uri="http://schemas.microsoft.com/office/word/2010/wordprocessingShape">
                    <wps:wsp>
                      <wps:cNvSpPr/>
                      <wps:spPr>
                        <a:xfrm>
                          <a:off x="6441440" y="4780915"/>
                          <a:ext cx="3610610" cy="1790700"/>
                        </a:xfrm>
                        <a:custGeom>
                          <a:avLst/>
                          <a:gdLst>
                            <a:gd name="connisteX0" fmla="*/ 3619500 w 3629025"/>
                            <a:gd name="connsiteY0" fmla="*/ 0 h 1790700"/>
                            <a:gd name="connisteX1" fmla="*/ 3629025 w 3629025"/>
                            <a:gd name="connsiteY1" fmla="*/ 1790700 h 1790700"/>
                            <a:gd name="connisteX2" fmla="*/ 2209800 w 3629025"/>
                            <a:gd name="connsiteY2" fmla="*/ 1790700 h 1790700"/>
                            <a:gd name="connisteX3" fmla="*/ 0 w 3629025"/>
                            <a:gd name="connsiteY3" fmla="*/ 1114425 h 1790700"/>
                            <a:gd name="connisteX4" fmla="*/ 0 w 3629025"/>
                            <a:gd name="connsiteY4" fmla="*/ 581025 h 179070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3629025" h="1790700">
                              <a:moveTo>
                                <a:pt x="3619500" y="0"/>
                              </a:moveTo>
                              <a:lnTo>
                                <a:pt x="3629025" y="1790700"/>
                              </a:lnTo>
                              <a:lnTo>
                                <a:pt x="2209800" y="1790700"/>
                              </a:lnTo>
                              <a:lnTo>
                                <a:pt x="0" y="1114425"/>
                              </a:lnTo>
                              <a:lnTo>
                                <a:pt x="0" y="581025"/>
                              </a:lnTo>
                            </a:path>
                          </a:pathLst>
                        </a:custGeom>
                        <a:noFill/>
                        <a:ln w="28575">
                          <a:solidFill>
                            <a:srgbClr val="FFFF00"/>
                          </a:solidFill>
                          <a:prstDash val="lgDash"/>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30.25pt;margin-top:305.6pt;height:141pt;width:284.3pt;z-index:251687936;mso-width-relative:page;mso-height-relative:page;" filled="f" stroked="t" coordsize="3629025,1790700" o:gfxdata="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" path="m3619500,0l3629025,1790700,2209800,1790700,0,1114425,0,581025e">
                <v:path o:connectlocs="3601133,0;3610610,1790700;2198586,1790700;0,1114425;0,581025" o:connectangles="0,0,0,0,0"/>
                <v:fill on="f" focussize="0,0"/>
                <v:stroke weight="2.25pt" color="#FFFF00 [3204]" miterlimit="8" joinstyle="miter" dashstyle="longDash"/>
                <v:imagedata o:title=""/>
                <o:lock v:ext="edit" aspectratio="f"/>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86912" behindDoc="0" locked="0" layoutInCell="1" allowOverlap="1">
                <wp:simplePos x="0" y="0"/>
                <wp:positionH relativeFrom="column">
                  <wp:posOffset>1102360</wp:posOffset>
                </wp:positionH>
                <wp:positionV relativeFrom="paragraph">
                  <wp:posOffset>2727325</wp:posOffset>
                </wp:positionV>
                <wp:extent cx="4371975" cy="2152650"/>
                <wp:effectExtent l="0" t="13970" r="23495" b="24130"/>
                <wp:wrapNone/>
                <wp:docPr id="78" name="任意多边形 78"/>
                <wp:cNvGraphicFramePr/>
                <a:graphic xmlns:a="http://schemas.openxmlformats.org/drawingml/2006/main">
                  <a:graphicData uri="http://schemas.microsoft.com/office/word/2010/wordprocessingShape">
                    <wps:wsp>
                      <wps:cNvSpPr/>
                      <wps:spPr>
                        <a:xfrm>
                          <a:off x="2107565" y="3627120"/>
                          <a:ext cx="4371975" cy="2152650"/>
                        </a:xfrm>
                        <a:custGeom>
                          <a:avLst/>
                          <a:gdLst>
                            <a:gd name="connisteX0" fmla="*/ 3686175 w 4371975"/>
                            <a:gd name="connsiteY0" fmla="*/ 0 h 2152650"/>
                            <a:gd name="connisteX1" fmla="*/ 4371975 w 4371975"/>
                            <a:gd name="connsiteY1" fmla="*/ 9525 h 2152650"/>
                            <a:gd name="connisteX2" fmla="*/ 4362450 w 4371975"/>
                            <a:gd name="connsiteY2" fmla="*/ 1762125 h 2152650"/>
                            <a:gd name="connisteX3" fmla="*/ 1047750 w 4371975"/>
                            <a:gd name="connsiteY3" fmla="*/ 1762125 h 2152650"/>
                            <a:gd name="connisteX4" fmla="*/ 0 w 4371975"/>
                            <a:gd name="connsiteY4" fmla="*/ 2152650 h 21526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4371975" h="2152650">
                              <a:moveTo>
                                <a:pt x="3686175" y="0"/>
                              </a:moveTo>
                              <a:lnTo>
                                <a:pt x="4371975" y="9525"/>
                              </a:lnTo>
                              <a:lnTo>
                                <a:pt x="4362450" y="1762125"/>
                              </a:lnTo>
                              <a:lnTo>
                                <a:pt x="1047750" y="1762125"/>
                              </a:lnTo>
                              <a:lnTo>
                                <a:pt x="0" y="2152650"/>
                              </a:lnTo>
                            </a:path>
                          </a:pathLst>
                        </a:custGeom>
                        <a:noFill/>
                        <a:ln w="28575">
                          <a:solidFill>
                            <a:srgbClr val="FFFF00"/>
                          </a:solidFill>
                          <a:prstDash val="lgDash"/>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86.8pt;margin-top:214.75pt;height:169.5pt;width:344.25pt;z-index:251686912;mso-width-relative:page;mso-height-relative:page;" filled="f" stroked="t" coordsize="4371975,2152650" o:gfxdata="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" path="m3686175,0l4371975,9525,4362450,1762125,1047750,1762125,0,2152650e">
                <v:path o:connectlocs="3686175,0;4371975,9525;4362450,1762125;1047750,1762125;0,2152650" o:connectangles="0,0,0,0,0"/>
                <v:fill on="f" focussize="0,0"/>
                <v:stroke weight="2.25pt" color="#FFFF00 [3204]" miterlimit="8" joinstyle="miter" dashstyle="longDash"/>
                <v:imagedata o:title=""/>
                <o:lock v:ext="edit" aspectratio="f"/>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84864" behindDoc="0" locked="0" layoutInCell="1" allowOverlap="1">
                <wp:simplePos x="0" y="0"/>
                <wp:positionH relativeFrom="column">
                  <wp:posOffset>1692910</wp:posOffset>
                </wp:positionH>
                <wp:positionV relativeFrom="paragraph">
                  <wp:posOffset>1917700</wp:posOffset>
                </wp:positionV>
                <wp:extent cx="1276350" cy="381000"/>
                <wp:effectExtent l="0" t="0" r="0" b="0"/>
                <wp:wrapNone/>
                <wp:docPr id="76" name="文本框 76"/>
                <wp:cNvGraphicFramePr/>
                <a:graphic xmlns:a="http://schemas.openxmlformats.org/drawingml/2006/main">
                  <a:graphicData uri="http://schemas.microsoft.com/office/word/2010/wordprocessingShape">
                    <wps:wsp>
                      <wps:cNvSpPr txBox="1"/>
                      <wps:spPr>
                        <a:xfrm>
                          <a:off x="2383790" y="3046095"/>
                          <a:ext cx="1276350"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lang w:val="en-US" w:eastAsia="zh-CN"/>
                              </w:rPr>
                            </w:pPr>
                            <w:r>
                              <w:rPr>
                                <w:rFonts w:hint="eastAsia"/>
                                <w:b/>
                                <w:bCs/>
                                <w:color w:val="FF0000"/>
                                <w:lang w:val="en-US" w:eastAsia="zh-CN"/>
                              </w:rPr>
                              <w:t>初期雨水收集池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3.3pt;margin-top:151pt;height:30pt;width:100.5pt;z-index:251684864;mso-width-relative:page;mso-height-relative:page;" filled="f" stroked="f" coordsize="21600,21600" o:gfxdata="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I9Z0DzaAAAACwEAAA8AAAAAAAAAAQAgAAAAIgAAAGRycy9kb3ducmV2LnhtbFBLAQIU&#10;ABQAAAAIAIdO4kA9yRC7KgIAACYEAAAOAAAAAAAAAAEAIAAAACkBAABkcnMvZTJvRG9jLnhtbFBL&#10;BQYAAAAABgAGAFkBAADFBQAAAAA=&#10;">
                <v:fill on="f" focussize="0,0"/>
                <v:stroke on="f" weight="0.5pt"/>
                <v:imagedata o:title=""/>
                <o:lock v:ext="edit" aspectratio="f"/>
                <v:textbox>
                  <w:txbxContent>
                    <w:p>
                      <w:pPr>
                        <w:ind w:left="0" w:leftChars="0" w:firstLine="0" w:firstLineChars="0"/>
                        <w:rPr>
                          <w:rFonts w:hint="default" w:eastAsia="宋体"/>
                          <w:b/>
                          <w:bCs/>
                          <w:color w:val="FF0000"/>
                          <w:lang w:val="en-US" w:eastAsia="zh-CN"/>
                        </w:rPr>
                      </w:pPr>
                      <w:r>
                        <w:rPr>
                          <w:rFonts w:hint="eastAsia"/>
                          <w:b/>
                          <w:bCs/>
                          <w:color w:val="FF0000"/>
                          <w:lang w:val="en-US" w:eastAsia="zh-CN"/>
                        </w:rPr>
                        <w:t>初期雨水收集池</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85888" behindDoc="0" locked="0" layoutInCell="1" allowOverlap="1">
                <wp:simplePos x="0" y="0"/>
                <wp:positionH relativeFrom="column">
                  <wp:posOffset>1435735</wp:posOffset>
                </wp:positionH>
                <wp:positionV relativeFrom="paragraph">
                  <wp:posOffset>2193925</wp:posOffset>
                </wp:positionV>
                <wp:extent cx="295275" cy="209550"/>
                <wp:effectExtent l="8255" t="11430" r="20320" b="26670"/>
                <wp:wrapNone/>
                <wp:docPr id="77" name="直接连接符 77"/>
                <wp:cNvGraphicFramePr/>
                <a:graphic xmlns:a="http://schemas.openxmlformats.org/drawingml/2006/main">
                  <a:graphicData uri="http://schemas.microsoft.com/office/word/2010/wordprocessingShape">
                    <wps:wsp>
                      <wps:cNvCnPr/>
                      <wps:spPr>
                        <a:xfrm flipH="1">
                          <a:off x="2374265" y="3208020"/>
                          <a:ext cx="295275" cy="20955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113.05pt;margin-top:172.75pt;height:16.5pt;width:23.25pt;z-index:251685888;mso-width-relative:page;mso-height-relative:page;" filled="f" stroked="t" coordsize="21600,21600" o:gfxdata="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iUAJ&#10;7tsAAAALAQAADwAAAAAAAAABACAAAAAiAAAAZHJzL2Rvd25yZXYueG1sUEsBAhQAFAAAAAgAh07i&#10;QBtpdCLmAQAAgAMAAA4AAAAAAAAAAQAgAAAAKgEAAGRycy9lMm9Eb2MueG1sUEsFBgAAAAAGAAYA&#10;WQEAAIIFAAAAAA==&#10;">
                <v:fill on="f" focussize="0,0"/>
                <v:stroke weight="2.25pt" color="#FF0000 [3204]" miterlimit="8" joinstyle="miter"/>
                <v:imagedata o:title=""/>
                <o:lock v:ext="edit" aspectratio="f"/>
              </v:line>
            </w:pict>
          </mc:Fallback>
        </mc:AlternateContent>
      </w:r>
      <w:r>
        <w:rPr>
          <w:rFonts w:hint="default" w:ascii="Times New Roman" w:hAnsi="Times New Roman" w:cs="Times New Roman"/>
          <w:sz w:val="24"/>
        </w:rPr>
        <mc:AlternateContent>
          <mc:Choice Requires="wps">
            <w:drawing>
              <wp:anchor distT="0" distB="0" distL="114300" distR="114300" simplePos="0" relativeHeight="251682816" behindDoc="0" locked="0" layoutInCell="1" allowOverlap="1">
                <wp:simplePos x="0" y="0"/>
                <wp:positionH relativeFrom="column">
                  <wp:posOffset>454660</wp:posOffset>
                </wp:positionH>
                <wp:positionV relativeFrom="paragraph">
                  <wp:posOffset>2536825</wp:posOffset>
                </wp:positionV>
                <wp:extent cx="7953375" cy="3000375"/>
                <wp:effectExtent l="0" t="13970" r="9525" b="14605"/>
                <wp:wrapNone/>
                <wp:docPr id="74" name="任意多边形 74"/>
                <wp:cNvGraphicFramePr/>
                <a:graphic xmlns:a="http://schemas.openxmlformats.org/drawingml/2006/main">
                  <a:graphicData uri="http://schemas.microsoft.com/office/word/2010/wordprocessingShape">
                    <wps:wsp>
                      <wps:cNvSpPr/>
                      <wps:spPr>
                        <a:xfrm>
                          <a:off x="1440815" y="3436620"/>
                          <a:ext cx="7953375" cy="3000375"/>
                        </a:xfrm>
                        <a:custGeom>
                          <a:avLst/>
                          <a:gdLst>
                            <a:gd name="connisteX0" fmla="*/ 7953375 w 7953375"/>
                            <a:gd name="connsiteY0" fmla="*/ 3000375 h 3000375"/>
                            <a:gd name="connisteX1" fmla="*/ 7886700 w 7953375"/>
                            <a:gd name="connsiteY1" fmla="*/ 3000375 h 3000375"/>
                            <a:gd name="connisteX2" fmla="*/ 7229475 w 7953375"/>
                            <a:gd name="connsiteY2" fmla="*/ 3000375 h 3000375"/>
                            <a:gd name="connisteX3" fmla="*/ 5248275 w 7953375"/>
                            <a:gd name="connsiteY3" fmla="*/ 2438400 h 3000375"/>
                            <a:gd name="connisteX4" fmla="*/ 5248275 w 7953375"/>
                            <a:gd name="connsiteY4" fmla="*/ 2028825 h 3000375"/>
                            <a:gd name="connisteX5" fmla="*/ 1828800 w 7953375"/>
                            <a:gd name="connsiteY5" fmla="*/ 2028825 h 3000375"/>
                            <a:gd name="connisteX6" fmla="*/ 1209675 w 7953375"/>
                            <a:gd name="connsiteY6" fmla="*/ 1752600 h 3000375"/>
                            <a:gd name="connisteX7" fmla="*/ 914400 w 7953375"/>
                            <a:gd name="connsiteY7" fmla="*/ 1133475 h 3000375"/>
                            <a:gd name="connisteX8" fmla="*/ 914400 w 7953375"/>
                            <a:gd name="connsiteY8" fmla="*/ 247650 h 3000375"/>
                            <a:gd name="connisteX9" fmla="*/ 485775 w 7953375"/>
                            <a:gd name="connsiteY9" fmla="*/ 247650 h 3000375"/>
                            <a:gd name="connisteX10" fmla="*/ 485775 w 7953375"/>
                            <a:gd name="connsiteY10" fmla="*/ 9525 h 3000375"/>
                            <a:gd name="connisteX11" fmla="*/ 0 w 7953375"/>
                            <a:gd name="connsiteY11" fmla="*/ 0 h 30003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Lst>
                          <a:rect l="l" t="t" r="r" b="b"/>
                          <a:pathLst>
                            <a:path w="7953375" h="3000375">
                              <a:moveTo>
                                <a:pt x="7953375" y="3000375"/>
                              </a:moveTo>
                              <a:lnTo>
                                <a:pt x="7886700" y="3000375"/>
                              </a:lnTo>
                              <a:lnTo>
                                <a:pt x="7229475" y="3000375"/>
                              </a:lnTo>
                              <a:lnTo>
                                <a:pt x="5248275" y="2438400"/>
                              </a:lnTo>
                              <a:lnTo>
                                <a:pt x="5248275" y="2028825"/>
                              </a:lnTo>
                              <a:lnTo>
                                <a:pt x="1828800" y="2028825"/>
                              </a:lnTo>
                              <a:lnTo>
                                <a:pt x="1209675" y="1752600"/>
                              </a:lnTo>
                              <a:lnTo>
                                <a:pt x="914400" y="1133475"/>
                              </a:lnTo>
                              <a:lnTo>
                                <a:pt x="914400" y="247650"/>
                              </a:lnTo>
                              <a:lnTo>
                                <a:pt x="485775" y="247650"/>
                              </a:lnTo>
                              <a:lnTo>
                                <a:pt x="485775" y="9525"/>
                              </a:lnTo>
                              <a:lnTo>
                                <a:pt x="0" y="0"/>
                              </a:lnTo>
                            </a:path>
                          </a:pathLst>
                        </a:custGeom>
                        <a:noFill/>
                        <a:ln w="28575">
                          <a:solidFill>
                            <a:srgbClr val="00B0F0"/>
                          </a:solidFill>
                          <a:prstDash val="lgDash"/>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5.8pt;margin-top:199.75pt;height:236.25pt;width:626.25pt;z-index:251682816;mso-width-relative:page;mso-height-relative:page;" filled="f" stroked="t" coordsize="7953375,3000375" o:gfxdata="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" path="m7953375,3000375l7886700,3000375,7229475,3000375,5248275,2438400,5248275,2028825,1828800,2028825,1209675,1752600,914400,1133475,914400,247650,485775,247650,485775,9525,0,0e">
                <v:path o:connectlocs="7953375,3000375;7886700,3000375;7229475,3000375;5248275,2438400;5248275,2028825;1828800,2028825;1209675,1752600;914400,1133475;914400,247650;485775,247650;485775,9525;0,0" o:connectangles="0,0,0,0,0,0,0,0,0,0,0,0"/>
                <v:fill on="f" focussize="0,0"/>
                <v:stroke weight="2.25pt" color="#00B0F0 [3204]" miterlimit="8" joinstyle="miter" dashstyle="longDash"/>
                <v:imagedata o:title=""/>
                <o:lock v:ext="edit" aspectratio="f"/>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81792" behindDoc="0" locked="0" layoutInCell="1" allowOverlap="1">
                <wp:simplePos x="0" y="0"/>
                <wp:positionH relativeFrom="column">
                  <wp:posOffset>1377950</wp:posOffset>
                </wp:positionH>
                <wp:positionV relativeFrom="paragraph">
                  <wp:posOffset>2682875</wp:posOffset>
                </wp:positionV>
                <wp:extent cx="7749540" cy="2930525"/>
                <wp:effectExtent l="0" t="13970" r="22860" b="27305"/>
                <wp:wrapNone/>
                <wp:docPr id="73" name="任意多边形 73"/>
                <wp:cNvGraphicFramePr/>
                <a:graphic xmlns:a="http://schemas.openxmlformats.org/drawingml/2006/main">
                  <a:graphicData uri="http://schemas.microsoft.com/office/word/2010/wordprocessingShape">
                    <wps:wsp>
                      <wps:cNvSpPr/>
                      <wps:spPr>
                        <a:xfrm>
                          <a:off x="2364105" y="3582670"/>
                          <a:ext cx="7749540" cy="2930525"/>
                        </a:xfrm>
                        <a:custGeom>
                          <a:avLst/>
                          <a:gdLst>
                            <a:gd name="connisteX0" fmla="*/ 0 w 7749540"/>
                            <a:gd name="connsiteY0" fmla="*/ 263525 h 2930525"/>
                            <a:gd name="connisteX1" fmla="*/ 1705610 w 7749540"/>
                            <a:gd name="connsiteY1" fmla="*/ 263525 h 2930525"/>
                            <a:gd name="connisteX2" fmla="*/ 1878965 w 7749540"/>
                            <a:gd name="connsiteY2" fmla="*/ 89535 h 2930525"/>
                            <a:gd name="connisteX3" fmla="*/ 3013075 w 7749540"/>
                            <a:gd name="connsiteY3" fmla="*/ 89535 h 2930525"/>
                            <a:gd name="connisteX4" fmla="*/ 3350895 w 7749540"/>
                            <a:gd name="connsiteY4" fmla="*/ 0 h 2930525"/>
                            <a:gd name="connisteX5" fmla="*/ 7343140 w 7749540"/>
                            <a:gd name="connsiteY5" fmla="*/ 0 h 2930525"/>
                            <a:gd name="connisteX6" fmla="*/ 7749540 w 7749540"/>
                            <a:gd name="connsiteY6" fmla="*/ 1258570 h 2930525"/>
                            <a:gd name="connisteX7" fmla="*/ 7749540 w 7749540"/>
                            <a:gd name="connsiteY7" fmla="*/ 2930525 h 2930525"/>
                            <a:gd name="connisteX8" fmla="*/ 7741285 w 7749540"/>
                            <a:gd name="connsiteY8" fmla="*/ 2930525 h 29305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7749540" h="2930525">
                              <a:moveTo>
                                <a:pt x="0" y="263525"/>
                              </a:moveTo>
                              <a:lnTo>
                                <a:pt x="1705610" y="263525"/>
                              </a:lnTo>
                              <a:lnTo>
                                <a:pt x="1878965" y="89535"/>
                              </a:lnTo>
                              <a:lnTo>
                                <a:pt x="3013075" y="89535"/>
                              </a:lnTo>
                              <a:lnTo>
                                <a:pt x="3350895" y="0"/>
                              </a:lnTo>
                              <a:lnTo>
                                <a:pt x="7343140" y="0"/>
                              </a:lnTo>
                              <a:lnTo>
                                <a:pt x="7749540" y="1258570"/>
                              </a:lnTo>
                              <a:lnTo>
                                <a:pt x="7749540" y="2930525"/>
                              </a:lnTo>
                              <a:lnTo>
                                <a:pt x="7741285" y="2930525"/>
                              </a:lnTo>
                            </a:path>
                          </a:pathLst>
                        </a:custGeom>
                        <a:noFill/>
                        <a:ln w="28575">
                          <a:solidFill>
                            <a:srgbClr val="00B0F0"/>
                          </a:solidFill>
                          <a:prstDash val="lgDash"/>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08.5pt;margin-top:211.25pt;height:230.75pt;width:610.2pt;z-index:251681792;mso-width-relative:page;mso-height-relative:page;" filled="f" stroked="t" coordsize="7749540,2930525" o:gfxdata="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" path="m0,263525l1705610,263525,1878965,89535,3013075,89535,3350895,0,7343140,0,7749540,1258570,7749540,2930525,7741285,2930525e">
                <v:path o:connectlocs="0,263525;1705610,263525;1878965,89535;3013075,89535;3350895,0;7343140,0;7749540,1258570;7749540,2930525;7741285,2930525" o:connectangles="0,0,0,0,0,0,0,0,0"/>
                <v:fill on="f" focussize="0,0"/>
                <v:stroke weight="2.25pt" color="#00B0F0 [3204]" miterlimit="8" joinstyle="miter" dashstyle="longDash"/>
                <v:imagedata o:title=""/>
                <o:lock v:ext="edit" aspectratio="f"/>
              </v:shape>
            </w:pict>
          </mc:Fallback>
        </mc:AlternateContent>
      </w:r>
    </w:p>
    <w:p>
      <w:pPr>
        <w:pStyle w:val="5"/>
        <w:bidi w:val="0"/>
        <w:jc w:val="center"/>
        <w:rPr>
          <w:rFonts w:hint="default" w:ascii="Times New Roman" w:hAnsi="Times New Roman" w:cs="Times New Roman"/>
          <w:lang w:val="en-US" w:eastAsia="zh-CN"/>
        </w:rPr>
      </w:pPr>
      <w:bookmarkStart w:id="47" w:name="_Toc22379"/>
      <w:r>
        <w:rPr>
          <w:rFonts w:hint="default" w:ascii="Times New Roman" w:hAnsi="Times New Roman" w:cs="Times New Roman"/>
          <w:lang w:val="en-US" w:eastAsia="zh-CN"/>
        </w:rPr>
        <w:t>附图10：项目雨水污水走向图</w:t>
      </w:r>
      <w:bookmarkEnd w:id="47"/>
    </w:p>
    <w:p>
      <w:pPr>
        <w:pStyle w:val="4"/>
        <w:numPr>
          <w:ilvl w:val="0"/>
          <w:numId w:val="0"/>
        </w:numPr>
        <w:bidi w:val="0"/>
        <w:ind w:leftChars="0"/>
        <w:rPr>
          <w:rFonts w:hint="default" w:ascii="Times New Roman" w:hAnsi="Times New Roman" w:cs="Times New Roman"/>
          <w:lang w:val="en-US" w:eastAsia="zh-CN"/>
        </w:rPr>
        <w:sectPr>
          <w:pgSz w:w="23811" w:h="16838" w:orient="landscape"/>
          <w:pgMar w:top="1417" w:right="1417" w:bottom="1417" w:left="1553" w:header="851" w:footer="992" w:gutter="0"/>
          <w:pgBorders w:offsetFrom="page">
            <w:top w:val="none" w:sz="0" w:space="0"/>
            <w:left w:val="none" w:sz="0" w:space="0"/>
            <w:bottom w:val="none" w:sz="0" w:space="0"/>
            <w:right w:val="none" w:sz="0" w:space="0"/>
          </w:pgBorders>
          <w:cols w:space="0" w:num="1"/>
          <w:rtlGutter w:val="0"/>
          <w:docGrid w:type="lines" w:linePitch="336" w:charSpace="0"/>
        </w:sectPr>
      </w:pP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4"/>
        <w:gridCol w:w="46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6" w:type="dxa"/>
          </w:tcPr>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drawing>
                <wp:inline distT="0" distB="0" distL="114300" distR="114300">
                  <wp:extent cx="2810510" cy="1896745"/>
                  <wp:effectExtent l="0" t="0" r="8890" b="8255"/>
                  <wp:docPr id="46" name="图片 46" descr="4c535d42c474c924735b528269891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4c535d42c474c924735b528269891f6"/>
                          <pic:cNvPicPr>
                            <a:picLocks noChangeAspect="1"/>
                          </pic:cNvPicPr>
                        </pic:nvPicPr>
                        <pic:blipFill>
                          <a:blip r:embed="rId88"/>
                          <a:stretch>
                            <a:fillRect/>
                          </a:stretch>
                        </pic:blipFill>
                        <pic:spPr>
                          <a:xfrm>
                            <a:off x="0" y="0"/>
                            <a:ext cx="2810510" cy="1896745"/>
                          </a:xfrm>
                          <a:prstGeom prst="rect">
                            <a:avLst/>
                          </a:prstGeom>
                        </pic:spPr>
                      </pic:pic>
                    </a:graphicData>
                  </a:graphic>
                </wp:inline>
              </w:drawing>
            </w:r>
          </w:p>
        </w:tc>
        <w:tc>
          <w:tcPr>
            <w:tcW w:w="4632" w:type="dxa"/>
          </w:tcPr>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drawing>
                <wp:inline distT="0" distB="0" distL="114300" distR="114300">
                  <wp:extent cx="2804160" cy="1892935"/>
                  <wp:effectExtent l="0" t="0" r="15240" b="12065"/>
                  <wp:docPr id="50" name="图片 50" descr="9a6d7f91875ab0bff513da0ba7dd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9a6d7f91875ab0bff513da0ba7dd703"/>
                          <pic:cNvPicPr>
                            <a:picLocks noChangeAspect="1"/>
                          </pic:cNvPicPr>
                        </pic:nvPicPr>
                        <pic:blipFill>
                          <a:blip r:embed="rId89"/>
                          <a:stretch>
                            <a:fillRect/>
                          </a:stretch>
                        </pic:blipFill>
                        <pic:spPr>
                          <a:xfrm>
                            <a:off x="0" y="0"/>
                            <a:ext cx="2804160" cy="18929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6" w:type="dxa"/>
          </w:tcPr>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drawing>
                <wp:inline distT="0" distB="0" distL="114300" distR="114300">
                  <wp:extent cx="2797810" cy="2098675"/>
                  <wp:effectExtent l="0" t="0" r="2540" b="15875"/>
                  <wp:docPr id="51" name="图片 51" descr="IMG_20220711_130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IMG_20220711_130601"/>
                          <pic:cNvPicPr>
                            <a:picLocks noChangeAspect="1"/>
                          </pic:cNvPicPr>
                        </pic:nvPicPr>
                        <pic:blipFill>
                          <a:blip r:embed="rId90"/>
                          <a:stretch>
                            <a:fillRect/>
                          </a:stretch>
                        </pic:blipFill>
                        <pic:spPr>
                          <a:xfrm>
                            <a:off x="0" y="0"/>
                            <a:ext cx="2797810" cy="2098675"/>
                          </a:xfrm>
                          <a:prstGeom prst="rect">
                            <a:avLst/>
                          </a:prstGeom>
                        </pic:spPr>
                      </pic:pic>
                    </a:graphicData>
                  </a:graphic>
                </wp:inline>
              </w:drawing>
            </w:r>
          </w:p>
        </w:tc>
        <w:tc>
          <w:tcPr>
            <w:tcW w:w="4632" w:type="dxa"/>
          </w:tcPr>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drawing>
                <wp:inline distT="0" distB="0" distL="114300" distR="114300">
                  <wp:extent cx="2765425" cy="2073910"/>
                  <wp:effectExtent l="0" t="0" r="15875" b="2540"/>
                  <wp:docPr id="52" name="图片 52" descr="IMG_7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7543"/>
                          <pic:cNvPicPr>
                            <a:picLocks noChangeAspect="1"/>
                          </pic:cNvPicPr>
                        </pic:nvPicPr>
                        <pic:blipFill>
                          <a:blip r:embed="rId91"/>
                          <a:stretch>
                            <a:fillRect/>
                          </a:stretch>
                        </pic:blipFill>
                        <pic:spPr>
                          <a:xfrm>
                            <a:off x="0" y="0"/>
                            <a:ext cx="2765425" cy="20739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8" w:type="dxa"/>
            <w:gridSpan w:val="2"/>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施工场地平整及围挡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6" w:type="dxa"/>
          </w:tcPr>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drawing>
                <wp:inline distT="0" distB="0" distL="114300" distR="114300">
                  <wp:extent cx="2797810" cy="2098675"/>
                  <wp:effectExtent l="0" t="0" r="2540" b="15875"/>
                  <wp:docPr id="54" name="图片 54" descr="IMG_20220711_13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IMG_20220711_131534"/>
                          <pic:cNvPicPr>
                            <a:picLocks noChangeAspect="1"/>
                          </pic:cNvPicPr>
                        </pic:nvPicPr>
                        <pic:blipFill>
                          <a:blip r:embed="rId92"/>
                          <a:stretch>
                            <a:fillRect/>
                          </a:stretch>
                        </pic:blipFill>
                        <pic:spPr>
                          <a:xfrm>
                            <a:off x="0" y="0"/>
                            <a:ext cx="2797810" cy="2098675"/>
                          </a:xfrm>
                          <a:prstGeom prst="rect">
                            <a:avLst/>
                          </a:prstGeom>
                        </pic:spPr>
                      </pic:pic>
                    </a:graphicData>
                  </a:graphic>
                </wp:inline>
              </w:drawing>
            </w:r>
          </w:p>
        </w:tc>
        <w:tc>
          <w:tcPr>
            <w:tcW w:w="4632" w:type="dxa"/>
          </w:tcPr>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drawing>
                <wp:inline distT="0" distB="0" distL="114300" distR="114300">
                  <wp:extent cx="2797810" cy="2098675"/>
                  <wp:effectExtent l="0" t="0" r="2540" b="15875"/>
                  <wp:docPr id="95" name="图片 95" descr="IMG_20220711_13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IMG_20220711_132201"/>
                          <pic:cNvPicPr>
                            <a:picLocks noChangeAspect="1"/>
                          </pic:cNvPicPr>
                        </pic:nvPicPr>
                        <pic:blipFill>
                          <a:blip r:embed="rId93"/>
                          <a:stretch>
                            <a:fillRect/>
                          </a:stretch>
                        </pic:blipFill>
                        <pic:spPr>
                          <a:xfrm>
                            <a:off x="0" y="0"/>
                            <a:ext cx="2797810" cy="20986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6" w:type="dxa"/>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东侧居民点</w:t>
            </w:r>
          </w:p>
        </w:tc>
        <w:tc>
          <w:tcPr>
            <w:tcW w:w="4632" w:type="dxa"/>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东侧居民点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6" w:type="dxa"/>
          </w:tcPr>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drawing>
                <wp:inline distT="0" distB="0" distL="114300" distR="114300">
                  <wp:extent cx="2800350" cy="2099945"/>
                  <wp:effectExtent l="0" t="0" r="0" b="14605"/>
                  <wp:docPr id="96" name="图片 96" descr="IMG_20220711_13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IMG_20220711_131701"/>
                          <pic:cNvPicPr>
                            <a:picLocks noChangeAspect="1"/>
                          </pic:cNvPicPr>
                        </pic:nvPicPr>
                        <pic:blipFill>
                          <a:blip r:embed="rId94"/>
                          <a:stretch>
                            <a:fillRect/>
                          </a:stretch>
                        </pic:blipFill>
                        <pic:spPr>
                          <a:xfrm>
                            <a:off x="0" y="0"/>
                            <a:ext cx="2800350" cy="2099945"/>
                          </a:xfrm>
                          <a:prstGeom prst="rect">
                            <a:avLst/>
                          </a:prstGeom>
                        </pic:spPr>
                      </pic:pic>
                    </a:graphicData>
                  </a:graphic>
                </wp:inline>
              </w:drawing>
            </w:r>
          </w:p>
        </w:tc>
        <w:tc>
          <w:tcPr>
            <w:tcW w:w="4632" w:type="dxa"/>
          </w:tcPr>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drawing>
                <wp:inline distT="0" distB="0" distL="114300" distR="114300">
                  <wp:extent cx="2797810" cy="2098675"/>
                  <wp:effectExtent l="0" t="0" r="2540" b="15875"/>
                  <wp:docPr id="97" name="图片 97" descr="IMG_20220711_13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IMG_20220711_132130"/>
                          <pic:cNvPicPr>
                            <a:picLocks noChangeAspect="1"/>
                          </pic:cNvPicPr>
                        </pic:nvPicPr>
                        <pic:blipFill>
                          <a:blip r:embed="rId95"/>
                          <a:stretch>
                            <a:fillRect/>
                          </a:stretch>
                        </pic:blipFill>
                        <pic:spPr>
                          <a:xfrm>
                            <a:off x="0" y="0"/>
                            <a:ext cx="2797810" cy="20986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6" w:type="dxa"/>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东南角居民点</w:t>
            </w:r>
          </w:p>
        </w:tc>
        <w:tc>
          <w:tcPr>
            <w:tcW w:w="4632" w:type="dxa"/>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北侧居民点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56" w:type="dxa"/>
          </w:tcPr>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drawing>
                <wp:inline distT="0" distB="0" distL="114300" distR="114300">
                  <wp:extent cx="2816225" cy="2112010"/>
                  <wp:effectExtent l="0" t="0" r="3175" b="2540"/>
                  <wp:docPr id="98" name="图片 98" descr="IMG_7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IMG_7531"/>
                          <pic:cNvPicPr>
                            <a:picLocks noChangeAspect="1"/>
                          </pic:cNvPicPr>
                        </pic:nvPicPr>
                        <pic:blipFill>
                          <a:blip r:embed="rId96"/>
                          <a:stretch>
                            <a:fillRect/>
                          </a:stretch>
                        </pic:blipFill>
                        <pic:spPr>
                          <a:xfrm>
                            <a:off x="0" y="0"/>
                            <a:ext cx="2816225" cy="2112010"/>
                          </a:xfrm>
                          <a:prstGeom prst="rect">
                            <a:avLst/>
                          </a:prstGeom>
                        </pic:spPr>
                      </pic:pic>
                    </a:graphicData>
                  </a:graphic>
                </wp:inline>
              </w:drawing>
            </w:r>
          </w:p>
        </w:tc>
        <w:tc>
          <w:tcPr>
            <w:tcW w:w="4632" w:type="dxa"/>
          </w:tcPr>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drawing>
                <wp:inline distT="0" distB="0" distL="114300" distR="114300">
                  <wp:extent cx="2765425" cy="2073910"/>
                  <wp:effectExtent l="0" t="0" r="15875" b="2540"/>
                  <wp:docPr id="99" name="图片 99" descr="IMG_7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IMG_7549"/>
                          <pic:cNvPicPr>
                            <a:picLocks noChangeAspect="1"/>
                          </pic:cNvPicPr>
                        </pic:nvPicPr>
                        <pic:blipFill>
                          <a:blip r:embed="rId97"/>
                          <a:stretch>
                            <a:fillRect/>
                          </a:stretch>
                        </pic:blipFill>
                        <pic:spPr>
                          <a:xfrm>
                            <a:off x="0" y="0"/>
                            <a:ext cx="2765425" cy="20739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8" w:type="dxa"/>
            <w:gridSpan w:val="2"/>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t>工程师现场踏勘照片</w:t>
            </w:r>
          </w:p>
        </w:tc>
      </w:tr>
    </w:tbl>
    <w:p>
      <w:pPr>
        <w:pStyle w:val="5"/>
        <w:bidi w:val="0"/>
        <w:jc w:val="center"/>
        <w:rPr>
          <w:rFonts w:hint="default" w:ascii="Times New Roman" w:hAnsi="Times New Roman" w:cs="Times New Roman"/>
          <w:lang w:val="en-US" w:eastAsia="zh-CN"/>
        </w:rPr>
      </w:pPr>
      <w:bookmarkStart w:id="48" w:name="_Toc6008"/>
      <w:bookmarkStart w:id="49" w:name="_Toc7532"/>
      <w:r>
        <w:rPr>
          <w:rFonts w:hint="default" w:ascii="Times New Roman" w:hAnsi="Times New Roman" w:cs="Times New Roman"/>
          <w:lang w:val="en-US" w:eastAsia="zh-CN"/>
        </w:rPr>
        <w:t>附图11：项目现场踏勘</w:t>
      </w:r>
      <w:bookmarkEnd w:id="48"/>
      <w:r>
        <w:rPr>
          <w:rFonts w:hint="default" w:ascii="Times New Roman" w:hAnsi="Times New Roman" w:cs="Times New Roman"/>
          <w:lang w:val="en-US" w:eastAsia="zh-CN"/>
        </w:rPr>
        <w:t>照片</w:t>
      </w:r>
      <w:bookmarkEnd w:id="49"/>
    </w:p>
    <w:p>
      <w:pPr>
        <w:ind w:left="0" w:leftChars="0" w:firstLine="0" w:firstLineChars="0"/>
        <w:rPr>
          <w:rFonts w:hint="default" w:ascii="Times New Roman" w:hAnsi="Times New Roman" w:cs="Times New Roman"/>
        </w:rPr>
      </w:pPr>
    </w:p>
    <w:p>
      <w:pPr>
        <w:pStyle w:val="2"/>
        <w:rPr>
          <w:rFonts w:hint="default" w:ascii="Times New Roman" w:hAnsi="Times New Roman" w:cs="Times New Roman"/>
          <w:lang w:val="en-US" w:eastAsia="zh-CN"/>
        </w:rPr>
      </w:pPr>
    </w:p>
    <w:sectPr>
      <w:pgSz w:w="11906" w:h="16838"/>
      <w:pgMar w:top="1417" w:right="1417" w:bottom="1553" w:left="1417" w:header="851" w:footer="992" w:gutter="0"/>
      <w:pgBorders w:offsetFrom="page">
        <w:top w:val="none" w:sz="0" w:space="0"/>
        <w:left w:val="none" w:sz="0" w:space="0"/>
        <w:bottom w:val="none" w:sz="0" w:space="0"/>
        <w:right w:val="none" w:sz="0" w:space="0"/>
      </w:pgBorders>
      <w:cols w:space="0" w:num="1"/>
      <w:rtlGutter w:val="0"/>
      <w:docGrid w:type="lines" w:linePitch="33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新宋体-18030">
    <w:altName w:val="宋体"/>
    <w:panose1 w:val="00000000000000000000"/>
    <w:charset w:val="00"/>
    <w:family w:val="auto"/>
    <w:pitch w:val="default"/>
    <w:sig w:usb0="00000000" w:usb1="00000000" w:usb2="00000000" w:usb3="00000000" w:csb0="00040001" w:csb1="00000000"/>
  </w:font>
  <w:font w:name="方正小标宋_GBK">
    <w:altName w:val="微软雅黑"/>
    <w:panose1 w:val="03000509000000000000"/>
    <w:charset w:val="86"/>
    <w:family w:val="script"/>
    <w:pitch w:val="default"/>
    <w:sig w:usb0="00000000" w:usb1="00000000" w:usb2="00000010" w:usb3="00000000" w:csb0="00040000" w:csb1="00000000"/>
  </w:font>
  <w:font w:name="楷体_GB2312">
    <w:altName w:val="楷体"/>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Wingdings 2">
    <w:altName w:val="Wingdings"/>
    <w:panose1 w:val="05020102010507070707"/>
    <w:charset w:val="00"/>
    <w:family w:val="auto"/>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XtCZFRQCAAATBAAADgAAAAAAAAAB&#10;ACAAAAAfAQAAZHJzL2Uyb0RvYy54bWxQSwUGAAAAAAYABgBZAQAApQUAAAAA&#10;">
              <v:fill on="f" focussize="0,0"/>
              <v:stroke on="f" weight="0.5pt"/>
              <v:imagedata o:title=""/>
              <o:lock v:ext="edit" aspectratio="f"/>
              <v:textbox inset="0mm,0mm,0mm,0mm" style="mso-fit-shape-to-text:t;">
                <w:txbxContent>
                  <w:p>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1"/>
      </w:pBdr>
      <w:ind w:left="0" w:leftChars="0" w:firstLine="0" w:firstLineChars="0"/>
      <w:jc w:val="center"/>
      <w:rPr>
        <w:rFonts w:hint="eastAsia" w:ascii="仿宋" w:hAnsi="仿宋" w:eastAsia="仿宋" w:cs="仿宋"/>
        <w:sz w:val="22"/>
        <w:szCs w:val="22"/>
        <w:lang w:val="en-US"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thinThickSmallGap" w:color="auto" w:sz="12" w:space="1"/>
      </w:pBdr>
      <w:ind w:left="0" w:leftChars="0" w:firstLine="0" w:firstLineChars="0"/>
      <w:jc w:val="center"/>
      <w:rPr>
        <w:rFonts w:hint="eastAsia" w:ascii="仿宋" w:hAnsi="仿宋" w:eastAsia="仿宋" w:cs="仿宋"/>
        <w:sz w:val="22"/>
        <w:szCs w:val="22"/>
        <w:lang w:val="en-US" w:eastAsia="zh-CN"/>
      </w:rPr>
    </w:pPr>
    <w:r>
      <w:rPr>
        <w:rFonts w:hint="eastAsia" w:ascii="仿宋" w:hAnsi="仿宋" w:eastAsia="仿宋" w:cs="仿宋"/>
        <w:sz w:val="22"/>
        <w:szCs w:val="22"/>
        <w:lang w:val="en-US" w:eastAsia="zh-CN"/>
      </w:rPr>
      <w:t>中联新材标杆(湘阴)工厂项目（年产65万吨机制砂、98万吨干粉砂浆）环境影响报告表</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164F93F"/>
    <w:multiLevelType w:val="singleLevel"/>
    <w:tmpl w:val="9164F93F"/>
    <w:lvl w:ilvl="0" w:tentative="0">
      <w:start w:val="1"/>
      <w:numFmt w:val="decimal"/>
      <w:suff w:val="nothing"/>
      <w:lvlText w:val="（%1）"/>
      <w:lvlJc w:val="left"/>
    </w:lvl>
  </w:abstractNum>
  <w:abstractNum w:abstractNumId="1">
    <w:nsid w:val="939FAC73"/>
    <w:multiLevelType w:val="singleLevel"/>
    <w:tmpl w:val="939FAC73"/>
    <w:lvl w:ilvl="0" w:tentative="0">
      <w:start w:val="1"/>
      <w:numFmt w:val="decimal"/>
      <w:suff w:val="nothing"/>
      <w:lvlText w:val="（%1）"/>
      <w:lvlJc w:val="left"/>
      <w:pPr>
        <w:ind w:left="240"/>
      </w:pPr>
    </w:lvl>
  </w:abstractNum>
  <w:abstractNum w:abstractNumId="2">
    <w:nsid w:val="C3EAEA17"/>
    <w:multiLevelType w:val="singleLevel"/>
    <w:tmpl w:val="C3EAEA17"/>
    <w:lvl w:ilvl="0" w:tentative="0">
      <w:start w:val="1"/>
      <w:numFmt w:val="decimal"/>
      <w:suff w:val="nothing"/>
      <w:lvlText w:val="（%1）"/>
      <w:lvlJc w:val="left"/>
    </w:lvl>
  </w:abstractNum>
  <w:abstractNum w:abstractNumId="3">
    <w:nsid w:val="E2B29EDF"/>
    <w:multiLevelType w:val="singleLevel"/>
    <w:tmpl w:val="E2B29EDF"/>
    <w:lvl w:ilvl="0" w:tentative="0">
      <w:start w:val="1"/>
      <w:numFmt w:val="decimal"/>
      <w:suff w:val="nothing"/>
      <w:lvlText w:val="（%1）"/>
      <w:lvlJc w:val="left"/>
    </w:lvl>
  </w:abstractNum>
  <w:abstractNum w:abstractNumId="4">
    <w:nsid w:val="E3228D6C"/>
    <w:multiLevelType w:val="singleLevel"/>
    <w:tmpl w:val="E3228D6C"/>
    <w:lvl w:ilvl="0" w:tentative="0">
      <w:start w:val="1"/>
      <w:numFmt w:val="chineseCounting"/>
      <w:suff w:val="space"/>
      <w:lvlText w:val="%1、"/>
      <w:lvlJc w:val="left"/>
      <w:rPr>
        <w:rFonts w:hint="eastAsia"/>
      </w:rPr>
    </w:lvl>
  </w:abstractNum>
  <w:abstractNum w:abstractNumId="5">
    <w:nsid w:val="EA88DF7E"/>
    <w:multiLevelType w:val="singleLevel"/>
    <w:tmpl w:val="EA88DF7E"/>
    <w:lvl w:ilvl="0" w:tentative="0">
      <w:start w:val="4"/>
      <w:numFmt w:val="decimal"/>
      <w:suff w:val="nothing"/>
      <w:lvlText w:val="（%1）"/>
      <w:lvlJc w:val="left"/>
    </w:lvl>
  </w:abstractNum>
  <w:abstractNum w:abstractNumId="6">
    <w:nsid w:val="EAB2D98D"/>
    <w:multiLevelType w:val="singleLevel"/>
    <w:tmpl w:val="EAB2D98D"/>
    <w:lvl w:ilvl="0" w:tentative="0">
      <w:start w:val="1"/>
      <w:numFmt w:val="decimal"/>
      <w:suff w:val="nothing"/>
      <w:lvlText w:val="（%1）"/>
      <w:lvlJc w:val="left"/>
    </w:lvl>
  </w:abstractNum>
  <w:abstractNum w:abstractNumId="7">
    <w:nsid w:val="409D8311"/>
    <w:multiLevelType w:val="singleLevel"/>
    <w:tmpl w:val="409D8311"/>
    <w:lvl w:ilvl="0" w:tentative="0">
      <w:start w:val="1"/>
      <w:numFmt w:val="decimal"/>
      <w:suff w:val="nothing"/>
      <w:lvlText w:val="（%1）"/>
      <w:lvlJc w:val="left"/>
    </w:lvl>
  </w:abstractNum>
  <w:abstractNum w:abstractNumId="8">
    <w:nsid w:val="5992496C"/>
    <w:multiLevelType w:val="singleLevel"/>
    <w:tmpl w:val="5992496C"/>
    <w:lvl w:ilvl="0" w:tentative="0">
      <w:start w:val="1"/>
      <w:numFmt w:val="decimal"/>
      <w:suff w:val="nothing"/>
      <w:lvlText w:val="（%1）"/>
      <w:lvlJc w:val="left"/>
      <w:pPr>
        <w:ind w:left="-566"/>
      </w:pPr>
    </w:lvl>
  </w:abstractNum>
  <w:abstractNum w:abstractNumId="9">
    <w:nsid w:val="5DA0D975"/>
    <w:multiLevelType w:val="singleLevel"/>
    <w:tmpl w:val="5DA0D975"/>
    <w:lvl w:ilvl="0" w:tentative="0">
      <w:start w:val="1"/>
      <w:numFmt w:val="decimal"/>
      <w:suff w:val="nothing"/>
      <w:lvlText w:val="（%1）"/>
      <w:lvlJc w:val="left"/>
      <w:pPr>
        <w:ind w:left="-566"/>
      </w:pPr>
    </w:lvl>
  </w:abstractNum>
  <w:num w:numId="1">
    <w:abstractNumId w:val="4"/>
  </w:num>
  <w:num w:numId="2">
    <w:abstractNumId w:val="7"/>
  </w:num>
  <w:num w:numId="3">
    <w:abstractNumId w:val="5"/>
  </w:num>
  <w:num w:numId="4">
    <w:abstractNumId w:val="9"/>
  </w:num>
  <w:num w:numId="5">
    <w:abstractNumId w:val="8"/>
  </w:num>
  <w:num w:numId="6">
    <w:abstractNumId w:val="3"/>
  </w:num>
  <w:num w:numId="7">
    <w:abstractNumId w:val="2"/>
  </w:num>
  <w:num w:numId="8">
    <w:abstractNumId w:val="0"/>
  </w:num>
  <w:num w:numId="9">
    <w:abstractNumId w:val="6"/>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bordersDoNotSurroundHeader w:val="0"/>
  <w:bordersDoNotSurroundFooter w:val="0"/>
  <w:documentProtection w:enforcement="0"/>
  <w:defaultTabStop w:val="420"/>
  <w:drawingGridVerticalSpacing w:val="168"/>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mVhMjQ2MGQ1N2YwNTUxOWZmNzQ0MzMzZGIwNzgyNWYifQ=="/>
  </w:docVars>
  <w:rsids>
    <w:rsidRoot w:val="00000000"/>
    <w:rsid w:val="000E4B71"/>
    <w:rsid w:val="001F5074"/>
    <w:rsid w:val="003D7CEA"/>
    <w:rsid w:val="00497D44"/>
    <w:rsid w:val="00621C19"/>
    <w:rsid w:val="006838B4"/>
    <w:rsid w:val="00766E93"/>
    <w:rsid w:val="008659A7"/>
    <w:rsid w:val="00875F8B"/>
    <w:rsid w:val="00D7193E"/>
    <w:rsid w:val="00D762B6"/>
    <w:rsid w:val="0101587E"/>
    <w:rsid w:val="01455B8A"/>
    <w:rsid w:val="01554E00"/>
    <w:rsid w:val="015D2B2C"/>
    <w:rsid w:val="015D32B5"/>
    <w:rsid w:val="016745DB"/>
    <w:rsid w:val="017A47F1"/>
    <w:rsid w:val="017F7793"/>
    <w:rsid w:val="01947E0A"/>
    <w:rsid w:val="01B210BE"/>
    <w:rsid w:val="01D3633C"/>
    <w:rsid w:val="02016FF9"/>
    <w:rsid w:val="020445D0"/>
    <w:rsid w:val="02173E46"/>
    <w:rsid w:val="02174D5E"/>
    <w:rsid w:val="022403AB"/>
    <w:rsid w:val="023004D1"/>
    <w:rsid w:val="023556F1"/>
    <w:rsid w:val="023E7045"/>
    <w:rsid w:val="0243117F"/>
    <w:rsid w:val="024B2DA9"/>
    <w:rsid w:val="024C6B33"/>
    <w:rsid w:val="025B06F1"/>
    <w:rsid w:val="02675BC8"/>
    <w:rsid w:val="026B038C"/>
    <w:rsid w:val="026D4559"/>
    <w:rsid w:val="027E0460"/>
    <w:rsid w:val="02903D71"/>
    <w:rsid w:val="0299590D"/>
    <w:rsid w:val="02BE10D5"/>
    <w:rsid w:val="02D07464"/>
    <w:rsid w:val="02D674C2"/>
    <w:rsid w:val="02F26839"/>
    <w:rsid w:val="02F54C52"/>
    <w:rsid w:val="033C4779"/>
    <w:rsid w:val="033C79BF"/>
    <w:rsid w:val="033F1352"/>
    <w:rsid w:val="034103F8"/>
    <w:rsid w:val="03492158"/>
    <w:rsid w:val="034C72DC"/>
    <w:rsid w:val="03635141"/>
    <w:rsid w:val="037131E2"/>
    <w:rsid w:val="038046AE"/>
    <w:rsid w:val="03A92A51"/>
    <w:rsid w:val="03AA2E1C"/>
    <w:rsid w:val="03BD6D3D"/>
    <w:rsid w:val="03C071F1"/>
    <w:rsid w:val="03FB4A9A"/>
    <w:rsid w:val="041B0D1A"/>
    <w:rsid w:val="041F0247"/>
    <w:rsid w:val="042B6FC6"/>
    <w:rsid w:val="044E0E32"/>
    <w:rsid w:val="048C2F16"/>
    <w:rsid w:val="049C150C"/>
    <w:rsid w:val="04AC0ACA"/>
    <w:rsid w:val="04B86AAA"/>
    <w:rsid w:val="04CF0C38"/>
    <w:rsid w:val="04E677C1"/>
    <w:rsid w:val="04EB1EA0"/>
    <w:rsid w:val="04FD0BAE"/>
    <w:rsid w:val="050E236F"/>
    <w:rsid w:val="05226F4C"/>
    <w:rsid w:val="05467D5B"/>
    <w:rsid w:val="055A764E"/>
    <w:rsid w:val="055E35F1"/>
    <w:rsid w:val="056D430E"/>
    <w:rsid w:val="05760803"/>
    <w:rsid w:val="057728F2"/>
    <w:rsid w:val="058331B8"/>
    <w:rsid w:val="058F4B6E"/>
    <w:rsid w:val="059062DE"/>
    <w:rsid w:val="05966648"/>
    <w:rsid w:val="059C3805"/>
    <w:rsid w:val="05C07338"/>
    <w:rsid w:val="05DD25AD"/>
    <w:rsid w:val="0628300D"/>
    <w:rsid w:val="06400C4E"/>
    <w:rsid w:val="06454C6C"/>
    <w:rsid w:val="0653000A"/>
    <w:rsid w:val="06797472"/>
    <w:rsid w:val="06F22E5C"/>
    <w:rsid w:val="06FA689D"/>
    <w:rsid w:val="070C5798"/>
    <w:rsid w:val="07334984"/>
    <w:rsid w:val="073F1621"/>
    <w:rsid w:val="07493F9A"/>
    <w:rsid w:val="075805F7"/>
    <w:rsid w:val="079A4E8A"/>
    <w:rsid w:val="079A613C"/>
    <w:rsid w:val="07CD29F4"/>
    <w:rsid w:val="07DE1237"/>
    <w:rsid w:val="07F52B72"/>
    <w:rsid w:val="080B16DC"/>
    <w:rsid w:val="0817314E"/>
    <w:rsid w:val="08183026"/>
    <w:rsid w:val="081B3D75"/>
    <w:rsid w:val="083D5101"/>
    <w:rsid w:val="08500701"/>
    <w:rsid w:val="08525437"/>
    <w:rsid w:val="085C20A7"/>
    <w:rsid w:val="0882554E"/>
    <w:rsid w:val="08907C7D"/>
    <w:rsid w:val="089276D0"/>
    <w:rsid w:val="089B3B97"/>
    <w:rsid w:val="089D760B"/>
    <w:rsid w:val="08B97D95"/>
    <w:rsid w:val="08CF58E3"/>
    <w:rsid w:val="08D67F21"/>
    <w:rsid w:val="08E57875"/>
    <w:rsid w:val="090618EC"/>
    <w:rsid w:val="090F2680"/>
    <w:rsid w:val="0912166B"/>
    <w:rsid w:val="09212293"/>
    <w:rsid w:val="094B2CC2"/>
    <w:rsid w:val="09570789"/>
    <w:rsid w:val="098970BB"/>
    <w:rsid w:val="09965EA3"/>
    <w:rsid w:val="09A137D5"/>
    <w:rsid w:val="09AA1B01"/>
    <w:rsid w:val="09D1411B"/>
    <w:rsid w:val="09D72ABA"/>
    <w:rsid w:val="09D92D83"/>
    <w:rsid w:val="09FE6E72"/>
    <w:rsid w:val="0A0A57FB"/>
    <w:rsid w:val="0A0B1BC6"/>
    <w:rsid w:val="0A4800D1"/>
    <w:rsid w:val="0A717628"/>
    <w:rsid w:val="0A7C0DD6"/>
    <w:rsid w:val="0A8977F0"/>
    <w:rsid w:val="0A8E3298"/>
    <w:rsid w:val="0A8F4765"/>
    <w:rsid w:val="0AA328A5"/>
    <w:rsid w:val="0AA452C8"/>
    <w:rsid w:val="0AAA7161"/>
    <w:rsid w:val="0AAE1B9F"/>
    <w:rsid w:val="0AC37976"/>
    <w:rsid w:val="0AC42F12"/>
    <w:rsid w:val="0AEF49C3"/>
    <w:rsid w:val="0AF72020"/>
    <w:rsid w:val="0B071EAE"/>
    <w:rsid w:val="0B390E18"/>
    <w:rsid w:val="0B442B68"/>
    <w:rsid w:val="0B492A52"/>
    <w:rsid w:val="0B4F4B0E"/>
    <w:rsid w:val="0B5C5DB8"/>
    <w:rsid w:val="0BA13F3D"/>
    <w:rsid w:val="0BA74939"/>
    <w:rsid w:val="0BB974D9"/>
    <w:rsid w:val="0BD414BF"/>
    <w:rsid w:val="0BE928C0"/>
    <w:rsid w:val="0BF82E6B"/>
    <w:rsid w:val="0C0D361B"/>
    <w:rsid w:val="0C2B410D"/>
    <w:rsid w:val="0C397DFB"/>
    <w:rsid w:val="0C3C75A1"/>
    <w:rsid w:val="0C80653C"/>
    <w:rsid w:val="0C842313"/>
    <w:rsid w:val="0C857FD9"/>
    <w:rsid w:val="0C9C2252"/>
    <w:rsid w:val="0CA82D86"/>
    <w:rsid w:val="0CB56708"/>
    <w:rsid w:val="0CC562CF"/>
    <w:rsid w:val="0CD61F2D"/>
    <w:rsid w:val="0CE44695"/>
    <w:rsid w:val="0CEB1997"/>
    <w:rsid w:val="0CF0001A"/>
    <w:rsid w:val="0CFC67E8"/>
    <w:rsid w:val="0D033927"/>
    <w:rsid w:val="0D297714"/>
    <w:rsid w:val="0D2E35AF"/>
    <w:rsid w:val="0D3C6DF5"/>
    <w:rsid w:val="0D3F4520"/>
    <w:rsid w:val="0D497035"/>
    <w:rsid w:val="0D501B2A"/>
    <w:rsid w:val="0D5E4AFC"/>
    <w:rsid w:val="0D696591"/>
    <w:rsid w:val="0D8F64CC"/>
    <w:rsid w:val="0D9A6830"/>
    <w:rsid w:val="0DA21A26"/>
    <w:rsid w:val="0DAA3053"/>
    <w:rsid w:val="0DDE1173"/>
    <w:rsid w:val="0DDF02B4"/>
    <w:rsid w:val="0DE45247"/>
    <w:rsid w:val="0DE72F91"/>
    <w:rsid w:val="0DEB5944"/>
    <w:rsid w:val="0DF33095"/>
    <w:rsid w:val="0E0755F3"/>
    <w:rsid w:val="0E121122"/>
    <w:rsid w:val="0E2E50AF"/>
    <w:rsid w:val="0E360035"/>
    <w:rsid w:val="0E405D83"/>
    <w:rsid w:val="0E484B44"/>
    <w:rsid w:val="0E4A23C1"/>
    <w:rsid w:val="0E6C3E24"/>
    <w:rsid w:val="0E725A04"/>
    <w:rsid w:val="0E78757B"/>
    <w:rsid w:val="0E790A8D"/>
    <w:rsid w:val="0E8943F8"/>
    <w:rsid w:val="0E945877"/>
    <w:rsid w:val="0EA57089"/>
    <w:rsid w:val="0EB46B3F"/>
    <w:rsid w:val="0EBB56A9"/>
    <w:rsid w:val="0EC813E0"/>
    <w:rsid w:val="0ECF62DF"/>
    <w:rsid w:val="0EEF7757"/>
    <w:rsid w:val="0EF7287A"/>
    <w:rsid w:val="0F4A77C7"/>
    <w:rsid w:val="0F574152"/>
    <w:rsid w:val="0F6C30C6"/>
    <w:rsid w:val="0F7667E9"/>
    <w:rsid w:val="0F911617"/>
    <w:rsid w:val="0FC01172"/>
    <w:rsid w:val="100335FC"/>
    <w:rsid w:val="100F6AE3"/>
    <w:rsid w:val="102D11D3"/>
    <w:rsid w:val="102F5BD2"/>
    <w:rsid w:val="102F5FF2"/>
    <w:rsid w:val="105228C0"/>
    <w:rsid w:val="105E1836"/>
    <w:rsid w:val="10A434A0"/>
    <w:rsid w:val="10B22745"/>
    <w:rsid w:val="10CF7FCD"/>
    <w:rsid w:val="10DA645D"/>
    <w:rsid w:val="10DC6144"/>
    <w:rsid w:val="10E01064"/>
    <w:rsid w:val="10EC6588"/>
    <w:rsid w:val="10FA172C"/>
    <w:rsid w:val="10FF13E8"/>
    <w:rsid w:val="11086D9B"/>
    <w:rsid w:val="11495B38"/>
    <w:rsid w:val="114F313B"/>
    <w:rsid w:val="115F642C"/>
    <w:rsid w:val="118625F0"/>
    <w:rsid w:val="118E39E8"/>
    <w:rsid w:val="11977638"/>
    <w:rsid w:val="11A3730E"/>
    <w:rsid w:val="11AB78C4"/>
    <w:rsid w:val="11C66D88"/>
    <w:rsid w:val="11E30316"/>
    <w:rsid w:val="11E42B50"/>
    <w:rsid w:val="11EA6C92"/>
    <w:rsid w:val="121D74BC"/>
    <w:rsid w:val="1220584A"/>
    <w:rsid w:val="12251B20"/>
    <w:rsid w:val="122E44C3"/>
    <w:rsid w:val="12323B41"/>
    <w:rsid w:val="123F6044"/>
    <w:rsid w:val="125B6EC8"/>
    <w:rsid w:val="1261687C"/>
    <w:rsid w:val="12744159"/>
    <w:rsid w:val="127B2A85"/>
    <w:rsid w:val="128D25F4"/>
    <w:rsid w:val="12927AC7"/>
    <w:rsid w:val="12A11987"/>
    <w:rsid w:val="12BD1A42"/>
    <w:rsid w:val="12BE3627"/>
    <w:rsid w:val="12F25E2D"/>
    <w:rsid w:val="12FC45F2"/>
    <w:rsid w:val="1312771C"/>
    <w:rsid w:val="131368DB"/>
    <w:rsid w:val="13356E85"/>
    <w:rsid w:val="13572A2B"/>
    <w:rsid w:val="135B2B22"/>
    <w:rsid w:val="138E6744"/>
    <w:rsid w:val="13A73137"/>
    <w:rsid w:val="13D44A96"/>
    <w:rsid w:val="13E612D7"/>
    <w:rsid w:val="13F901FC"/>
    <w:rsid w:val="14033C62"/>
    <w:rsid w:val="14172FDE"/>
    <w:rsid w:val="143A0A8B"/>
    <w:rsid w:val="14484ED2"/>
    <w:rsid w:val="14A325A4"/>
    <w:rsid w:val="14A92472"/>
    <w:rsid w:val="14EB7DFB"/>
    <w:rsid w:val="14F22FED"/>
    <w:rsid w:val="15007F26"/>
    <w:rsid w:val="15046088"/>
    <w:rsid w:val="150A249B"/>
    <w:rsid w:val="15301A9F"/>
    <w:rsid w:val="15310C2E"/>
    <w:rsid w:val="153450AA"/>
    <w:rsid w:val="153A1CF4"/>
    <w:rsid w:val="15591423"/>
    <w:rsid w:val="156D00C7"/>
    <w:rsid w:val="15741494"/>
    <w:rsid w:val="157C0DB9"/>
    <w:rsid w:val="159D45C9"/>
    <w:rsid w:val="15B15478"/>
    <w:rsid w:val="15B93563"/>
    <w:rsid w:val="15CA15FD"/>
    <w:rsid w:val="15DE3079"/>
    <w:rsid w:val="16000F06"/>
    <w:rsid w:val="16106B39"/>
    <w:rsid w:val="16203F57"/>
    <w:rsid w:val="16210196"/>
    <w:rsid w:val="16414353"/>
    <w:rsid w:val="165750AA"/>
    <w:rsid w:val="166C1D72"/>
    <w:rsid w:val="168D7D37"/>
    <w:rsid w:val="16AC5558"/>
    <w:rsid w:val="16B5272C"/>
    <w:rsid w:val="16C121C2"/>
    <w:rsid w:val="16D315AA"/>
    <w:rsid w:val="16D57FB6"/>
    <w:rsid w:val="16E30B7A"/>
    <w:rsid w:val="16ED6882"/>
    <w:rsid w:val="17037600"/>
    <w:rsid w:val="173A4A9B"/>
    <w:rsid w:val="174513A1"/>
    <w:rsid w:val="174A4568"/>
    <w:rsid w:val="175E2CE2"/>
    <w:rsid w:val="177267F9"/>
    <w:rsid w:val="177C36AE"/>
    <w:rsid w:val="179373BA"/>
    <w:rsid w:val="179609E7"/>
    <w:rsid w:val="179748D9"/>
    <w:rsid w:val="17AC4A58"/>
    <w:rsid w:val="17B15C01"/>
    <w:rsid w:val="17BC5B71"/>
    <w:rsid w:val="17C703C5"/>
    <w:rsid w:val="17CB5FFA"/>
    <w:rsid w:val="17F21255"/>
    <w:rsid w:val="180C4D88"/>
    <w:rsid w:val="180F353C"/>
    <w:rsid w:val="182B350C"/>
    <w:rsid w:val="18455C50"/>
    <w:rsid w:val="184709DD"/>
    <w:rsid w:val="18473C67"/>
    <w:rsid w:val="185A0F81"/>
    <w:rsid w:val="185E102F"/>
    <w:rsid w:val="18664FF5"/>
    <w:rsid w:val="188744BB"/>
    <w:rsid w:val="18895D48"/>
    <w:rsid w:val="188D4F45"/>
    <w:rsid w:val="18D9218D"/>
    <w:rsid w:val="18DD5BC1"/>
    <w:rsid w:val="18E975B8"/>
    <w:rsid w:val="18EA3C7E"/>
    <w:rsid w:val="18EF41C9"/>
    <w:rsid w:val="190C5C9F"/>
    <w:rsid w:val="192D6274"/>
    <w:rsid w:val="19362169"/>
    <w:rsid w:val="195056C2"/>
    <w:rsid w:val="195E3C93"/>
    <w:rsid w:val="197D7D98"/>
    <w:rsid w:val="199672FD"/>
    <w:rsid w:val="19B968F6"/>
    <w:rsid w:val="19BF0B6C"/>
    <w:rsid w:val="19BF7015"/>
    <w:rsid w:val="19C5636F"/>
    <w:rsid w:val="19DA1447"/>
    <w:rsid w:val="19DB2467"/>
    <w:rsid w:val="19E87FDD"/>
    <w:rsid w:val="19EB6441"/>
    <w:rsid w:val="19EC3EDF"/>
    <w:rsid w:val="19F604BA"/>
    <w:rsid w:val="1A141D7E"/>
    <w:rsid w:val="1A177817"/>
    <w:rsid w:val="1A1E70CE"/>
    <w:rsid w:val="1A217AC0"/>
    <w:rsid w:val="1A364C2F"/>
    <w:rsid w:val="1A4C70BB"/>
    <w:rsid w:val="1A534805"/>
    <w:rsid w:val="1A6B1F77"/>
    <w:rsid w:val="1A7702BC"/>
    <w:rsid w:val="1A7B47E2"/>
    <w:rsid w:val="1A98475D"/>
    <w:rsid w:val="1AB66077"/>
    <w:rsid w:val="1ABA1850"/>
    <w:rsid w:val="1ABC5FE2"/>
    <w:rsid w:val="1ACF1F6F"/>
    <w:rsid w:val="1AD16B29"/>
    <w:rsid w:val="1B0636AA"/>
    <w:rsid w:val="1B2C62EA"/>
    <w:rsid w:val="1B610FF3"/>
    <w:rsid w:val="1B8078D2"/>
    <w:rsid w:val="1BD6378F"/>
    <w:rsid w:val="1BEB6339"/>
    <w:rsid w:val="1BF67387"/>
    <w:rsid w:val="1C027F16"/>
    <w:rsid w:val="1C3404B6"/>
    <w:rsid w:val="1C42747C"/>
    <w:rsid w:val="1C570E6E"/>
    <w:rsid w:val="1C5832EC"/>
    <w:rsid w:val="1C7D3C0B"/>
    <w:rsid w:val="1C8036FB"/>
    <w:rsid w:val="1CDB479C"/>
    <w:rsid w:val="1CF4745C"/>
    <w:rsid w:val="1CFE0DF5"/>
    <w:rsid w:val="1CFF3FD0"/>
    <w:rsid w:val="1D0E0649"/>
    <w:rsid w:val="1D2910E5"/>
    <w:rsid w:val="1D4F3D55"/>
    <w:rsid w:val="1D525737"/>
    <w:rsid w:val="1D571522"/>
    <w:rsid w:val="1D5F3575"/>
    <w:rsid w:val="1D6E0FCA"/>
    <w:rsid w:val="1D6E39FD"/>
    <w:rsid w:val="1D726D1D"/>
    <w:rsid w:val="1D760151"/>
    <w:rsid w:val="1D7D5006"/>
    <w:rsid w:val="1D81668A"/>
    <w:rsid w:val="1D886D0B"/>
    <w:rsid w:val="1D9F5DE8"/>
    <w:rsid w:val="1DA074BB"/>
    <w:rsid w:val="1DBC45DF"/>
    <w:rsid w:val="1DC55455"/>
    <w:rsid w:val="1DC96BE2"/>
    <w:rsid w:val="1DCF3786"/>
    <w:rsid w:val="1DD23B9D"/>
    <w:rsid w:val="1DDB2989"/>
    <w:rsid w:val="1DFB5625"/>
    <w:rsid w:val="1E587C92"/>
    <w:rsid w:val="1E6449A1"/>
    <w:rsid w:val="1E707442"/>
    <w:rsid w:val="1EB9030D"/>
    <w:rsid w:val="1EC22D46"/>
    <w:rsid w:val="1ECA5B14"/>
    <w:rsid w:val="1EE83D69"/>
    <w:rsid w:val="1EEF0B71"/>
    <w:rsid w:val="1F0520E8"/>
    <w:rsid w:val="1F2B01A4"/>
    <w:rsid w:val="1F724F50"/>
    <w:rsid w:val="1F9A0354"/>
    <w:rsid w:val="1FA9764C"/>
    <w:rsid w:val="1FAA1E71"/>
    <w:rsid w:val="1FE85338"/>
    <w:rsid w:val="20116646"/>
    <w:rsid w:val="201474B4"/>
    <w:rsid w:val="20162520"/>
    <w:rsid w:val="20262BB7"/>
    <w:rsid w:val="206A0E38"/>
    <w:rsid w:val="206C391C"/>
    <w:rsid w:val="208C7E59"/>
    <w:rsid w:val="209721BD"/>
    <w:rsid w:val="20DA5E1F"/>
    <w:rsid w:val="20E8384A"/>
    <w:rsid w:val="210B0EF9"/>
    <w:rsid w:val="211612EB"/>
    <w:rsid w:val="215A6397"/>
    <w:rsid w:val="217C6B87"/>
    <w:rsid w:val="217D5171"/>
    <w:rsid w:val="219655FF"/>
    <w:rsid w:val="21B31FDD"/>
    <w:rsid w:val="21C32600"/>
    <w:rsid w:val="21C6264E"/>
    <w:rsid w:val="21E8421C"/>
    <w:rsid w:val="22076548"/>
    <w:rsid w:val="222A1CD1"/>
    <w:rsid w:val="223F5717"/>
    <w:rsid w:val="224030EC"/>
    <w:rsid w:val="22475571"/>
    <w:rsid w:val="22497D44"/>
    <w:rsid w:val="225047E7"/>
    <w:rsid w:val="22603DB2"/>
    <w:rsid w:val="22662EC6"/>
    <w:rsid w:val="2295123E"/>
    <w:rsid w:val="229529B7"/>
    <w:rsid w:val="229A3466"/>
    <w:rsid w:val="22C001EE"/>
    <w:rsid w:val="22C63826"/>
    <w:rsid w:val="22C666F3"/>
    <w:rsid w:val="22CC6244"/>
    <w:rsid w:val="22E449E3"/>
    <w:rsid w:val="23133FE2"/>
    <w:rsid w:val="231A5245"/>
    <w:rsid w:val="232D074D"/>
    <w:rsid w:val="233117AF"/>
    <w:rsid w:val="2342004A"/>
    <w:rsid w:val="234B209B"/>
    <w:rsid w:val="234E3E2F"/>
    <w:rsid w:val="236F7EB3"/>
    <w:rsid w:val="23775153"/>
    <w:rsid w:val="237B312C"/>
    <w:rsid w:val="23897339"/>
    <w:rsid w:val="239C5521"/>
    <w:rsid w:val="23A67050"/>
    <w:rsid w:val="23B800AD"/>
    <w:rsid w:val="23BC326A"/>
    <w:rsid w:val="23C23A15"/>
    <w:rsid w:val="23C56433"/>
    <w:rsid w:val="23DF5222"/>
    <w:rsid w:val="23EC5247"/>
    <w:rsid w:val="23F57E94"/>
    <w:rsid w:val="240F5A90"/>
    <w:rsid w:val="24371918"/>
    <w:rsid w:val="244B1B1F"/>
    <w:rsid w:val="24677B5D"/>
    <w:rsid w:val="24761467"/>
    <w:rsid w:val="24931014"/>
    <w:rsid w:val="24E1005C"/>
    <w:rsid w:val="24F16DE3"/>
    <w:rsid w:val="24F53F4A"/>
    <w:rsid w:val="24FA3180"/>
    <w:rsid w:val="25132D53"/>
    <w:rsid w:val="25186CAE"/>
    <w:rsid w:val="254150FC"/>
    <w:rsid w:val="254A43CB"/>
    <w:rsid w:val="25526C52"/>
    <w:rsid w:val="255D7A4A"/>
    <w:rsid w:val="25625B10"/>
    <w:rsid w:val="2573204F"/>
    <w:rsid w:val="25AD6345"/>
    <w:rsid w:val="25E86866"/>
    <w:rsid w:val="25E92A4B"/>
    <w:rsid w:val="25F807A6"/>
    <w:rsid w:val="26356234"/>
    <w:rsid w:val="2665703E"/>
    <w:rsid w:val="266E09C5"/>
    <w:rsid w:val="26835637"/>
    <w:rsid w:val="26913773"/>
    <w:rsid w:val="269D4985"/>
    <w:rsid w:val="269F59BC"/>
    <w:rsid w:val="26C41558"/>
    <w:rsid w:val="26D11D3A"/>
    <w:rsid w:val="26F34E2D"/>
    <w:rsid w:val="26FB31DA"/>
    <w:rsid w:val="270F4137"/>
    <w:rsid w:val="27277595"/>
    <w:rsid w:val="27316809"/>
    <w:rsid w:val="276B7225"/>
    <w:rsid w:val="277166D1"/>
    <w:rsid w:val="277D45DB"/>
    <w:rsid w:val="278C73F8"/>
    <w:rsid w:val="27A8151C"/>
    <w:rsid w:val="27A87A78"/>
    <w:rsid w:val="27C938F0"/>
    <w:rsid w:val="27CB7CA2"/>
    <w:rsid w:val="27E90A82"/>
    <w:rsid w:val="27ED49C0"/>
    <w:rsid w:val="27EF1E43"/>
    <w:rsid w:val="27F9431E"/>
    <w:rsid w:val="28404BBD"/>
    <w:rsid w:val="284E3D5A"/>
    <w:rsid w:val="2862366F"/>
    <w:rsid w:val="289742A6"/>
    <w:rsid w:val="28F47B14"/>
    <w:rsid w:val="29015D02"/>
    <w:rsid w:val="2914765E"/>
    <w:rsid w:val="291C47AB"/>
    <w:rsid w:val="29457E65"/>
    <w:rsid w:val="294C22A1"/>
    <w:rsid w:val="29801153"/>
    <w:rsid w:val="29881A71"/>
    <w:rsid w:val="29946A38"/>
    <w:rsid w:val="29A221D6"/>
    <w:rsid w:val="29A86FFA"/>
    <w:rsid w:val="29BC6B56"/>
    <w:rsid w:val="29C448AF"/>
    <w:rsid w:val="29C826BD"/>
    <w:rsid w:val="29C9657D"/>
    <w:rsid w:val="29FE3744"/>
    <w:rsid w:val="2A0D3B86"/>
    <w:rsid w:val="2A1552D2"/>
    <w:rsid w:val="2A321881"/>
    <w:rsid w:val="2A4D2AFF"/>
    <w:rsid w:val="2A5818B2"/>
    <w:rsid w:val="2A832168"/>
    <w:rsid w:val="2AAE13C1"/>
    <w:rsid w:val="2AB3737B"/>
    <w:rsid w:val="2ABA26E5"/>
    <w:rsid w:val="2AC53353"/>
    <w:rsid w:val="2AD706CF"/>
    <w:rsid w:val="2AE71D4D"/>
    <w:rsid w:val="2AF43A5D"/>
    <w:rsid w:val="2AF6008B"/>
    <w:rsid w:val="2AFA0B9F"/>
    <w:rsid w:val="2B1C7406"/>
    <w:rsid w:val="2B224766"/>
    <w:rsid w:val="2B324781"/>
    <w:rsid w:val="2B3C71F0"/>
    <w:rsid w:val="2B605525"/>
    <w:rsid w:val="2B681B09"/>
    <w:rsid w:val="2B9B67CB"/>
    <w:rsid w:val="2BA32980"/>
    <w:rsid w:val="2BB55F54"/>
    <w:rsid w:val="2BD42666"/>
    <w:rsid w:val="2BF31AC7"/>
    <w:rsid w:val="2C3943F0"/>
    <w:rsid w:val="2C4525C2"/>
    <w:rsid w:val="2C5D0537"/>
    <w:rsid w:val="2C9D6835"/>
    <w:rsid w:val="2CB2656C"/>
    <w:rsid w:val="2CB424B1"/>
    <w:rsid w:val="2CB50C49"/>
    <w:rsid w:val="2CF73565"/>
    <w:rsid w:val="2D3050F1"/>
    <w:rsid w:val="2D370AA6"/>
    <w:rsid w:val="2D405D16"/>
    <w:rsid w:val="2D4C4B33"/>
    <w:rsid w:val="2D4D5DF9"/>
    <w:rsid w:val="2D586541"/>
    <w:rsid w:val="2D832277"/>
    <w:rsid w:val="2D851ADF"/>
    <w:rsid w:val="2D8D690A"/>
    <w:rsid w:val="2D9148DD"/>
    <w:rsid w:val="2DAF09E9"/>
    <w:rsid w:val="2DB21028"/>
    <w:rsid w:val="2DD105F3"/>
    <w:rsid w:val="2DD518CA"/>
    <w:rsid w:val="2DD616A1"/>
    <w:rsid w:val="2DE2352D"/>
    <w:rsid w:val="2DFE0923"/>
    <w:rsid w:val="2E007CBD"/>
    <w:rsid w:val="2E0E0A82"/>
    <w:rsid w:val="2E4C483D"/>
    <w:rsid w:val="2E4D6B60"/>
    <w:rsid w:val="2E4F51CA"/>
    <w:rsid w:val="2E5813EA"/>
    <w:rsid w:val="2E734717"/>
    <w:rsid w:val="2E7D74EB"/>
    <w:rsid w:val="2E8928E3"/>
    <w:rsid w:val="2EA9221F"/>
    <w:rsid w:val="2EB1768F"/>
    <w:rsid w:val="2EDA16F1"/>
    <w:rsid w:val="2EE02309"/>
    <w:rsid w:val="2EF6610B"/>
    <w:rsid w:val="2EFD5753"/>
    <w:rsid w:val="2F3048BC"/>
    <w:rsid w:val="2F630BF4"/>
    <w:rsid w:val="2F8A6A72"/>
    <w:rsid w:val="2F8A751C"/>
    <w:rsid w:val="2F8F028F"/>
    <w:rsid w:val="2F9132BD"/>
    <w:rsid w:val="2F9F6673"/>
    <w:rsid w:val="2FB323E1"/>
    <w:rsid w:val="2FC24615"/>
    <w:rsid w:val="2FC7744C"/>
    <w:rsid w:val="2FD95D02"/>
    <w:rsid w:val="300974C0"/>
    <w:rsid w:val="30190BF8"/>
    <w:rsid w:val="3027682F"/>
    <w:rsid w:val="303B5E5F"/>
    <w:rsid w:val="304C3F12"/>
    <w:rsid w:val="30700BA2"/>
    <w:rsid w:val="30846BB0"/>
    <w:rsid w:val="30863D7E"/>
    <w:rsid w:val="309B1706"/>
    <w:rsid w:val="309D73FB"/>
    <w:rsid w:val="30BA2834"/>
    <w:rsid w:val="30CD53EC"/>
    <w:rsid w:val="30D64BAF"/>
    <w:rsid w:val="31131626"/>
    <w:rsid w:val="311F0C14"/>
    <w:rsid w:val="31254906"/>
    <w:rsid w:val="31586756"/>
    <w:rsid w:val="31594CC6"/>
    <w:rsid w:val="315A0D9B"/>
    <w:rsid w:val="315A543D"/>
    <w:rsid w:val="316C3CC5"/>
    <w:rsid w:val="31864D59"/>
    <w:rsid w:val="31884ACA"/>
    <w:rsid w:val="319B6BB5"/>
    <w:rsid w:val="319E0453"/>
    <w:rsid w:val="31B86F2A"/>
    <w:rsid w:val="31D26274"/>
    <w:rsid w:val="31E73EC2"/>
    <w:rsid w:val="32022386"/>
    <w:rsid w:val="32073B23"/>
    <w:rsid w:val="320F3589"/>
    <w:rsid w:val="321169FA"/>
    <w:rsid w:val="321B7AE6"/>
    <w:rsid w:val="323B325D"/>
    <w:rsid w:val="324403C3"/>
    <w:rsid w:val="32561CFE"/>
    <w:rsid w:val="32816878"/>
    <w:rsid w:val="32860220"/>
    <w:rsid w:val="328626CB"/>
    <w:rsid w:val="32904786"/>
    <w:rsid w:val="32A64CBC"/>
    <w:rsid w:val="32CB48E4"/>
    <w:rsid w:val="32E14484"/>
    <w:rsid w:val="32FC7B27"/>
    <w:rsid w:val="330B1258"/>
    <w:rsid w:val="33264FE6"/>
    <w:rsid w:val="332B21BB"/>
    <w:rsid w:val="333659B5"/>
    <w:rsid w:val="33382B94"/>
    <w:rsid w:val="337B4EF0"/>
    <w:rsid w:val="33811DDB"/>
    <w:rsid w:val="338C355C"/>
    <w:rsid w:val="339D004A"/>
    <w:rsid w:val="33B13B30"/>
    <w:rsid w:val="33B21AA8"/>
    <w:rsid w:val="33C06DA7"/>
    <w:rsid w:val="33D01D6A"/>
    <w:rsid w:val="33D9046F"/>
    <w:rsid w:val="34052A0C"/>
    <w:rsid w:val="34131D7B"/>
    <w:rsid w:val="341D79D2"/>
    <w:rsid w:val="3434094B"/>
    <w:rsid w:val="34516B9F"/>
    <w:rsid w:val="3462115C"/>
    <w:rsid w:val="347327CF"/>
    <w:rsid w:val="348E18B4"/>
    <w:rsid w:val="34904765"/>
    <w:rsid w:val="34936269"/>
    <w:rsid w:val="34A246FE"/>
    <w:rsid w:val="34AE44DC"/>
    <w:rsid w:val="34B953F9"/>
    <w:rsid w:val="34E2093A"/>
    <w:rsid w:val="34EC2BFB"/>
    <w:rsid w:val="34FA62E8"/>
    <w:rsid w:val="35064C8D"/>
    <w:rsid w:val="35082F60"/>
    <w:rsid w:val="351C3836"/>
    <w:rsid w:val="3521576F"/>
    <w:rsid w:val="35315ECB"/>
    <w:rsid w:val="354B269A"/>
    <w:rsid w:val="3566676A"/>
    <w:rsid w:val="35904B4B"/>
    <w:rsid w:val="35A834FC"/>
    <w:rsid w:val="35A87C25"/>
    <w:rsid w:val="35B11C0F"/>
    <w:rsid w:val="35C30683"/>
    <w:rsid w:val="35CB1129"/>
    <w:rsid w:val="35D1443B"/>
    <w:rsid w:val="35E943D0"/>
    <w:rsid w:val="35F90595"/>
    <w:rsid w:val="36056A97"/>
    <w:rsid w:val="36407C40"/>
    <w:rsid w:val="365D4887"/>
    <w:rsid w:val="36A002ED"/>
    <w:rsid w:val="36A955E1"/>
    <w:rsid w:val="36CA47D4"/>
    <w:rsid w:val="36EA39F1"/>
    <w:rsid w:val="36F35EF3"/>
    <w:rsid w:val="36F4609D"/>
    <w:rsid w:val="371D7C65"/>
    <w:rsid w:val="37276381"/>
    <w:rsid w:val="372C39B2"/>
    <w:rsid w:val="37491620"/>
    <w:rsid w:val="374A04D1"/>
    <w:rsid w:val="3769588B"/>
    <w:rsid w:val="37712166"/>
    <w:rsid w:val="37A93D3A"/>
    <w:rsid w:val="37B2684D"/>
    <w:rsid w:val="37B95D33"/>
    <w:rsid w:val="37E53AC5"/>
    <w:rsid w:val="37EE77D3"/>
    <w:rsid w:val="38190E42"/>
    <w:rsid w:val="381B414E"/>
    <w:rsid w:val="38235813"/>
    <w:rsid w:val="38275115"/>
    <w:rsid w:val="382E60CE"/>
    <w:rsid w:val="38321542"/>
    <w:rsid w:val="384F292A"/>
    <w:rsid w:val="387F2F50"/>
    <w:rsid w:val="388105F7"/>
    <w:rsid w:val="38816706"/>
    <w:rsid w:val="38887EC8"/>
    <w:rsid w:val="389E4CE4"/>
    <w:rsid w:val="38A7572D"/>
    <w:rsid w:val="38B8492E"/>
    <w:rsid w:val="38EA197B"/>
    <w:rsid w:val="390A4BEC"/>
    <w:rsid w:val="39125417"/>
    <w:rsid w:val="39380AF8"/>
    <w:rsid w:val="39502E46"/>
    <w:rsid w:val="3959376A"/>
    <w:rsid w:val="39875578"/>
    <w:rsid w:val="399D6D92"/>
    <w:rsid w:val="39A63F9B"/>
    <w:rsid w:val="39A8054E"/>
    <w:rsid w:val="39C62DDF"/>
    <w:rsid w:val="39CD7B28"/>
    <w:rsid w:val="39DA2245"/>
    <w:rsid w:val="39DC6D22"/>
    <w:rsid w:val="39E53966"/>
    <w:rsid w:val="39E63FBA"/>
    <w:rsid w:val="39EA15A5"/>
    <w:rsid w:val="39F21BBB"/>
    <w:rsid w:val="39F40BA2"/>
    <w:rsid w:val="3A073148"/>
    <w:rsid w:val="3A0B7EA8"/>
    <w:rsid w:val="3A1A14FC"/>
    <w:rsid w:val="3A601248"/>
    <w:rsid w:val="3A730A7E"/>
    <w:rsid w:val="3A922B6A"/>
    <w:rsid w:val="3AA36257"/>
    <w:rsid w:val="3AAA009C"/>
    <w:rsid w:val="3AC46B5E"/>
    <w:rsid w:val="3B2B7BD1"/>
    <w:rsid w:val="3B354CFA"/>
    <w:rsid w:val="3B361C73"/>
    <w:rsid w:val="3B6C3AB4"/>
    <w:rsid w:val="3B751833"/>
    <w:rsid w:val="3B9874B4"/>
    <w:rsid w:val="3BAA6B70"/>
    <w:rsid w:val="3BF14385"/>
    <w:rsid w:val="3BFC05FB"/>
    <w:rsid w:val="3C0B52CB"/>
    <w:rsid w:val="3C372EC9"/>
    <w:rsid w:val="3C3C35F2"/>
    <w:rsid w:val="3C4D5699"/>
    <w:rsid w:val="3C547D51"/>
    <w:rsid w:val="3C5A22C0"/>
    <w:rsid w:val="3C5E4961"/>
    <w:rsid w:val="3C75116F"/>
    <w:rsid w:val="3C7A6241"/>
    <w:rsid w:val="3C89198F"/>
    <w:rsid w:val="3CBC20D5"/>
    <w:rsid w:val="3CC65551"/>
    <w:rsid w:val="3CCB64D2"/>
    <w:rsid w:val="3CD83FE3"/>
    <w:rsid w:val="3D1C3BE5"/>
    <w:rsid w:val="3D387BC0"/>
    <w:rsid w:val="3D5970A7"/>
    <w:rsid w:val="3D7B789B"/>
    <w:rsid w:val="3D847A17"/>
    <w:rsid w:val="3D967442"/>
    <w:rsid w:val="3DB37034"/>
    <w:rsid w:val="3DC8703D"/>
    <w:rsid w:val="3DD75419"/>
    <w:rsid w:val="3DE87558"/>
    <w:rsid w:val="3DEC7B8D"/>
    <w:rsid w:val="3DEF013E"/>
    <w:rsid w:val="3DFC2764"/>
    <w:rsid w:val="3E0647A3"/>
    <w:rsid w:val="3E0F6D4D"/>
    <w:rsid w:val="3E1D4B4F"/>
    <w:rsid w:val="3E4D7D99"/>
    <w:rsid w:val="3E5B7168"/>
    <w:rsid w:val="3E894239"/>
    <w:rsid w:val="3E9B7797"/>
    <w:rsid w:val="3E9E73A8"/>
    <w:rsid w:val="3EAE40E4"/>
    <w:rsid w:val="3EAE4F3E"/>
    <w:rsid w:val="3EC14BDC"/>
    <w:rsid w:val="3EDB5110"/>
    <w:rsid w:val="3EE8403D"/>
    <w:rsid w:val="3F00274D"/>
    <w:rsid w:val="3F2C07BA"/>
    <w:rsid w:val="3F4A21EA"/>
    <w:rsid w:val="3F7E52AA"/>
    <w:rsid w:val="3FCC5E9B"/>
    <w:rsid w:val="3FE406A9"/>
    <w:rsid w:val="3FEC4886"/>
    <w:rsid w:val="3FF13FC9"/>
    <w:rsid w:val="40142DED"/>
    <w:rsid w:val="402B36BD"/>
    <w:rsid w:val="403365DF"/>
    <w:rsid w:val="40595850"/>
    <w:rsid w:val="405E07B5"/>
    <w:rsid w:val="40BD25D9"/>
    <w:rsid w:val="40D157F4"/>
    <w:rsid w:val="40EF17E5"/>
    <w:rsid w:val="4116026A"/>
    <w:rsid w:val="41446A3D"/>
    <w:rsid w:val="4151368E"/>
    <w:rsid w:val="415633C8"/>
    <w:rsid w:val="415A45F1"/>
    <w:rsid w:val="41717AE2"/>
    <w:rsid w:val="417C3FFB"/>
    <w:rsid w:val="41887AF3"/>
    <w:rsid w:val="41B52A93"/>
    <w:rsid w:val="41C36737"/>
    <w:rsid w:val="41C950ED"/>
    <w:rsid w:val="41CA5960"/>
    <w:rsid w:val="41DC2782"/>
    <w:rsid w:val="41ED11D2"/>
    <w:rsid w:val="42132B02"/>
    <w:rsid w:val="421A7B0E"/>
    <w:rsid w:val="424624FB"/>
    <w:rsid w:val="42666620"/>
    <w:rsid w:val="42745A83"/>
    <w:rsid w:val="42850747"/>
    <w:rsid w:val="429332B5"/>
    <w:rsid w:val="42A90904"/>
    <w:rsid w:val="42C03A5A"/>
    <w:rsid w:val="42C156AB"/>
    <w:rsid w:val="42CA4E3E"/>
    <w:rsid w:val="42D53EF1"/>
    <w:rsid w:val="42F66644"/>
    <w:rsid w:val="42FF1194"/>
    <w:rsid w:val="430F11B1"/>
    <w:rsid w:val="43212ECD"/>
    <w:rsid w:val="43486B07"/>
    <w:rsid w:val="435636C4"/>
    <w:rsid w:val="435F4229"/>
    <w:rsid w:val="43636D71"/>
    <w:rsid w:val="4374445A"/>
    <w:rsid w:val="437C1A1D"/>
    <w:rsid w:val="43920FBC"/>
    <w:rsid w:val="43943464"/>
    <w:rsid w:val="43985141"/>
    <w:rsid w:val="439E3231"/>
    <w:rsid w:val="43A01A91"/>
    <w:rsid w:val="43A83C26"/>
    <w:rsid w:val="43B736C8"/>
    <w:rsid w:val="43B811D7"/>
    <w:rsid w:val="43BA7DDD"/>
    <w:rsid w:val="43E820B5"/>
    <w:rsid w:val="43F5366C"/>
    <w:rsid w:val="44096F1F"/>
    <w:rsid w:val="440E7502"/>
    <w:rsid w:val="441D6828"/>
    <w:rsid w:val="44291A38"/>
    <w:rsid w:val="44412169"/>
    <w:rsid w:val="444C6BFA"/>
    <w:rsid w:val="446806D7"/>
    <w:rsid w:val="44A82F4E"/>
    <w:rsid w:val="44A9215B"/>
    <w:rsid w:val="44B33DBE"/>
    <w:rsid w:val="44C96D1B"/>
    <w:rsid w:val="44E915E3"/>
    <w:rsid w:val="44FC028B"/>
    <w:rsid w:val="450310AB"/>
    <w:rsid w:val="452916DC"/>
    <w:rsid w:val="4548374C"/>
    <w:rsid w:val="455B19D9"/>
    <w:rsid w:val="45643A19"/>
    <w:rsid w:val="457E261E"/>
    <w:rsid w:val="45905EAD"/>
    <w:rsid w:val="45DE1A67"/>
    <w:rsid w:val="45FB5AEF"/>
    <w:rsid w:val="461801C0"/>
    <w:rsid w:val="46231638"/>
    <w:rsid w:val="462A4554"/>
    <w:rsid w:val="463E3B5B"/>
    <w:rsid w:val="464C3F26"/>
    <w:rsid w:val="468C5910"/>
    <w:rsid w:val="46944118"/>
    <w:rsid w:val="469E22B7"/>
    <w:rsid w:val="46B041B0"/>
    <w:rsid w:val="46B26B59"/>
    <w:rsid w:val="46BF63C0"/>
    <w:rsid w:val="46DF533E"/>
    <w:rsid w:val="46E56348"/>
    <w:rsid w:val="46FC397A"/>
    <w:rsid w:val="47081077"/>
    <w:rsid w:val="4709233B"/>
    <w:rsid w:val="470E02B0"/>
    <w:rsid w:val="47143D01"/>
    <w:rsid w:val="47183E27"/>
    <w:rsid w:val="472871D6"/>
    <w:rsid w:val="47290672"/>
    <w:rsid w:val="474D22A8"/>
    <w:rsid w:val="475A0BC9"/>
    <w:rsid w:val="475D1BA9"/>
    <w:rsid w:val="47CB0D71"/>
    <w:rsid w:val="47E06B8E"/>
    <w:rsid w:val="47E5312D"/>
    <w:rsid w:val="47E67D0F"/>
    <w:rsid w:val="47EA3DE5"/>
    <w:rsid w:val="47FE35A2"/>
    <w:rsid w:val="481E716A"/>
    <w:rsid w:val="482D49A7"/>
    <w:rsid w:val="48352EC8"/>
    <w:rsid w:val="48443524"/>
    <w:rsid w:val="48591E73"/>
    <w:rsid w:val="48770602"/>
    <w:rsid w:val="48792A87"/>
    <w:rsid w:val="4882069B"/>
    <w:rsid w:val="488F1379"/>
    <w:rsid w:val="48A6254D"/>
    <w:rsid w:val="48AD6F34"/>
    <w:rsid w:val="48CB0BBF"/>
    <w:rsid w:val="48EC381B"/>
    <w:rsid w:val="490F711E"/>
    <w:rsid w:val="493B1B45"/>
    <w:rsid w:val="494D712A"/>
    <w:rsid w:val="495B4771"/>
    <w:rsid w:val="496142CC"/>
    <w:rsid w:val="4968161B"/>
    <w:rsid w:val="498400C0"/>
    <w:rsid w:val="498E4AFA"/>
    <w:rsid w:val="49AC7BF3"/>
    <w:rsid w:val="49B4093B"/>
    <w:rsid w:val="49B419DE"/>
    <w:rsid w:val="49BA0210"/>
    <w:rsid w:val="49C527B6"/>
    <w:rsid w:val="49CB1C17"/>
    <w:rsid w:val="49CD4AF7"/>
    <w:rsid w:val="49DF55D0"/>
    <w:rsid w:val="4A0B5B9A"/>
    <w:rsid w:val="4A311A18"/>
    <w:rsid w:val="4A4B635C"/>
    <w:rsid w:val="4A7A78BF"/>
    <w:rsid w:val="4A880907"/>
    <w:rsid w:val="4AAE5336"/>
    <w:rsid w:val="4AB24724"/>
    <w:rsid w:val="4AB831B9"/>
    <w:rsid w:val="4AB87DF1"/>
    <w:rsid w:val="4AE973C7"/>
    <w:rsid w:val="4AF07F0C"/>
    <w:rsid w:val="4AF54B90"/>
    <w:rsid w:val="4B366953"/>
    <w:rsid w:val="4B5E37B2"/>
    <w:rsid w:val="4B665B28"/>
    <w:rsid w:val="4B763F3F"/>
    <w:rsid w:val="4B78366B"/>
    <w:rsid w:val="4B7D76EE"/>
    <w:rsid w:val="4B9A0871"/>
    <w:rsid w:val="4BAF0598"/>
    <w:rsid w:val="4BC45830"/>
    <w:rsid w:val="4BE014B3"/>
    <w:rsid w:val="4BFE296B"/>
    <w:rsid w:val="4C012B8E"/>
    <w:rsid w:val="4C0B44E0"/>
    <w:rsid w:val="4C4836F4"/>
    <w:rsid w:val="4C555A89"/>
    <w:rsid w:val="4C662DF5"/>
    <w:rsid w:val="4C764261"/>
    <w:rsid w:val="4C8B5A46"/>
    <w:rsid w:val="4CA30C5D"/>
    <w:rsid w:val="4CB976CC"/>
    <w:rsid w:val="4CC62CE1"/>
    <w:rsid w:val="4CCC2BB6"/>
    <w:rsid w:val="4CCC4D3E"/>
    <w:rsid w:val="4CD80866"/>
    <w:rsid w:val="4CDB357B"/>
    <w:rsid w:val="4CEE4EDF"/>
    <w:rsid w:val="4D0452B9"/>
    <w:rsid w:val="4D230C3D"/>
    <w:rsid w:val="4D2E0486"/>
    <w:rsid w:val="4D427448"/>
    <w:rsid w:val="4D51744B"/>
    <w:rsid w:val="4D7E4865"/>
    <w:rsid w:val="4D842D62"/>
    <w:rsid w:val="4D9F12E6"/>
    <w:rsid w:val="4DA15A2B"/>
    <w:rsid w:val="4DA76552"/>
    <w:rsid w:val="4DC60D14"/>
    <w:rsid w:val="4DDE1C47"/>
    <w:rsid w:val="4DF06D9C"/>
    <w:rsid w:val="4DF17E38"/>
    <w:rsid w:val="4E097435"/>
    <w:rsid w:val="4E177C1C"/>
    <w:rsid w:val="4E263349"/>
    <w:rsid w:val="4E2956BA"/>
    <w:rsid w:val="4E3E23F6"/>
    <w:rsid w:val="4E521D6C"/>
    <w:rsid w:val="4E5A7595"/>
    <w:rsid w:val="4E634661"/>
    <w:rsid w:val="4E7A5B40"/>
    <w:rsid w:val="4E8C73C4"/>
    <w:rsid w:val="4E9910A1"/>
    <w:rsid w:val="4EA76741"/>
    <w:rsid w:val="4EAB60B9"/>
    <w:rsid w:val="4EB3340D"/>
    <w:rsid w:val="4EB67586"/>
    <w:rsid w:val="4EC45D89"/>
    <w:rsid w:val="4EE74F86"/>
    <w:rsid w:val="4EF6635C"/>
    <w:rsid w:val="4EF842C8"/>
    <w:rsid w:val="4EF90253"/>
    <w:rsid w:val="4F016101"/>
    <w:rsid w:val="4F1800D3"/>
    <w:rsid w:val="4F1F7D9C"/>
    <w:rsid w:val="4F4E582F"/>
    <w:rsid w:val="4F5E6BC9"/>
    <w:rsid w:val="4F5F72FE"/>
    <w:rsid w:val="4F61098A"/>
    <w:rsid w:val="4F974A08"/>
    <w:rsid w:val="4F9C2BD8"/>
    <w:rsid w:val="4F9F5DFB"/>
    <w:rsid w:val="4FA55A1B"/>
    <w:rsid w:val="4FBC2C42"/>
    <w:rsid w:val="4FC11262"/>
    <w:rsid w:val="4FD51E01"/>
    <w:rsid w:val="4FD84D55"/>
    <w:rsid w:val="4FDB66E1"/>
    <w:rsid w:val="4FE45773"/>
    <w:rsid w:val="4FF542DA"/>
    <w:rsid w:val="50062E42"/>
    <w:rsid w:val="50170D0E"/>
    <w:rsid w:val="503D1E32"/>
    <w:rsid w:val="504E172F"/>
    <w:rsid w:val="50650662"/>
    <w:rsid w:val="50676C11"/>
    <w:rsid w:val="506C4502"/>
    <w:rsid w:val="50894230"/>
    <w:rsid w:val="509A1882"/>
    <w:rsid w:val="50CC3303"/>
    <w:rsid w:val="50F26A40"/>
    <w:rsid w:val="51057A2C"/>
    <w:rsid w:val="5106108A"/>
    <w:rsid w:val="510874AD"/>
    <w:rsid w:val="510C59DD"/>
    <w:rsid w:val="51165DDB"/>
    <w:rsid w:val="511E58D1"/>
    <w:rsid w:val="51325473"/>
    <w:rsid w:val="51434C7B"/>
    <w:rsid w:val="514B3B58"/>
    <w:rsid w:val="514C6247"/>
    <w:rsid w:val="516E231F"/>
    <w:rsid w:val="51734763"/>
    <w:rsid w:val="5180629F"/>
    <w:rsid w:val="51905147"/>
    <w:rsid w:val="51C10798"/>
    <w:rsid w:val="51C15D6C"/>
    <w:rsid w:val="522778AB"/>
    <w:rsid w:val="52334762"/>
    <w:rsid w:val="52777BA3"/>
    <w:rsid w:val="5299416C"/>
    <w:rsid w:val="52BD6DD9"/>
    <w:rsid w:val="52D96F6D"/>
    <w:rsid w:val="52E07BC5"/>
    <w:rsid w:val="52E113B7"/>
    <w:rsid w:val="52E77A54"/>
    <w:rsid w:val="52EB4CD8"/>
    <w:rsid w:val="52ED7651"/>
    <w:rsid w:val="52F27333"/>
    <w:rsid w:val="52F7241B"/>
    <w:rsid w:val="53031CC1"/>
    <w:rsid w:val="5315588E"/>
    <w:rsid w:val="532C39DF"/>
    <w:rsid w:val="533750B7"/>
    <w:rsid w:val="53422EDD"/>
    <w:rsid w:val="535A4741"/>
    <w:rsid w:val="535F7AC4"/>
    <w:rsid w:val="53614569"/>
    <w:rsid w:val="536865DF"/>
    <w:rsid w:val="536B5FBA"/>
    <w:rsid w:val="53841C9B"/>
    <w:rsid w:val="539B25ED"/>
    <w:rsid w:val="53A33E2A"/>
    <w:rsid w:val="53B65679"/>
    <w:rsid w:val="53E57EC7"/>
    <w:rsid w:val="53FC12DE"/>
    <w:rsid w:val="542E68C9"/>
    <w:rsid w:val="544D7D8B"/>
    <w:rsid w:val="54620ECC"/>
    <w:rsid w:val="549E0BB6"/>
    <w:rsid w:val="549E3A43"/>
    <w:rsid w:val="54B613B7"/>
    <w:rsid w:val="54D272FC"/>
    <w:rsid w:val="5508344B"/>
    <w:rsid w:val="550908CD"/>
    <w:rsid w:val="550E082F"/>
    <w:rsid w:val="55354124"/>
    <w:rsid w:val="55406AE0"/>
    <w:rsid w:val="5546444E"/>
    <w:rsid w:val="555C52E3"/>
    <w:rsid w:val="55755B7F"/>
    <w:rsid w:val="5596403B"/>
    <w:rsid w:val="55A26160"/>
    <w:rsid w:val="55B36DE7"/>
    <w:rsid w:val="55B9505D"/>
    <w:rsid w:val="55BC2BC7"/>
    <w:rsid w:val="55D36936"/>
    <w:rsid w:val="55F64192"/>
    <w:rsid w:val="55F92CF1"/>
    <w:rsid w:val="560E2E5E"/>
    <w:rsid w:val="561D19DF"/>
    <w:rsid w:val="562D0004"/>
    <w:rsid w:val="564168CB"/>
    <w:rsid w:val="56493019"/>
    <w:rsid w:val="565D0170"/>
    <w:rsid w:val="566B6311"/>
    <w:rsid w:val="5673308A"/>
    <w:rsid w:val="56752F87"/>
    <w:rsid w:val="56A81854"/>
    <w:rsid w:val="56AD39C5"/>
    <w:rsid w:val="56BA2C3A"/>
    <w:rsid w:val="56C444AA"/>
    <w:rsid w:val="56E8306F"/>
    <w:rsid w:val="56FE19F8"/>
    <w:rsid w:val="570827F8"/>
    <w:rsid w:val="570948E4"/>
    <w:rsid w:val="571100FC"/>
    <w:rsid w:val="572A4F61"/>
    <w:rsid w:val="573174F0"/>
    <w:rsid w:val="573D690C"/>
    <w:rsid w:val="576F02BD"/>
    <w:rsid w:val="57750593"/>
    <w:rsid w:val="57A56A00"/>
    <w:rsid w:val="57AA4515"/>
    <w:rsid w:val="57AD55FF"/>
    <w:rsid w:val="57AF7565"/>
    <w:rsid w:val="57CD4D3F"/>
    <w:rsid w:val="57E6725A"/>
    <w:rsid w:val="580C4CA5"/>
    <w:rsid w:val="5815796C"/>
    <w:rsid w:val="58201B45"/>
    <w:rsid w:val="583A6878"/>
    <w:rsid w:val="58AD7679"/>
    <w:rsid w:val="58CD27E0"/>
    <w:rsid w:val="58E34992"/>
    <w:rsid w:val="58EB3077"/>
    <w:rsid w:val="59011144"/>
    <w:rsid w:val="59043672"/>
    <w:rsid w:val="590A33A3"/>
    <w:rsid w:val="592444B3"/>
    <w:rsid w:val="59255AE1"/>
    <w:rsid w:val="593B3B65"/>
    <w:rsid w:val="5959193E"/>
    <w:rsid w:val="5963384C"/>
    <w:rsid w:val="596345C4"/>
    <w:rsid w:val="59651C29"/>
    <w:rsid w:val="59791EAB"/>
    <w:rsid w:val="598E2878"/>
    <w:rsid w:val="59993190"/>
    <w:rsid w:val="59D96D1A"/>
    <w:rsid w:val="59E36D1D"/>
    <w:rsid w:val="5A385B50"/>
    <w:rsid w:val="5A414680"/>
    <w:rsid w:val="5A854D88"/>
    <w:rsid w:val="5ABF6AE4"/>
    <w:rsid w:val="5AEC1045"/>
    <w:rsid w:val="5B0B21EA"/>
    <w:rsid w:val="5B1F296D"/>
    <w:rsid w:val="5B2F7999"/>
    <w:rsid w:val="5B332C17"/>
    <w:rsid w:val="5B431465"/>
    <w:rsid w:val="5B455106"/>
    <w:rsid w:val="5B6047CA"/>
    <w:rsid w:val="5B7755A0"/>
    <w:rsid w:val="5B851126"/>
    <w:rsid w:val="5B880EB9"/>
    <w:rsid w:val="5B8F3123"/>
    <w:rsid w:val="5B97241C"/>
    <w:rsid w:val="5BC94DA4"/>
    <w:rsid w:val="5BDD7C46"/>
    <w:rsid w:val="5BE0145C"/>
    <w:rsid w:val="5C0E6D0E"/>
    <w:rsid w:val="5C135B9A"/>
    <w:rsid w:val="5C3B6FFA"/>
    <w:rsid w:val="5C481E95"/>
    <w:rsid w:val="5C591E79"/>
    <w:rsid w:val="5C787A89"/>
    <w:rsid w:val="5C8A5E37"/>
    <w:rsid w:val="5C9779B7"/>
    <w:rsid w:val="5CA62705"/>
    <w:rsid w:val="5CBB785C"/>
    <w:rsid w:val="5CBF5F6A"/>
    <w:rsid w:val="5CD87DE0"/>
    <w:rsid w:val="5CE71AC0"/>
    <w:rsid w:val="5D011713"/>
    <w:rsid w:val="5D07136C"/>
    <w:rsid w:val="5D3A1303"/>
    <w:rsid w:val="5D5E0B83"/>
    <w:rsid w:val="5D5E483A"/>
    <w:rsid w:val="5D7A687D"/>
    <w:rsid w:val="5D900CE9"/>
    <w:rsid w:val="5D9F1800"/>
    <w:rsid w:val="5DB65119"/>
    <w:rsid w:val="5DBC4B45"/>
    <w:rsid w:val="5DCC35E0"/>
    <w:rsid w:val="5DD946FC"/>
    <w:rsid w:val="5DD96B85"/>
    <w:rsid w:val="5DE05057"/>
    <w:rsid w:val="5DE13DBA"/>
    <w:rsid w:val="5DFA2FA9"/>
    <w:rsid w:val="5DFA75E8"/>
    <w:rsid w:val="5E032790"/>
    <w:rsid w:val="5E0E7F8F"/>
    <w:rsid w:val="5E171DB2"/>
    <w:rsid w:val="5E3A6AB6"/>
    <w:rsid w:val="5E3F746C"/>
    <w:rsid w:val="5E4A4083"/>
    <w:rsid w:val="5E6F213A"/>
    <w:rsid w:val="5E992B6F"/>
    <w:rsid w:val="5E9D6F51"/>
    <w:rsid w:val="5EA26F25"/>
    <w:rsid w:val="5EA524BD"/>
    <w:rsid w:val="5EC736FD"/>
    <w:rsid w:val="5EC75AA3"/>
    <w:rsid w:val="5ED4301B"/>
    <w:rsid w:val="5ED715B6"/>
    <w:rsid w:val="5EF34655"/>
    <w:rsid w:val="5F015701"/>
    <w:rsid w:val="5F107B83"/>
    <w:rsid w:val="5F1A4D08"/>
    <w:rsid w:val="5F2C4A61"/>
    <w:rsid w:val="5F473629"/>
    <w:rsid w:val="5F507A46"/>
    <w:rsid w:val="5F7A57AC"/>
    <w:rsid w:val="5F805F26"/>
    <w:rsid w:val="5F97135F"/>
    <w:rsid w:val="5FA6529F"/>
    <w:rsid w:val="5FDC5ACF"/>
    <w:rsid w:val="5FDE7097"/>
    <w:rsid w:val="5FDF447A"/>
    <w:rsid w:val="60534C0B"/>
    <w:rsid w:val="607134C7"/>
    <w:rsid w:val="60857755"/>
    <w:rsid w:val="608D7E2E"/>
    <w:rsid w:val="60A527D8"/>
    <w:rsid w:val="60E25CE1"/>
    <w:rsid w:val="61113353"/>
    <w:rsid w:val="613D0CCB"/>
    <w:rsid w:val="613F394C"/>
    <w:rsid w:val="61417463"/>
    <w:rsid w:val="614A363A"/>
    <w:rsid w:val="615220F1"/>
    <w:rsid w:val="61563AA0"/>
    <w:rsid w:val="61646714"/>
    <w:rsid w:val="616A6021"/>
    <w:rsid w:val="618348E2"/>
    <w:rsid w:val="61836871"/>
    <w:rsid w:val="618A27DA"/>
    <w:rsid w:val="61BC437E"/>
    <w:rsid w:val="61BF1B9C"/>
    <w:rsid w:val="61E03CFD"/>
    <w:rsid w:val="620B73A2"/>
    <w:rsid w:val="62145A44"/>
    <w:rsid w:val="62150CF0"/>
    <w:rsid w:val="623A6583"/>
    <w:rsid w:val="62476B76"/>
    <w:rsid w:val="625727DD"/>
    <w:rsid w:val="625A77D3"/>
    <w:rsid w:val="625F095E"/>
    <w:rsid w:val="62740354"/>
    <w:rsid w:val="62774225"/>
    <w:rsid w:val="62B72874"/>
    <w:rsid w:val="63040DEB"/>
    <w:rsid w:val="630B01DB"/>
    <w:rsid w:val="630B132E"/>
    <w:rsid w:val="631321A0"/>
    <w:rsid w:val="631E0807"/>
    <w:rsid w:val="63296F33"/>
    <w:rsid w:val="632C406C"/>
    <w:rsid w:val="633555F4"/>
    <w:rsid w:val="634F574E"/>
    <w:rsid w:val="636C1569"/>
    <w:rsid w:val="637D7375"/>
    <w:rsid w:val="638967FD"/>
    <w:rsid w:val="63A16274"/>
    <w:rsid w:val="63B8150B"/>
    <w:rsid w:val="63BB75EA"/>
    <w:rsid w:val="63C27722"/>
    <w:rsid w:val="63E43866"/>
    <w:rsid w:val="63F9157F"/>
    <w:rsid w:val="63FA7271"/>
    <w:rsid w:val="648570CD"/>
    <w:rsid w:val="649B244D"/>
    <w:rsid w:val="649D12E7"/>
    <w:rsid w:val="649E3AB0"/>
    <w:rsid w:val="64AA6E0A"/>
    <w:rsid w:val="64AC280F"/>
    <w:rsid w:val="64AC5097"/>
    <w:rsid w:val="64B62F44"/>
    <w:rsid w:val="64D735BE"/>
    <w:rsid w:val="64E41726"/>
    <w:rsid w:val="64E903D8"/>
    <w:rsid w:val="64F22DCE"/>
    <w:rsid w:val="651609CD"/>
    <w:rsid w:val="651A0231"/>
    <w:rsid w:val="652D0491"/>
    <w:rsid w:val="65340705"/>
    <w:rsid w:val="653C6978"/>
    <w:rsid w:val="65613229"/>
    <w:rsid w:val="65663CED"/>
    <w:rsid w:val="657955F9"/>
    <w:rsid w:val="657E3EA8"/>
    <w:rsid w:val="65A504BC"/>
    <w:rsid w:val="65A52014"/>
    <w:rsid w:val="65AB0D65"/>
    <w:rsid w:val="65CA795C"/>
    <w:rsid w:val="65DA35BA"/>
    <w:rsid w:val="65E20310"/>
    <w:rsid w:val="65E34BDD"/>
    <w:rsid w:val="65E76BDE"/>
    <w:rsid w:val="65EA1627"/>
    <w:rsid w:val="661422AF"/>
    <w:rsid w:val="661C1194"/>
    <w:rsid w:val="661E67E9"/>
    <w:rsid w:val="66364505"/>
    <w:rsid w:val="663E0EEA"/>
    <w:rsid w:val="66BA67F0"/>
    <w:rsid w:val="66D970AC"/>
    <w:rsid w:val="66DB4D01"/>
    <w:rsid w:val="66F3573C"/>
    <w:rsid w:val="67032D29"/>
    <w:rsid w:val="6706471E"/>
    <w:rsid w:val="670B5259"/>
    <w:rsid w:val="671169F6"/>
    <w:rsid w:val="673E23A7"/>
    <w:rsid w:val="674D05B9"/>
    <w:rsid w:val="67602AAD"/>
    <w:rsid w:val="67646FA2"/>
    <w:rsid w:val="676F1C3D"/>
    <w:rsid w:val="677976CD"/>
    <w:rsid w:val="67877951"/>
    <w:rsid w:val="67B26401"/>
    <w:rsid w:val="67D80F18"/>
    <w:rsid w:val="67D929A8"/>
    <w:rsid w:val="680D218E"/>
    <w:rsid w:val="684D6E28"/>
    <w:rsid w:val="689B6D41"/>
    <w:rsid w:val="68A13DAA"/>
    <w:rsid w:val="68B27D65"/>
    <w:rsid w:val="68B354B1"/>
    <w:rsid w:val="68B7050F"/>
    <w:rsid w:val="68C25E8E"/>
    <w:rsid w:val="68C43F8C"/>
    <w:rsid w:val="68DB37C4"/>
    <w:rsid w:val="68E214A6"/>
    <w:rsid w:val="68E52362"/>
    <w:rsid w:val="68EA6DAA"/>
    <w:rsid w:val="68FB5BB0"/>
    <w:rsid w:val="69012A9A"/>
    <w:rsid w:val="69140290"/>
    <w:rsid w:val="693D7092"/>
    <w:rsid w:val="695232F6"/>
    <w:rsid w:val="695815AD"/>
    <w:rsid w:val="695976DE"/>
    <w:rsid w:val="695D48EB"/>
    <w:rsid w:val="69680019"/>
    <w:rsid w:val="69A6643C"/>
    <w:rsid w:val="69AC3A00"/>
    <w:rsid w:val="69B0613D"/>
    <w:rsid w:val="69D07D17"/>
    <w:rsid w:val="69D20B55"/>
    <w:rsid w:val="69F77970"/>
    <w:rsid w:val="6A124392"/>
    <w:rsid w:val="6A2922A9"/>
    <w:rsid w:val="6A5B620F"/>
    <w:rsid w:val="6A7C2F6D"/>
    <w:rsid w:val="6A8B2F63"/>
    <w:rsid w:val="6A9C6934"/>
    <w:rsid w:val="6AAF645E"/>
    <w:rsid w:val="6AF87645"/>
    <w:rsid w:val="6AFB6D12"/>
    <w:rsid w:val="6AFC1CD1"/>
    <w:rsid w:val="6B2B6A33"/>
    <w:rsid w:val="6B314EBD"/>
    <w:rsid w:val="6B3E7D1F"/>
    <w:rsid w:val="6B4D3AC1"/>
    <w:rsid w:val="6B761705"/>
    <w:rsid w:val="6B845CFB"/>
    <w:rsid w:val="6B875F25"/>
    <w:rsid w:val="6B947695"/>
    <w:rsid w:val="6BB21198"/>
    <w:rsid w:val="6BBF1B71"/>
    <w:rsid w:val="6BC61218"/>
    <w:rsid w:val="6BCA45C5"/>
    <w:rsid w:val="6BD92705"/>
    <w:rsid w:val="6BFC24B9"/>
    <w:rsid w:val="6C136CCE"/>
    <w:rsid w:val="6C384A25"/>
    <w:rsid w:val="6C397911"/>
    <w:rsid w:val="6C467D39"/>
    <w:rsid w:val="6C4B7B5D"/>
    <w:rsid w:val="6C5A066F"/>
    <w:rsid w:val="6C84572A"/>
    <w:rsid w:val="6C942F77"/>
    <w:rsid w:val="6C955511"/>
    <w:rsid w:val="6CA65170"/>
    <w:rsid w:val="6CB71927"/>
    <w:rsid w:val="6CC37601"/>
    <w:rsid w:val="6CD05B83"/>
    <w:rsid w:val="6CF85EB2"/>
    <w:rsid w:val="6D1D4112"/>
    <w:rsid w:val="6D340011"/>
    <w:rsid w:val="6D4A4545"/>
    <w:rsid w:val="6D550C02"/>
    <w:rsid w:val="6D604233"/>
    <w:rsid w:val="6D6F3A1E"/>
    <w:rsid w:val="6D754FAD"/>
    <w:rsid w:val="6D7E33A5"/>
    <w:rsid w:val="6DA5345C"/>
    <w:rsid w:val="6DA647C1"/>
    <w:rsid w:val="6DB23EDA"/>
    <w:rsid w:val="6DCD4ADC"/>
    <w:rsid w:val="6DDA67DC"/>
    <w:rsid w:val="6DDF222C"/>
    <w:rsid w:val="6DEC14AC"/>
    <w:rsid w:val="6DF83EB4"/>
    <w:rsid w:val="6E184EEB"/>
    <w:rsid w:val="6E3B1818"/>
    <w:rsid w:val="6E475D1E"/>
    <w:rsid w:val="6E4D0040"/>
    <w:rsid w:val="6E6B247A"/>
    <w:rsid w:val="6E815507"/>
    <w:rsid w:val="6E8318A5"/>
    <w:rsid w:val="6EC03174"/>
    <w:rsid w:val="6ECE72F2"/>
    <w:rsid w:val="6EE132C7"/>
    <w:rsid w:val="6EEE458B"/>
    <w:rsid w:val="6EFA5022"/>
    <w:rsid w:val="6F0E5FCA"/>
    <w:rsid w:val="6F0F716E"/>
    <w:rsid w:val="6F2104E5"/>
    <w:rsid w:val="6F263F48"/>
    <w:rsid w:val="6F26616A"/>
    <w:rsid w:val="6F414E9A"/>
    <w:rsid w:val="6F4722C2"/>
    <w:rsid w:val="6F4922CF"/>
    <w:rsid w:val="6F563BDF"/>
    <w:rsid w:val="6F6C7F4C"/>
    <w:rsid w:val="6F8A37EA"/>
    <w:rsid w:val="6F962917"/>
    <w:rsid w:val="6FAD4D46"/>
    <w:rsid w:val="6FD71996"/>
    <w:rsid w:val="6FED4255"/>
    <w:rsid w:val="6FF72C88"/>
    <w:rsid w:val="70044549"/>
    <w:rsid w:val="700F4612"/>
    <w:rsid w:val="70123E31"/>
    <w:rsid w:val="7036071B"/>
    <w:rsid w:val="70587444"/>
    <w:rsid w:val="708C7A6D"/>
    <w:rsid w:val="70A53413"/>
    <w:rsid w:val="70AA0055"/>
    <w:rsid w:val="70D01ED9"/>
    <w:rsid w:val="70E64370"/>
    <w:rsid w:val="70EC66B0"/>
    <w:rsid w:val="70F361E7"/>
    <w:rsid w:val="70FF7FBD"/>
    <w:rsid w:val="71130BA9"/>
    <w:rsid w:val="71326A7F"/>
    <w:rsid w:val="71497F2B"/>
    <w:rsid w:val="715855B0"/>
    <w:rsid w:val="715F2A54"/>
    <w:rsid w:val="716B3B46"/>
    <w:rsid w:val="71812240"/>
    <w:rsid w:val="718A7AD1"/>
    <w:rsid w:val="719F1CFE"/>
    <w:rsid w:val="71BB1DB4"/>
    <w:rsid w:val="71C2109C"/>
    <w:rsid w:val="71DE1C6A"/>
    <w:rsid w:val="71F374A0"/>
    <w:rsid w:val="720E058D"/>
    <w:rsid w:val="72135D18"/>
    <w:rsid w:val="72440A0B"/>
    <w:rsid w:val="72477770"/>
    <w:rsid w:val="72506962"/>
    <w:rsid w:val="72542E24"/>
    <w:rsid w:val="72612C67"/>
    <w:rsid w:val="72615C56"/>
    <w:rsid w:val="72775B3E"/>
    <w:rsid w:val="72935EF1"/>
    <w:rsid w:val="72B008FF"/>
    <w:rsid w:val="72BD5C84"/>
    <w:rsid w:val="72CE2C4B"/>
    <w:rsid w:val="72E21C08"/>
    <w:rsid w:val="730E68A8"/>
    <w:rsid w:val="73157825"/>
    <w:rsid w:val="73197352"/>
    <w:rsid w:val="73264BF4"/>
    <w:rsid w:val="734547F2"/>
    <w:rsid w:val="7345778E"/>
    <w:rsid w:val="734C3C0B"/>
    <w:rsid w:val="7367620A"/>
    <w:rsid w:val="736A317D"/>
    <w:rsid w:val="738B7B30"/>
    <w:rsid w:val="739A19AF"/>
    <w:rsid w:val="73C37030"/>
    <w:rsid w:val="73C73074"/>
    <w:rsid w:val="73FF5E4A"/>
    <w:rsid w:val="74055F68"/>
    <w:rsid w:val="74111B6A"/>
    <w:rsid w:val="74406F4C"/>
    <w:rsid w:val="744E214F"/>
    <w:rsid w:val="744F76F3"/>
    <w:rsid w:val="7451296C"/>
    <w:rsid w:val="74532888"/>
    <w:rsid w:val="74617DB0"/>
    <w:rsid w:val="74674561"/>
    <w:rsid w:val="74690541"/>
    <w:rsid w:val="748D2959"/>
    <w:rsid w:val="74924475"/>
    <w:rsid w:val="74E12327"/>
    <w:rsid w:val="74E634D1"/>
    <w:rsid w:val="74F6722B"/>
    <w:rsid w:val="750D447C"/>
    <w:rsid w:val="75137451"/>
    <w:rsid w:val="75183646"/>
    <w:rsid w:val="75381786"/>
    <w:rsid w:val="75476191"/>
    <w:rsid w:val="75527F66"/>
    <w:rsid w:val="75587F21"/>
    <w:rsid w:val="75836119"/>
    <w:rsid w:val="758A26E0"/>
    <w:rsid w:val="759307CC"/>
    <w:rsid w:val="759E15E6"/>
    <w:rsid w:val="75CE78EC"/>
    <w:rsid w:val="75D03AE3"/>
    <w:rsid w:val="75E64C7B"/>
    <w:rsid w:val="75EF2A09"/>
    <w:rsid w:val="75F97C5B"/>
    <w:rsid w:val="760345C3"/>
    <w:rsid w:val="76060C6E"/>
    <w:rsid w:val="761663F2"/>
    <w:rsid w:val="76190A7B"/>
    <w:rsid w:val="76206228"/>
    <w:rsid w:val="76252C9D"/>
    <w:rsid w:val="76291708"/>
    <w:rsid w:val="76342701"/>
    <w:rsid w:val="765D4BF4"/>
    <w:rsid w:val="766308F1"/>
    <w:rsid w:val="766E5603"/>
    <w:rsid w:val="768F7938"/>
    <w:rsid w:val="76AF1D88"/>
    <w:rsid w:val="76D82A0E"/>
    <w:rsid w:val="76E10537"/>
    <w:rsid w:val="76F961D8"/>
    <w:rsid w:val="770A191C"/>
    <w:rsid w:val="771F12CA"/>
    <w:rsid w:val="771F1954"/>
    <w:rsid w:val="77232FAB"/>
    <w:rsid w:val="772734C3"/>
    <w:rsid w:val="77432854"/>
    <w:rsid w:val="77653FF8"/>
    <w:rsid w:val="776E7C31"/>
    <w:rsid w:val="778E6EBB"/>
    <w:rsid w:val="77AE0291"/>
    <w:rsid w:val="77E274F9"/>
    <w:rsid w:val="77E759C4"/>
    <w:rsid w:val="77EA3DB3"/>
    <w:rsid w:val="780B7492"/>
    <w:rsid w:val="784309E8"/>
    <w:rsid w:val="784B7662"/>
    <w:rsid w:val="784E1012"/>
    <w:rsid w:val="786A18B3"/>
    <w:rsid w:val="788A4B76"/>
    <w:rsid w:val="78A40379"/>
    <w:rsid w:val="78A7347A"/>
    <w:rsid w:val="78B27070"/>
    <w:rsid w:val="78B52A49"/>
    <w:rsid w:val="78DB1B97"/>
    <w:rsid w:val="78E24696"/>
    <w:rsid w:val="78F06636"/>
    <w:rsid w:val="79112F30"/>
    <w:rsid w:val="791A4A72"/>
    <w:rsid w:val="79373313"/>
    <w:rsid w:val="79416A5B"/>
    <w:rsid w:val="79974529"/>
    <w:rsid w:val="79D444DC"/>
    <w:rsid w:val="79E33A0B"/>
    <w:rsid w:val="79E6691A"/>
    <w:rsid w:val="79F66972"/>
    <w:rsid w:val="7A1C2CD8"/>
    <w:rsid w:val="7A3348F1"/>
    <w:rsid w:val="7A3B66BC"/>
    <w:rsid w:val="7A3C508E"/>
    <w:rsid w:val="7A597B7D"/>
    <w:rsid w:val="7A601978"/>
    <w:rsid w:val="7A716B3B"/>
    <w:rsid w:val="7A790E77"/>
    <w:rsid w:val="7A7F1A71"/>
    <w:rsid w:val="7A8C2B0C"/>
    <w:rsid w:val="7A9A1C0E"/>
    <w:rsid w:val="7AD17B01"/>
    <w:rsid w:val="7AE96FDF"/>
    <w:rsid w:val="7B03169B"/>
    <w:rsid w:val="7B095F0A"/>
    <w:rsid w:val="7B0A63C2"/>
    <w:rsid w:val="7B0B4BAF"/>
    <w:rsid w:val="7B234AF2"/>
    <w:rsid w:val="7B2B50E4"/>
    <w:rsid w:val="7B38666E"/>
    <w:rsid w:val="7B4F7695"/>
    <w:rsid w:val="7B520EE8"/>
    <w:rsid w:val="7B5962D8"/>
    <w:rsid w:val="7B6273C9"/>
    <w:rsid w:val="7B8370F8"/>
    <w:rsid w:val="7B8D6237"/>
    <w:rsid w:val="7B902673"/>
    <w:rsid w:val="7BCA420F"/>
    <w:rsid w:val="7BCA4241"/>
    <w:rsid w:val="7BD81835"/>
    <w:rsid w:val="7BDE504F"/>
    <w:rsid w:val="7C030E95"/>
    <w:rsid w:val="7C0F530B"/>
    <w:rsid w:val="7C313C93"/>
    <w:rsid w:val="7C421482"/>
    <w:rsid w:val="7C4D42E7"/>
    <w:rsid w:val="7C703A4E"/>
    <w:rsid w:val="7C75312C"/>
    <w:rsid w:val="7C831CEC"/>
    <w:rsid w:val="7CB76D28"/>
    <w:rsid w:val="7D3070BC"/>
    <w:rsid w:val="7D3A7930"/>
    <w:rsid w:val="7D3E3C52"/>
    <w:rsid w:val="7D407519"/>
    <w:rsid w:val="7D6E31ED"/>
    <w:rsid w:val="7D702CBF"/>
    <w:rsid w:val="7D78542B"/>
    <w:rsid w:val="7D8370C8"/>
    <w:rsid w:val="7D8E0719"/>
    <w:rsid w:val="7D900687"/>
    <w:rsid w:val="7DB16953"/>
    <w:rsid w:val="7E00359C"/>
    <w:rsid w:val="7E241E4C"/>
    <w:rsid w:val="7E27019E"/>
    <w:rsid w:val="7E3B25C1"/>
    <w:rsid w:val="7E9D17D1"/>
    <w:rsid w:val="7ECA59B1"/>
    <w:rsid w:val="7F45690F"/>
    <w:rsid w:val="7F5B0210"/>
    <w:rsid w:val="7F695E91"/>
    <w:rsid w:val="7F7F6888"/>
    <w:rsid w:val="7F930498"/>
    <w:rsid w:val="7FEF1E45"/>
    <w:rsid w:val="7FFB74D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qFormat="1"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99"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1046" w:firstLineChars="200"/>
      <w:jc w:val="both"/>
    </w:pPr>
    <w:rPr>
      <w:rFonts w:ascii="Times New Roman" w:hAnsi="Times New Roman" w:eastAsia="宋体" w:cstheme="minorBidi"/>
      <w:kern w:val="2"/>
      <w:sz w:val="24"/>
      <w:szCs w:val="24"/>
      <w:lang w:val="en-US" w:eastAsia="zh-CN" w:bidi="ar-SA"/>
    </w:rPr>
  </w:style>
  <w:style w:type="paragraph" w:styleId="4">
    <w:name w:val="heading 1"/>
    <w:basedOn w:val="1"/>
    <w:next w:val="2"/>
    <w:qFormat/>
    <w:uiPriority w:val="0"/>
    <w:pPr>
      <w:keepNext w:val="0"/>
      <w:keepLines w:val="0"/>
      <w:pageBreakBefore/>
      <w:widowControl w:val="0"/>
      <w:kinsoku w:val="0"/>
      <w:overflowPunct w:val="0"/>
      <w:autoSpaceDE w:val="0"/>
      <w:autoSpaceDN w:val="0"/>
      <w:adjustRightInd/>
      <w:snapToGrid/>
      <w:spacing w:before="0" w:beforeLines="0" w:beforeAutospacing="0" w:after="0" w:afterLines="0" w:afterAutospacing="0" w:line="360" w:lineRule="auto"/>
      <w:ind w:firstLine="0" w:firstLineChars="0"/>
      <w:outlineLvl w:val="0"/>
    </w:pPr>
    <w:rPr>
      <w:rFonts w:ascii="Times New Roman" w:hAnsi="Times New Roman" w:eastAsia="黑体"/>
      <w:kern w:val="44"/>
      <w:sz w:val="30"/>
    </w:rPr>
  </w:style>
  <w:style w:type="paragraph" w:styleId="5">
    <w:name w:val="heading 2"/>
    <w:basedOn w:val="1"/>
    <w:next w:val="1"/>
    <w:link w:val="26"/>
    <w:unhideWhenUsed/>
    <w:qFormat/>
    <w:uiPriority w:val="0"/>
    <w:pPr>
      <w:keepNext w:val="0"/>
      <w:keepLines w:val="0"/>
      <w:kinsoku w:val="0"/>
      <w:overflowPunct w:val="0"/>
      <w:autoSpaceDE w:val="0"/>
      <w:autoSpaceDN w:val="0"/>
      <w:spacing w:beforeLines="0" w:beforeAutospacing="0" w:afterLines="0" w:afterAutospacing="0" w:line="360" w:lineRule="auto"/>
      <w:ind w:firstLine="0" w:firstLineChars="0"/>
      <w:outlineLvl w:val="1"/>
    </w:pPr>
    <w:rPr>
      <w:rFonts w:ascii="Times New Roman" w:hAnsi="Times New Roman" w:eastAsia="黑体"/>
      <w:sz w:val="28"/>
    </w:rPr>
  </w:style>
  <w:style w:type="paragraph" w:styleId="6">
    <w:name w:val="heading 3"/>
    <w:basedOn w:val="1"/>
    <w:next w:val="1"/>
    <w:unhideWhenUsed/>
    <w:qFormat/>
    <w:uiPriority w:val="0"/>
    <w:pPr>
      <w:keepNext w:val="0"/>
      <w:keepLines w:val="0"/>
      <w:kinsoku w:val="0"/>
      <w:overflowPunct w:val="0"/>
      <w:autoSpaceDE w:val="0"/>
      <w:autoSpaceDN w:val="0"/>
      <w:spacing w:beforeLines="0" w:beforeAutospacing="0" w:afterLines="0" w:afterAutospacing="0" w:line="360" w:lineRule="auto"/>
      <w:ind w:firstLine="0" w:firstLineChars="0"/>
      <w:jc w:val="left"/>
      <w:outlineLvl w:val="2"/>
    </w:pPr>
    <w:rPr>
      <w:rFonts w:ascii="Times New Roman" w:hAnsi="Times New Roman" w:eastAsia="黑体"/>
    </w:rPr>
  </w:style>
  <w:style w:type="paragraph" w:styleId="7">
    <w:name w:val="heading 4"/>
    <w:basedOn w:val="1"/>
    <w:next w:val="1"/>
    <w:qFormat/>
    <w:uiPriority w:val="9"/>
    <w:pPr>
      <w:keepNext/>
      <w:keepLines/>
      <w:ind w:firstLine="0" w:firstLineChars="0"/>
      <w:jc w:val="left"/>
      <w:outlineLvl w:val="3"/>
    </w:pPr>
    <w:rPr>
      <w:rFonts w:ascii="Times New Roman" w:hAnsi="Times New Roman"/>
      <w:b/>
      <w:bCs/>
      <w:kern w:val="0"/>
      <w:szCs w:val="28"/>
    </w:rPr>
  </w:style>
  <w:style w:type="character" w:default="1" w:styleId="23">
    <w:name w:val="Default Paragraph Font"/>
    <w:semiHidden/>
    <w:qFormat/>
    <w:uiPriority w:val="0"/>
  </w:style>
  <w:style w:type="table" w:default="1" w:styleId="21">
    <w:name w:val="Normal Table"/>
    <w:semiHidden/>
    <w:qFormat/>
    <w:uiPriority w:val="0"/>
    <w:tblPr>
      <w:tblCellMar>
        <w:top w:w="0" w:type="dxa"/>
        <w:left w:w="108" w:type="dxa"/>
        <w:bottom w:w="0" w:type="dxa"/>
        <w:right w:w="108" w:type="dxa"/>
      </w:tblCellMar>
    </w:tblPr>
  </w:style>
  <w:style w:type="paragraph" w:styleId="2">
    <w:name w:val="Body Text"/>
    <w:basedOn w:val="1"/>
    <w:next w:val="3"/>
    <w:qFormat/>
    <w:uiPriority w:val="0"/>
    <w:pPr>
      <w:spacing w:afterLines="0" w:afterAutospacing="0"/>
    </w:pPr>
    <w:rPr>
      <w:rFonts w:ascii="Times New Roman" w:hAnsi="Times New Roman" w:eastAsia="宋体"/>
    </w:rPr>
  </w:style>
  <w:style w:type="paragraph" w:customStyle="1" w:styleId="3">
    <w:name w:val="xl27"/>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rPr>
  </w:style>
  <w:style w:type="paragraph" w:styleId="8">
    <w:name w:val="annotation text"/>
    <w:basedOn w:val="1"/>
    <w:qFormat/>
    <w:uiPriority w:val="0"/>
    <w:pPr>
      <w:jc w:val="left"/>
    </w:pPr>
  </w:style>
  <w:style w:type="paragraph" w:styleId="9">
    <w:name w:val="index 6"/>
    <w:basedOn w:val="1"/>
    <w:next w:val="1"/>
    <w:qFormat/>
    <w:uiPriority w:val="0"/>
    <w:pPr>
      <w:spacing w:line="360" w:lineRule="auto"/>
      <w:ind w:left="1000" w:leftChars="1000" w:firstLine="456" w:firstLineChars="190"/>
    </w:pPr>
    <w:rPr>
      <w:sz w:val="24"/>
      <w:szCs w:val="20"/>
    </w:rPr>
  </w:style>
  <w:style w:type="paragraph" w:styleId="10">
    <w:name w:val="Body Text Indent"/>
    <w:basedOn w:val="1"/>
    <w:next w:val="11"/>
    <w:qFormat/>
    <w:uiPriority w:val="0"/>
    <w:pPr>
      <w:ind w:left="0" w:leftChars="0"/>
    </w:pPr>
    <w:rPr>
      <w:rFonts w:ascii="Times New Roman" w:hAnsi="Times New Roman" w:eastAsia="宋体"/>
      <w:kern w:val="0"/>
      <w:szCs w:val="20"/>
    </w:rPr>
  </w:style>
  <w:style w:type="paragraph" w:customStyle="1" w:styleId="11">
    <w:name w:val="样式 正文文本缩进 + 行距: 1.5 倍行距"/>
    <w:basedOn w:val="10"/>
    <w:qFormat/>
    <w:uiPriority w:val="0"/>
    <w:pPr>
      <w:ind w:left="90" w:leftChars="32" w:firstLine="560"/>
    </w:pPr>
    <w:rPr>
      <w:rFonts w:cs="宋体"/>
    </w:rPr>
  </w:style>
  <w:style w:type="paragraph" w:styleId="12">
    <w:name w:val="toc 3"/>
    <w:basedOn w:val="1"/>
    <w:next w:val="1"/>
    <w:qFormat/>
    <w:uiPriority w:val="0"/>
    <w:pPr>
      <w:ind w:left="840" w:leftChars="400"/>
    </w:pPr>
  </w:style>
  <w:style w:type="paragraph" w:styleId="13">
    <w:name w:val="Body Text Indent 2"/>
    <w:basedOn w:val="1"/>
    <w:next w:val="1"/>
    <w:qFormat/>
    <w:uiPriority w:val="0"/>
    <w:pPr>
      <w:widowControl w:val="0"/>
      <w:autoSpaceDE/>
      <w:autoSpaceDN/>
      <w:spacing w:before="0" w:after="120" w:line="480" w:lineRule="auto"/>
      <w:ind w:left="4004" w:firstLine="3584"/>
      <w:jc w:val="both"/>
    </w:pPr>
  </w:style>
  <w:style w:type="paragraph" w:styleId="14">
    <w:name w:val="footer"/>
    <w:basedOn w:val="1"/>
    <w:qFormat/>
    <w:uiPriority w:val="0"/>
    <w:pPr>
      <w:tabs>
        <w:tab w:val="center" w:pos="4153"/>
        <w:tab w:val="right" w:pos="8306"/>
      </w:tabs>
      <w:snapToGrid w:val="0"/>
      <w:jc w:val="left"/>
    </w:pPr>
    <w:rPr>
      <w:sz w:val="18"/>
    </w:rPr>
  </w:style>
  <w:style w:type="paragraph" w:styleId="1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6">
    <w:name w:val="toc 1"/>
    <w:basedOn w:val="1"/>
    <w:next w:val="1"/>
    <w:qFormat/>
    <w:uiPriority w:val="0"/>
  </w:style>
  <w:style w:type="paragraph" w:styleId="17">
    <w:name w:val="toc 2"/>
    <w:basedOn w:val="1"/>
    <w:next w:val="1"/>
    <w:qFormat/>
    <w:uiPriority w:val="0"/>
    <w:pPr>
      <w:ind w:left="420" w:leftChars="200"/>
    </w:pPr>
  </w:style>
  <w:style w:type="paragraph" w:styleId="18">
    <w:name w:val="Normal (Web)"/>
    <w:basedOn w:val="1"/>
    <w:qFormat/>
    <w:uiPriority w:val="0"/>
    <w:pPr>
      <w:spacing w:before="0" w:beforeAutospacing="1" w:after="0" w:afterAutospacing="1"/>
      <w:ind w:left="0" w:right="0"/>
      <w:jc w:val="left"/>
    </w:pPr>
    <w:rPr>
      <w:kern w:val="0"/>
      <w:sz w:val="24"/>
      <w:lang w:val="en-US" w:eastAsia="zh-CN" w:bidi="ar"/>
    </w:rPr>
  </w:style>
  <w:style w:type="paragraph" w:styleId="19">
    <w:name w:val="Body Text First Indent"/>
    <w:basedOn w:val="1"/>
    <w:next w:val="1"/>
    <w:qFormat/>
    <w:uiPriority w:val="99"/>
    <w:pPr>
      <w:widowControl w:val="0"/>
      <w:snapToGrid/>
      <w:spacing w:before="0" w:after="120" w:line="240" w:lineRule="auto"/>
      <w:ind w:right="0" w:firstLine="420" w:firstLineChars="100"/>
    </w:pPr>
    <w:rPr>
      <w:kern w:val="2"/>
      <w:sz w:val="21"/>
      <w:szCs w:val="24"/>
    </w:rPr>
  </w:style>
  <w:style w:type="paragraph" w:styleId="20">
    <w:name w:val="Body Text First Indent 2"/>
    <w:basedOn w:val="13"/>
    <w:next w:val="13"/>
    <w:qFormat/>
    <w:uiPriority w:val="0"/>
    <w:pPr>
      <w:ind w:firstLine="420" w:firstLineChars="200"/>
    </w:pPr>
  </w:style>
  <w:style w:type="table" w:styleId="22">
    <w:name w:val="Table Grid"/>
    <w:basedOn w:val="2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0"/>
    <w:rPr>
      <w:b/>
    </w:rPr>
  </w:style>
  <w:style w:type="character" w:styleId="25">
    <w:name w:val="Hyperlink"/>
    <w:basedOn w:val="23"/>
    <w:qFormat/>
    <w:uiPriority w:val="0"/>
    <w:rPr>
      <w:color w:val="0000FF"/>
      <w:u w:val="single"/>
    </w:rPr>
  </w:style>
  <w:style w:type="character" w:customStyle="1" w:styleId="26">
    <w:name w:val="标题 2 Char"/>
    <w:link w:val="5"/>
    <w:qFormat/>
    <w:uiPriority w:val="0"/>
    <w:rPr>
      <w:rFonts w:ascii="Times New Roman" w:hAnsi="Times New Roman" w:eastAsia="黑体"/>
      <w:sz w:val="28"/>
    </w:rPr>
  </w:style>
  <w:style w:type="paragraph" w:customStyle="1" w:styleId="27">
    <w:name w:val="纯文本1"/>
    <w:basedOn w:val="1"/>
    <w:next w:val="1"/>
    <w:qFormat/>
    <w:uiPriority w:val="0"/>
    <w:pPr>
      <w:adjustRightInd w:val="0"/>
      <w:jc w:val="center"/>
      <w:textAlignment w:val="baseline"/>
    </w:pPr>
    <w:rPr>
      <w:rFonts w:ascii="宋体" w:hAnsi="Courier New"/>
      <w:sz w:val="24"/>
      <w:szCs w:val="20"/>
    </w:rPr>
  </w:style>
  <w:style w:type="paragraph" w:customStyle="1" w:styleId="28">
    <w:name w:val="表格"/>
    <w:basedOn w:val="2"/>
    <w:next w:val="1"/>
    <w:link w:val="29"/>
    <w:qFormat/>
    <w:uiPriority w:val="0"/>
    <w:pPr>
      <w:adjustRightInd w:val="0"/>
      <w:snapToGrid w:val="0"/>
      <w:spacing w:beforeLines="0" w:after="0" w:line="360" w:lineRule="exact"/>
      <w:ind w:firstLine="0" w:firstLineChars="0"/>
      <w:jc w:val="center"/>
    </w:pPr>
    <w:rPr>
      <w:rFonts w:hint="eastAsia" w:ascii="Times New Roman" w:hAnsi="Times New Roman" w:eastAsia="宋体"/>
      <w:color w:val="000000"/>
      <w:sz w:val="21"/>
    </w:rPr>
  </w:style>
  <w:style w:type="character" w:customStyle="1" w:styleId="29">
    <w:name w:val="表格 Char"/>
    <w:link w:val="28"/>
    <w:qFormat/>
    <w:uiPriority w:val="0"/>
    <w:rPr>
      <w:rFonts w:hint="eastAsia" w:ascii="Times New Roman" w:hAnsi="Times New Roman" w:eastAsia="宋体"/>
      <w:color w:val="000000"/>
      <w:sz w:val="21"/>
    </w:rPr>
  </w:style>
  <w:style w:type="paragraph" w:customStyle="1" w:styleId="30">
    <w:name w:val="报告文本"/>
    <w:basedOn w:val="1"/>
    <w:qFormat/>
    <w:uiPriority w:val="0"/>
    <w:pPr>
      <w:spacing w:line="360" w:lineRule="auto"/>
      <w:ind w:firstLine="200" w:firstLineChars="200"/>
      <w:jc w:val="left"/>
    </w:pPr>
    <w:rPr>
      <w:sz w:val="24"/>
      <w:szCs w:val="22"/>
    </w:rPr>
  </w:style>
  <w:style w:type="paragraph" w:customStyle="1" w:styleId="31">
    <w:name w:val="表格内容"/>
    <w:basedOn w:val="1"/>
    <w:qFormat/>
    <w:uiPriority w:val="0"/>
    <w:pPr>
      <w:spacing w:line="360" w:lineRule="exact"/>
      <w:ind w:firstLine="0" w:firstLineChars="0"/>
      <w:jc w:val="center"/>
    </w:pPr>
    <w:rPr>
      <w:rFonts w:ascii="Times New Roman" w:hAnsi="Times New Roman" w:eastAsia="宋体"/>
      <w:sz w:val="21"/>
    </w:rPr>
  </w:style>
  <w:style w:type="paragraph" w:customStyle="1" w:styleId="32">
    <w:name w:val="表头"/>
    <w:basedOn w:val="28"/>
    <w:next w:val="28"/>
    <w:qFormat/>
    <w:uiPriority w:val="0"/>
    <w:pPr>
      <w:spacing w:after="0" w:afterAutospacing="0" w:line="360" w:lineRule="auto"/>
    </w:pPr>
    <w:rPr>
      <w:rFonts w:cs="Times New Roman"/>
      <w:bCs/>
      <w:color w:val="auto"/>
      <w:sz w:val="24"/>
      <w:u w:val="none"/>
    </w:rPr>
  </w:style>
  <w:style w:type="paragraph" w:customStyle="1" w:styleId="33">
    <w:name w:val="表格文字"/>
    <w:basedOn w:val="19"/>
    <w:next w:val="1"/>
    <w:qFormat/>
    <w:uiPriority w:val="0"/>
    <w:pPr>
      <w:adjustRightInd w:val="0"/>
      <w:snapToGrid w:val="0"/>
      <w:spacing w:after="0" w:line="300" w:lineRule="exact"/>
      <w:ind w:firstLine="0" w:firstLineChars="0"/>
      <w:jc w:val="center"/>
    </w:pPr>
    <w:rPr>
      <w:rFonts w:ascii="Times New Roman" w:hAnsi="Times New Roman" w:eastAsia="宋体"/>
    </w:rPr>
  </w:style>
  <w:style w:type="paragraph" w:customStyle="1" w:styleId="34">
    <w:name w:val="表格内格式"/>
    <w:basedOn w:val="1"/>
    <w:next w:val="1"/>
    <w:qFormat/>
    <w:uiPriority w:val="0"/>
    <w:pPr>
      <w:widowControl/>
      <w:adjustRightInd w:val="0"/>
      <w:snapToGrid w:val="0"/>
      <w:spacing w:line="240" w:lineRule="auto"/>
      <w:ind w:firstLine="0" w:firstLineChars="0"/>
      <w:jc w:val="center"/>
    </w:pPr>
    <w:rPr>
      <w:rFonts w:ascii="Calibri" w:hAnsi="Calibri" w:cs="Times New Roman"/>
      <w:sz w:val="21"/>
      <w:szCs w:val="21"/>
    </w:rPr>
  </w:style>
  <w:style w:type="character" w:customStyle="1" w:styleId="35">
    <w:name w:val="font21"/>
    <w:basedOn w:val="23"/>
    <w:qFormat/>
    <w:uiPriority w:val="0"/>
    <w:rPr>
      <w:rFonts w:hint="eastAsia" w:ascii="宋体" w:hAnsi="宋体" w:eastAsia="宋体" w:cs="宋体"/>
      <w:color w:val="000000"/>
      <w:sz w:val="21"/>
      <w:szCs w:val="21"/>
      <w:u w:val="none"/>
    </w:rPr>
  </w:style>
  <w:style w:type="character" w:customStyle="1" w:styleId="36">
    <w:name w:val="font01"/>
    <w:basedOn w:val="23"/>
    <w:qFormat/>
    <w:uiPriority w:val="0"/>
    <w:rPr>
      <w:rFonts w:hint="default" w:ascii="Times New Roman" w:hAnsi="Times New Roman" w:cs="Times New Roman"/>
      <w:color w:val="000000"/>
      <w:sz w:val="21"/>
      <w:szCs w:val="21"/>
      <w:u w:val="none"/>
    </w:rPr>
  </w:style>
  <w:style w:type="character" w:customStyle="1" w:styleId="37">
    <w:name w:val="font31"/>
    <w:basedOn w:val="23"/>
    <w:qFormat/>
    <w:uiPriority w:val="0"/>
    <w:rPr>
      <w:rFonts w:hint="default" w:ascii="Times New Roman" w:hAnsi="Times New Roman" w:cs="Times New Roman"/>
      <w:color w:val="000000"/>
      <w:sz w:val="21"/>
      <w:szCs w:val="21"/>
      <w:u w:val="none"/>
      <w:vertAlign w:val="superscript"/>
    </w:rPr>
  </w:style>
  <w:style w:type="character" w:customStyle="1" w:styleId="38">
    <w:name w:val="font11"/>
    <w:basedOn w:val="23"/>
    <w:qFormat/>
    <w:uiPriority w:val="0"/>
    <w:rPr>
      <w:rFonts w:hint="default" w:ascii="Times New Roman" w:hAnsi="Times New Roman" w:cs="Times New Roman"/>
      <w:color w:val="000000"/>
      <w:sz w:val="21"/>
      <w:szCs w:val="21"/>
      <w:u w:val="none"/>
    </w:rPr>
  </w:style>
  <w:style w:type="character" w:customStyle="1" w:styleId="39">
    <w:name w:val="font41"/>
    <w:basedOn w:val="23"/>
    <w:qFormat/>
    <w:uiPriority w:val="0"/>
    <w:rPr>
      <w:rFonts w:hint="eastAsia" w:ascii="宋体" w:hAnsi="宋体" w:eastAsia="宋体" w:cs="宋体"/>
      <w:color w:val="000000"/>
      <w:sz w:val="21"/>
      <w:szCs w:val="21"/>
      <w:u w:val="none"/>
    </w:rPr>
  </w:style>
</w:styles>
</file>

<file path=word/_rels/document.xml.rels><?xml version="1.0" encoding="UTF-8" standalone="yes"?>
<Relationships xmlns="http://schemas.openxmlformats.org/package/2006/relationships"><Relationship Id="rId99" Type="http://schemas.openxmlformats.org/officeDocument/2006/relationships/numbering" Target="numbering.xml"/><Relationship Id="rId98" Type="http://schemas.openxmlformats.org/officeDocument/2006/relationships/customXml" Target="../customXml/item1.xml"/><Relationship Id="rId97" Type="http://schemas.openxmlformats.org/officeDocument/2006/relationships/image" Target="media/image83.jpeg"/><Relationship Id="rId96" Type="http://schemas.openxmlformats.org/officeDocument/2006/relationships/image" Target="media/image82.jpeg"/><Relationship Id="rId95" Type="http://schemas.openxmlformats.org/officeDocument/2006/relationships/image" Target="media/image81.jpeg"/><Relationship Id="rId94" Type="http://schemas.openxmlformats.org/officeDocument/2006/relationships/image" Target="media/image80.jpeg"/><Relationship Id="rId93" Type="http://schemas.openxmlformats.org/officeDocument/2006/relationships/image" Target="media/image79.jpeg"/><Relationship Id="rId92" Type="http://schemas.openxmlformats.org/officeDocument/2006/relationships/image" Target="media/image78.jpeg"/><Relationship Id="rId91" Type="http://schemas.openxmlformats.org/officeDocument/2006/relationships/image" Target="media/image77.jpeg"/><Relationship Id="rId90" Type="http://schemas.openxmlformats.org/officeDocument/2006/relationships/image" Target="media/image76.jpeg"/><Relationship Id="rId9" Type="http://schemas.openxmlformats.org/officeDocument/2006/relationships/image" Target="media/image3.png"/><Relationship Id="rId89" Type="http://schemas.openxmlformats.org/officeDocument/2006/relationships/image" Target="media/image75.jpeg"/><Relationship Id="rId88" Type="http://schemas.openxmlformats.org/officeDocument/2006/relationships/image" Target="media/image74.jpeg"/><Relationship Id="rId87" Type="http://schemas.openxmlformats.org/officeDocument/2006/relationships/image" Target="media/image73.jpeg"/><Relationship Id="rId86" Type="http://schemas.openxmlformats.org/officeDocument/2006/relationships/image" Target="media/image72.jpeg"/><Relationship Id="rId85" Type="http://schemas.openxmlformats.org/officeDocument/2006/relationships/image" Target="media/image71.png"/><Relationship Id="rId84" Type="http://schemas.openxmlformats.org/officeDocument/2006/relationships/image" Target="media/image70.png"/><Relationship Id="rId83" Type="http://schemas.openxmlformats.org/officeDocument/2006/relationships/image" Target="media/image69.png"/><Relationship Id="rId82" Type="http://schemas.openxmlformats.org/officeDocument/2006/relationships/image" Target="media/image68.jpeg"/><Relationship Id="rId81" Type="http://schemas.openxmlformats.org/officeDocument/2006/relationships/image" Target="media/image67.jpeg"/><Relationship Id="rId80" Type="http://schemas.openxmlformats.org/officeDocument/2006/relationships/image" Target="media/image66.png"/><Relationship Id="rId8" Type="http://schemas.openxmlformats.org/officeDocument/2006/relationships/image" Target="media/image2.jpeg"/><Relationship Id="rId79" Type="http://schemas.openxmlformats.org/officeDocument/2006/relationships/image" Target="media/image65.png"/><Relationship Id="rId78" Type="http://schemas.openxmlformats.org/officeDocument/2006/relationships/image" Target="media/image64.png"/><Relationship Id="rId77" Type="http://schemas.openxmlformats.org/officeDocument/2006/relationships/image" Target="media/image63.png"/><Relationship Id="rId76" Type="http://schemas.openxmlformats.org/officeDocument/2006/relationships/image" Target="media/image62.jpeg"/><Relationship Id="rId75" Type="http://schemas.openxmlformats.org/officeDocument/2006/relationships/image" Target="media/image61.jpeg"/><Relationship Id="rId74" Type="http://schemas.openxmlformats.org/officeDocument/2006/relationships/image" Target="media/image60.jpeg"/><Relationship Id="rId73" Type="http://schemas.openxmlformats.org/officeDocument/2006/relationships/image" Target="media/image59.jpeg"/><Relationship Id="rId72" Type="http://schemas.openxmlformats.org/officeDocument/2006/relationships/image" Target="media/image58.jpeg"/><Relationship Id="rId71" Type="http://schemas.openxmlformats.org/officeDocument/2006/relationships/image" Target="media/image57.png"/><Relationship Id="rId70" Type="http://schemas.openxmlformats.org/officeDocument/2006/relationships/image" Target="media/image56.png"/><Relationship Id="rId7" Type="http://schemas.openxmlformats.org/officeDocument/2006/relationships/image" Target="media/image1.jpeg"/><Relationship Id="rId69" Type="http://schemas.openxmlformats.org/officeDocument/2006/relationships/image" Target="media/image55.png"/><Relationship Id="rId68" Type="http://schemas.openxmlformats.org/officeDocument/2006/relationships/image" Target="media/image54.jpeg"/><Relationship Id="rId67" Type="http://schemas.openxmlformats.org/officeDocument/2006/relationships/image" Target="media/image53.jpeg"/><Relationship Id="rId66" Type="http://schemas.openxmlformats.org/officeDocument/2006/relationships/image" Target="media/image52.jpeg"/><Relationship Id="rId65" Type="http://schemas.openxmlformats.org/officeDocument/2006/relationships/image" Target="media/image51.jpeg"/><Relationship Id="rId64" Type="http://schemas.openxmlformats.org/officeDocument/2006/relationships/image" Target="media/image50.jpeg"/><Relationship Id="rId63" Type="http://schemas.openxmlformats.org/officeDocument/2006/relationships/image" Target="media/image49.png"/><Relationship Id="rId62" Type="http://schemas.openxmlformats.org/officeDocument/2006/relationships/image" Target="media/image48.png"/><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theme" Target="theme/theme1.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footer" Target="footer1.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jpeg"/><Relationship Id="rId46" Type="http://schemas.openxmlformats.org/officeDocument/2006/relationships/image" Target="media/image32.jpe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jpe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header" Target="header2.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wmf"/><Relationship Id="rId31" Type="http://schemas.openxmlformats.org/officeDocument/2006/relationships/oleObject" Target="embeddings/oleObject8.bin"/><Relationship Id="rId30" Type="http://schemas.openxmlformats.org/officeDocument/2006/relationships/image" Target="media/image17.wmf"/><Relationship Id="rId3" Type="http://schemas.openxmlformats.org/officeDocument/2006/relationships/header" Target="header1.xml"/><Relationship Id="rId29" Type="http://schemas.openxmlformats.org/officeDocument/2006/relationships/oleObject" Target="embeddings/oleObject7.bin"/><Relationship Id="rId28" Type="http://schemas.openxmlformats.org/officeDocument/2006/relationships/image" Target="media/image16.wmf"/><Relationship Id="rId27" Type="http://schemas.openxmlformats.org/officeDocument/2006/relationships/oleObject" Target="embeddings/oleObject6.bin"/><Relationship Id="rId26" Type="http://schemas.openxmlformats.org/officeDocument/2006/relationships/image" Target="media/image15.wmf"/><Relationship Id="rId25" Type="http://schemas.openxmlformats.org/officeDocument/2006/relationships/oleObject" Target="embeddings/oleObject5.bin"/><Relationship Id="rId24" Type="http://schemas.openxmlformats.org/officeDocument/2006/relationships/image" Target="media/image14.png"/><Relationship Id="rId23" Type="http://schemas.openxmlformats.org/officeDocument/2006/relationships/image" Target="media/image13.wmf"/><Relationship Id="rId22" Type="http://schemas.openxmlformats.org/officeDocument/2006/relationships/oleObject" Target="embeddings/oleObject4.bin"/><Relationship Id="rId21" Type="http://schemas.openxmlformats.org/officeDocument/2006/relationships/image" Target="media/image12.emf"/><Relationship Id="rId20" Type="http://schemas.openxmlformats.org/officeDocument/2006/relationships/oleObject" Target="embeddings/oleObject3.bin"/><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emf"/><Relationship Id="rId16" Type="http://schemas.openxmlformats.org/officeDocument/2006/relationships/oleObject" Target="embeddings/oleObject2.bin"/><Relationship Id="rId15" Type="http://schemas.openxmlformats.org/officeDocument/2006/relationships/image" Target="media/image8.emf"/><Relationship Id="rId14" Type="http://schemas.openxmlformats.org/officeDocument/2006/relationships/oleObject" Target="embeddings/oleObject1.bin"/><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jpeg"/><Relationship Id="rId100" Type="http://schemas.openxmlformats.org/officeDocument/2006/relationships/fontTable" Target="fontTable.xml"/><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143</Pages>
  <Words>56247</Words>
  <Characters>65923</Characters>
  <Lines>0</Lines>
  <Paragraphs>0</Paragraphs>
  <TotalTime>28</TotalTime>
  <ScaleCrop>false</ScaleCrop>
  <LinksUpToDate>false</LinksUpToDate>
  <CharactersWithSpaces>66439</CharactersWithSpaces>
  <Application>WPS Office_11.8.6.8810_F1E327BC-269C-435d-A152-05C5408002CA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2021-03-22T00:31:00Z</dcterms:created>
  <dc:creator>中嘉泰禾</dc:creator>
  <cp:lastModifiedBy>钟雷</cp:lastModifiedBy>
  <dcterms:modified xsi:type="dcterms:W3CDTF">2022-08-03T03:03:59Z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2052-11.8.6.8810</vt:lpwstr>
  </property>
  <property fmtid="{D5CDD505-2E9C-101B-9397-08002B2CF9AE}" pid="3" name="ICV">
    <vt:lpwstr>1A40D7EDCF2D4F27BB0A595EE596BE3A</vt:lpwstr>
  </property>
</Properties>
</file>