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480" w:lineRule="auto"/>
        <w:rPr>
          <w:rFonts w:hint="eastAsia" w:eastAsia="楷体_GB2312"/>
          <w:b/>
          <w:sz w:val="36"/>
          <w:szCs w:val="36"/>
        </w:rPr>
      </w:pPr>
      <w:bookmarkStart w:id="0" w:name="_Toc451526477"/>
      <w:bookmarkStart w:id="1" w:name="_Toc450121029"/>
    </w:p>
    <w:p>
      <w:pPr>
        <w:spacing w:line="480" w:lineRule="auto"/>
        <w:jc w:val="center"/>
        <w:rPr>
          <w:rFonts w:hint="default" w:eastAsia="楷体_GB2312"/>
          <w:b/>
          <w:sz w:val="36"/>
          <w:szCs w:val="36"/>
          <w:lang w:val="en-US" w:eastAsia="zh-CN"/>
        </w:rPr>
      </w:pPr>
      <w:r>
        <w:rPr>
          <w:rFonts w:hint="eastAsia" w:eastAsia="楷体_GB2312"/>
          <w:b/>
          <w:sz w:val="36"/>
          <w:szCs w:val="36"/>
        </w:rPr>
        <w:t>湘阴县</w:t>
      </w:r>
      <w:r>
        <w:rPr>
          <w:rFonts w:hint="eastAsia" w:eastAsia="楷体_GB2312"/>
          <w:b/>
          <w:sz w:val="36"/>
          <w:szCs w:val="36"/>
          <w:lang w:eastAsia="zh-CN"/>
        </w:rPr>
        <w:t>石塘镇</w:t>
      </w:r>
      <w:r>
        <w:rPr>
          <w:rFonts w:hint="eastAsia" w:eastAsia="楷体_GB2312"/>
          <w:b/>
          <w:sz w:val="36"/>
          <w:szCs w:val="36"/>
          <w:lang w:val="en-US" w:eastAsia="zh-CN"/>
        </w:rPr>
        <w:t>长仑水厂</w:t>
      </w:r>
    </w:p>
    <w:p>
      <w:pPr>
        <w:spacing w:line="480" w:lineRule="auto"/>
        <w:jc w:val="center"/>
        <w:rPr>
          <w:rFonts w:hint="eastAsia" w:eastAsia="楷体_GB2312"/>
          <w:b/>
          <w:sz w:val="36"/>
          <w:szCs w:val="36"/>
        </w:rPr>
      </w:pPr>
      <w:r>
        <w:rPr>
          <w:rFonts w:hint="eastAsia" w:eastAsia="楷体_GB2312"/>
          <w:b/>
          <w:sz w:val="36"/>
          <w:szCs w:val="36"/>
          <w:lang w:eastAsia="zh-CN"/>
        </w:rPr>
        <w:t>地下水</w:t>
      </w:r>
      <w:r>
        <w:rPr>
          <w:rFonts w:hint="eastAsia" w:eastAsia="楷体_GB2312"/>
          <w:b/>
          <w:sz w:val="36"/>
          <w:szCs w:val="36"/>
        </w:rPr>
        <w:t>饮用</w:t>
      </w:r>
      <w:r>
        <w:rPr>
          <w:rFonts w:hint="eastAsia" w:eastAsia="楷体_GB2312"/>
          <w:b/>
          <w:sz w:val="36"/>
          <w:szCs w:val="36"/>
          <w:lang w:val="en-US" w:eastAsia="zh-CN"/>
        </w:rPr>
        <w:t>水</w:t>
      </w:r>
      <w:r>
        <w:rPr>
          <w:rFonts w:hint="eastAsia" w:eastAsia="楷体_GB2312"/>
          <w:b/>
          <w:sz w:val="36"/>
          <w:szCs w:val="36"/>
        </w:rPr>
        <w:t>源保护区划分项目</w:t>
      </w:r>
    </w:p>
    <w:p>
      <w:pPr>
        <w:spacing w:line="480" w:lineRule="auto"/>
        <w:jc w:val="center"/>
        <w:rPr>
          <w:rFonts w:hint="eastAsia" w:eastAsia="楷体_GB2312"/>
          <w:b/>
          <w:sz w:val="36"/>
          <w:szCs w:val="36"/>
        </w:rPr>
      </w:pPr>
    </w:p>
    <w:p>
      <w:pPr>
        <w:spacing w:line="480" w:lineRule="auto"/>
        <w:jc w:val="center"/>
        <w:rPr>
          <w:rFonts w:hint="eastAsia" w:eastAsia="楷体_GB2312"/>
          <w:b/>
          <w:sz w:val="36"/>
          <w:szCs w:val="36"/>
        </w:rPr>
      </w:pPr>
    </w:p>
    <w:p>
      <w:pPr>
        <w:spacing w:line="480" w:lineRule="auto"/>
        <w:jc w:val="center"/>
        <w:rPr>
          <w:rFonts w:hint="eastAsia" w:eastAsia="楷体_GB2312"/>
          <w:b/>
          <w:sz w:val="36"/>
          <w:szCs w:val="36"/>
        </w:rPr>
      </w:pPr>
    </w:p>
    <w:p>
      <w:pPr>
        <w:adjustRightInd w:val="0"/>
        <w:spacing w:line="360" w:lineRule="auto"/>
        <w:rPr>
          <w:szCs w:val="20"/>
        </w:rPr>
      </w:pPr>
    </w:p>
    <w:p>
      <w:pPr>
        <w:spacing w:line="480" w:lineRule="auto"/>
        <w:jc w:val="center"/>
        <w:rPr>
          <w:rFonts w:eastAsia="黑体"/>
          <w:b/>
          <w:sz w:val="44"/>
          <w:szCs w:val="44"/>
        </w:rPr>
      </w:pPr>
      <w:r>
        <w:rPr>
          <w:rFonts w:hint="eastAsia" w:eastAsia="黑体"/>
          <w:b/>
          <w:sz w:val="44"/>
          <w:szCs w:val="44"/>
        </w:rPr>
        <w:t>技</w:t>
      </w:r>
    </w:p>
    <w:p>
      <w:pPr>
        <w:spacing w:line="480" w:lineRule="auto"/>
        <w:jc w:val="center"/>
        <w:rPr>
          <w:rFonts w:eastAsia="黑体"/>
          <w:b/>
          <w:sz w:val="44"/>
          <w:szCs w:val="44"/>
        </w:rPr>
      </w:pPr>
    </w:p>
    <w:p>
      <w:pPr>
        <w:spacing w:line="480" w:lineRule="auto"/>
        <w:jc w:val="center"/>
        <w:rPr>
          <w:rFonts w:eastAsia="黑体"/>
          <w:b/>
          <w:sz w:val="44"/>
          <w:szCs w:val="44"/>
        </w:rPr>
      </w:pPr>
      <w:r>
        <w:rPr>
          <w:rFonts w:hint="eastAsia" w:eastAsia="黑体"/>
          <w:b/>
          <w:sz w:val="44"/>
          <w:szCs w:val="44"/>
        </w:rPr>
        <w:t>术</w:t>
      </w:r>
    </w:p>
    <w:p>
      <w:pPr>
        <w:spacing w:line="480" w:lineRule="auto"/>
        <w:jc w:val="center"/>
        <w:rPr>
          <w:rFonts w:eastAsia="黑体"/>
          <w:b/>
          <w:sz w:val="44"/>
          <w:szCs w:val="44"/>
        </w:rPr>
      </w:pPr>
    </w:p>
    <w:p>
      <w:pPr>
        <w:spacing w:line="480" w:lineRule="auto"/>
        <w:jc w:val="center"/>
        <w:rPr>
          <w:rFonts w:eastAsia="黑体"/>
          <w:b/>
          <w:sz w:val="44"/>
          <w:szCs w:val="44"/>
        </w:rPr>
      </w:pPr>
      <w:r>
        <w:rPr>
          <w:rFonts w:hint="eastAsia" w:eastAsia="黑体"/>
          <w:b/>
          <w:sz w:val="44"/>
          <w:szCs w:val="44"/>
        </w:rPr>
        <w:t>报</w:t>
      </w:r>
    </w:p>
    <w:p>
      <w:pPr>
        <w:spacing w:line="480" w:lineRule="auto"/>
        <w:jc w:val="center"/>
        <w:rPr>
          <w:rFonts w:eastAsia="黑体"/>
          <w:b/>
          <w:sz w:val="44"/>
          <w:szCs w:val="44"/>
        </w:rPr>
      </w:pPr>
    </w:p>
    <w:p>
      <w:pPr>
        <w:spacing w:line="480" w:lineRule="auto"/>
        <w:jc w:val="center"/>
        <w:rPr>
          <w:rFonts w:eastAsia="黑体"/>
          <w:b/>
          <w:sz w:val="44"/>
          <w:szCs w:val="44"/>
        </w:rPr>
      </w:pPr>
      <w:r>
        <w:rPr>
          <w:rFonts w:hint="eastAsia" w:eastAsia="黑体"/>
          <w:b/>
          <w:sz w:val="44"/>
          <w:szCs w:val="44"/>
        </w:rPr>
        <w:t>告</w:t>
      </w:r>
    </w:p>
    <w:p>
      <w:pPr>
        <w:spacing w:line="480" w:lineRule="auto"/>
        <w:jc w:val="center"/>
        <w:rPr>
          <w:rFonts w:eastAsia="黑体"/>
          <w:b/>
          <w:sz w:val="44"/>
          <w:szCs w:val="44"/>
        </w:rPr>
      </w:pPr>
    </w:p>
    <w:p>
      <w:pPr>
        <w:spacing w:line="480" w:lineRule="auto"/>
        <w:jc w:val="center"/>
        <w:rPr>
          <w:rFonts w:hint="eastAsia" w:eastAsia="黑体"/>
          <w:b/>
          <w:sz w:val="44"/>
          <w:szCs w:val="44"/>
        </w:rPr>
      </w:pPr>
    </w:p>
    <w:p>
      <w:pPr>
        <w:spacing w:line="480" w:lineRule="auto"/>
        <w:jc w:val="center"/>
        <w:rPr>
          <w:rFonts w:eastAsia="黑体"/>
          <w:b/>
          <w:sz w:val="44"/>
          <w:szCs w:val="44"/>
        </w:rPr>
      </w:pPr>
    </w:p>
    <w:p>
      <w:pPr>
        <w:keepNext w:val="0"/>
        <w:keepLines w:val="0"/>
        <w:pageBreakBefore w:val="0"/>
        <w:widowControl w:val="0"/>
        <w:kinsoku/>
        <w:wordWrap/>
        <w:overflowPunct/>
        <w:topLinePunct w:val="0"/>
        <w:autoSpaceDE/>
        <w:autoSpaceDN/>
        <w:bidi w:val="0"/>
        <w:adjustRightInd/>
        <w:snapToGrid/>
        <w:spacing w:after="160" w:afterLines="50" w:line="480" w:lineRule="auto"/>
        <w:jc w:val="center"/>
        <w:textAlignment w:val="auto"/>
        <w:rPr>
          <w:rFonts w:eastAsia="楷体_GB2312"/>
          <w:b/>
          <w:bCs/>
          <w:sz w:val="32"/>
          <w:szCs w:val="32"/>
        </w:rPr>
      </w:pPr>
      <w:r>
        <w:rPr>
          <w:rFonts w:hint="eastAsia" w:eastAsia="楷体_GB2312"/>
          <w:b/>
          <w:bCs/>
          <w:sz w:val="32"/>
          <w:szCs w:val="32"/>
        </w:rPr>
        <w:t>项目实施单位：湘阴县人民政府</w:t>
      </w:r>
    </w:p>
    <w:p>
      <w:pPr>
        <w:keepNext w:val="0"/>
        <w:keepLines w:val="0"/>
        <w:pageBreakBefore w:val="0"/>
        <w:widowControl w:val="0"/>
        <w:kinsoku/>
        <w:wordWrap/>
        <w:overflowPunct/>
        <w:topLinePunct w:val="0"/>
        <w:autoSpaceDE/>
        <w:autoSpaceDN/>
        <w:bidi w:val="0"/>
        <w:adjustRightInd/>
        <w:snapToGrid/>
        <w:spacing w:after="160" w:afterLines="50" w:line="480" w:lineRule="auto"/>
        <w:jc w:val="center"/>
        <w:textAlignment w:val="auto"/>
        <w:rPr>
          <w:rFonts w:eastAsia="楷体_GB2312"/>
          <w:b/>
          <w:bCs/>
          <w:sz w:val="32"/>
          <w:szCs w:val="32"/>
        </w:rPr>
      </w:pPr>
      <w:r>
        <w:rPr>
          <w:rFonts w:hint="eastAsia" w:eastAsia="楷体_GB2312"/>
          <w:b/>
          <w:bCs/>
          <w:sz w:val="32"/>
          <w:szCs w:val="32"/>
        </w:rPr>
        <w:t>编制单位：湖南润美环保科技有限公司</w:t>
      </w:r>
    </w:p>
    <w:p>
      <w:pPr>
        <w:keepNext w:val="0"/>
        <w:keepLines w:val="0"/>
        <w:pageBreakBefore w:val="0"/>
        <w:widowControl w:val="0"/>
        <w:kinsoku/>
        <w:wordWrap/>
        <w:overflowPunct/>
        <w:topLinePunct w:val="0"/>
        <w:autoSpaceDE/>
        <w:autoSpaceDN/>
        <w:bidi w:val="0"/>
        <w:adjustRightInd/>
        <w:snapToGrid/>
        <w:spacing w:after="160" w:afterLines="50" w:line="480" w:lineRule="auto"/>
        <w:jc w:val="center"/>
        <w:textAlignment w:val="auto"/>
        <w:rPr>
          <w:rFonts w:eastAsia="楷体_GB2312"/>
          <w:b/>
          <w:sz w:val="30"/>
          <w:szCs w:val="30"/>
        </w:rPr>
      </w:pPr>
      <w:r>
        <w:rPr>
          <w:rFonts w:hint="eastAsia" w:eastAsia="楷体_GB2312"/>
          <w:b/>
          <w:sz w:val="30"/>
          <w:szCs w:val="30"/>
        </w:rPr>
        <w:t>二</w:t>
      </w:r>
      <w:r>
        <w:rPr>
          <w:rFonts w:eastAsia="楷体_GB2312"/>
          <w:b/>
          <w:sz w:val="30"/>
          <w:szCs w:val="30"/>
        </w:rPr>
        <w:t>O</w:t>
      </w:r>
      <w:r>
        <w:rPr>
          <w:rFonts w:hint="eastAsia" w:eastAsia="楷体_GB2312"/>
          <w:b/>
          <w:sz w:val="30"/>
          <w:szCs w:val="30"/>
        </w:rPr>
        <w:t>一</w:t>
      </w:r>
      <w:r>
        <w:rPr>
          <w:rFonts w:hint="eastAsia" w:eastAsia="楷体_GB2312"/>
          <w:b/>
          <w:sz w:val="30"/>
          <w:szCs w:val="30"/>
          <w:lang w:val="en-US" w:eastAsia="zh-CN"/>
        </w:rPr>
        <w:t>九</w:t>
      </w:r>
      <w:r>
        <w:rPr>
          <w:rFonts w:hint="eastAsia" w:eastAsia="楷体_GB2312"/>
          <w:b/>
          <w:sz w:val="30"/>
          <w:szCs w:val="30"/>
        </w:rPr>
        <w:t>年</w:t>
      </w:r>
      <w:r>
        <w:rPr>
          <w:rFonts w:hint="eastAsia" w:eastAsia="楷体_GB2312"/>
          <w:b/>
          <w:sz w:val="30"/>
          <w:szCs w:val="30"/>
          <w:lang w:val="en-US" w:eastAsia="zh-CN"/>
        </w:rPr>
        <w:t>九</w:t>
      </w:r>
      <w:r>
        <w:rPr>
          <w:rFonts w:hint="eastAsia" w:eastAsia="楷体_GB2312"/>
          <w:b/>
          <w:sz w:val="30"/>
          <w:szCs w:val="30"/>
        </w:rPr>
        <w:t>月</w:t>
      </w:r>
    </w:p>
    <w:p>
      <w:pPr>
        <w:pStyle w:val="14"/>
        <w:tabs>
          <w:tab w:val="right" w:leader="dot" w:pos="8306"/>
        </w:tabs>
        <w:jc w:val="center"/>
      </w:pPr>
    </w:p>
    <w:p>
      <w:pPr>
        <w:jc w:val="center"/>
        <w:sectPr>
          <w:footerReference r:id="rId3" w:type="default"/>
          <w:pgSz w:w="11905" w:h="16838"/>
          <w:pgMar w:top="1134" w:right="1417" w:bottom="1134" w:left="1417" w:header="850" w:footer="992" w:gutter="0"/>
          <w:paperSrc/>
          <w:pgBorders>
            <w:top w:val="none" w:sz="0" w:space="0"/>
            <w:left w:val="none" w:sz="0" w:space="0"/>
            <w:bottom w:val="none" w:sz="0" w:space="0"/>
            <w:right w:val="none" w:sz="0" w:space="0"/>
          </w:pgBorders>
          <w:pgNumType w:start="1"/>
          <w:cols w:space="0" w:num="1"/>
          <w:rtlGutter w:val="0"/>
          <w:docGrid w:type="lines" w:linePitch="317" w:charSpace="0"/>
        </w:sectPr>
      </w:pPr>
    </w:p>
    <w:p>
      <w:pPr>
        <w:pStyle w:val="14"/>
        <w:tabs>
          <w:tab w:val="right" w:leader="dot" w:pos="8306"/>
        </w:tabs>
        <w:jc w:val="center"/>
        <w:rPr>
          <w:b/>
          <w:bCs/>
          <w:sz w:val="32"/>
          <w:szCs w:val="32"/>
        </w:rPr>
      </w:pPr>
      <w:r>
        <w:rPr>
          <w:rFonts w:hint="eastAsia"/>
          <w:b/>
          <w:bCs/>
          <w:sz w:val="32"/>
          <w:szCs w:val="32"/>
        </w:rPr>
        <w:t>目   录</w:t>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lang w:bidi="ar"/>
        </w:rPr>
        <w:fldChar w:fldCharType="begin"/>
      </w:r>
      <w:r>
        <w:rPr>
          <w:lang w:bidi="ar"/>
        </w:rPr>
        <w:instrText xml:space="preserve">TOC \o "1-3" \h \u </w:instrText>
      </w:r>
      <w:r>
        <w:rPr>
          <w:lang w:bidi="ar"/>
        </w:rPr>
        <w:fldChar w:fldCharType="separate"/>
      </w: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_Toc6419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第一章 总论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_Toc6419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_Toc28100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rPr>
        <w:t>1.1 工作背景与意义</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_Toc28100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_Toc19504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1.2划定依据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_Toc19504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_Toc16354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1.2.1 相关法律法规、规章</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_Toc16354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_Toc2716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highlight w:val="none"/>
        </w:rPr>
        <w:t>1.2.2技术标准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_Toc2716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_Toc235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1.2.3 相关文件、规划资料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_Toc235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_Toc699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1.3 区划原则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_Toc699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_Toc22153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1.4. 区划范围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_Toc22153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_Toc30993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1.5 工作过程与总体成果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_Toc30993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_Toc31373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1.5.1技术路线</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_Toc31373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_Toc12815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1.5.2工作内容</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_Toc12815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_Toc12829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第二章 饮用水水源保护区背景分析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_Toc12829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_Toc28388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2.1自然状况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_Toc28388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_Toc12200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2.1.1地理位置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_Toc12200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_Toc15939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2.1.2地形地貌</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_Toc15939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_Toc15656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2.1.3地质条件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_Toc15656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_Toc10246 </w:instrText>
      </w:r>
      <w:r>
        <w:rPr>
          <w:rFonts w:hint="eastAsia" w:ascii="宋体" w:hAnsi="宋体" w:eastAsia="宋体" w:cs="宋体"/>
          <w:sz w:val="24"/>
          <w:szCs w:val="24"/>
          <w:lang w:bidi="ar"/>
        </w:rPr>
        <w:fldChar w:fldCharType="separate"/>
      </w:r>
      <w:r>
        <w:rPr>
          <w:rFonts w:hint="eastAsia" w:ascii="宋体" w:hAnsi="宋体" w:eastAsia="宋体" w:cs="宋体"/>
          <w:bCs w:val="0"/>
          <w:sz w:val="24"/>
          <w:szCs w:val="24"/>
          <w:lang w:val="en-US" w:eastAsia="zh-CN"/>
        </w:rPr>
        <w:t>2.1.4地表水文概况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_Toc10246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_Toc14772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rPr>
        <w:t>2.1.</w:t>
      </w:r>
      <w:r>
        <w:rPr>
          <w:rFonts w:hint="eastAsia" w:ascii="宋体" w:hAnsi="宋体" w:eastAsia="宋体" w:cs="宋体"/>
          <w:bCs/>
          <w:sz w:val="24"/>
          <w:szCs w:val="24"/>
          <w:lang w:val="en-US" w:eastAsia="zh-CN"/>
        </w:rPr>
        <w:t>5</w:t>
      </w:r>
      <w:r>
        <w:rPr>
          <w:rFonts w:hint="eastAsia" w:ascii="宋体" w:hAnsi="宋体" w:eastAsia="宋体" w:cs="宋体"/>
          <w:bCs/>
          <w:sz w:val="24"/>
          <w:szCs w:val="24"/>
        </w:rPr>
        <w:t>气候、气象特征</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_Toc14772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_Toc13060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2.2饮用水水源地所在区域的社会经济状况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_Toc13060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_Toc3191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2.2.1 行政区划</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_Toc3191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_Toc32419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2.2.2人口状况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_Toc32419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_Toc132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2.2.3 经济现状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_Toc132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_Toc13798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2.3 用水及供水状况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_Toc13798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_Toc22558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 饮用水水源地基础状况分析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_Toc22558 </w:instrText>
      </w:r>
      <w:r>
        <w:rPr>
          <w:rFonts w:hint="eastAsia" w:ascii="宋体" w:hAnsi="宋体" w:eastAsia="宋体" w:cs="宋体"/>
          <w:sz w:val="24"/>
          <w:szCs w:val="24"/>
        </w:rPr>
        <w:fldChar w:fldCharType="separate"/>
      </w:r>
      <w:r>
        <w:rPr>
          <w:rFonts w:hint="eastAsia" w:ascii="宋体" w:hAnsi="宋体" w:eastAsia="宋体" w:cs="宋体"/>
          <w:sz w:val="24"/>
          <w:szCs w:val="24"/>
        </w:rPr>
        <w:t>16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_Toc4108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2.4.1饮用水水源地基本情况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_Toc4108 </w:instrText>
      </w:r>
      <w:r>
        <w:rPr>
          <w:rFonts w:hint="eastAsia" w:ascii="宋体" w:hAnsi="宋体" w:eastAsia="宋体" w:cs="宋体"/>
          <w:sz w:val="24"/>
          <w:szCs w:val="24"/>
        </w:rPr>
        <w:fldChar w:fldCharType="separate"/>
      </w:r>
      <w:r>
        <w:rPr>
          <w:rFonts w:hint="eastAsia" w:ascii="宋体" w:hAnsi="宋体" w:eastAsia="宋体" w:cs="宋体"/>
          <w:sz w:val="24"/>
          <w:szCs w:val="24"/>
        </w:rPr>
        <w:t>16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_Toc7022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lang w:val="en-US" w:eastAsia="zh-CN"/>
        </w:rPr>
        <w:t>2.4.2</w:t>
      </w:r>
      <w:r>
        <w:rPr>
          <w:rFonts w:hint="eastAsia" w:ascii="宋体" w:hAnsi="宋体" w:eastAsia="宋体" w:cs="宋体"/>
          <w:sz w:val="24"/>
          <w:szCs w:val="24"/>
          <w:lang w:eastAsia="zh-CN"/>
        </w:rPr>
        <w:t>地表水环境功能区划及相邻水域情况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_Toc7022 </w:instrText>
      </w:r>
      <w:r>
        <w:rPr>
          <w:rFonts w:hint="eastAsia" w:ascii="宋体" w:hAnsi="宋体" w:eastAsia="宋体" w:cs="宋体"/>
          <w:sz w:val="24"/>
          <w:szCs w:val="24"/>
        </w:rPr>
        <w:fldChar w:fldCharType="separate"/>
      </w:r>
      <w:r>
        <w:rPr>
          <w:rFonts w:hint="eastAsia" w:ascii="宋体" w:hAnsi="宋体" w:eastAsia="宋体" w:cs="宋体"/>
          <w:sz w:val="24"/>
          <w:szCs w:val="24"/>
        </w:rPr>
        <w:t>16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_Toc29432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highlight w:val="none"/>
        </w:rPr>
        <w:t>2.4.</w:t>
      </w:r>
      <w:r>
        <w:rPr>
          <w:rFonts w:hint="eastAsia" w:ascii="宋体" w:hAnsi="宋体" w:eastAsia="宋体" w:cs="宋体"/>
          <w:sz w:val="24"/>
          <w:szCs w:val="24"/>
          <w:highlight w:val="none"/>
          <w:lang w:val="en-US" w:eastAsia="zh-CN"/>
        </w:rPr>
        <w:t>3</w:t>
      </w:r>
      <w:r>
        <w:rPr>
          <w:rFonts w:hint="eastAsia" w:ascii="宋体" w:hAnsi="宋体" w:eastAsia="宋体" w:cs="宋体"/>
          <w:sz w:val="24"/>
          <w:szCs w:val="24"/>
          <w:highlight w:val="none"/>
        </w:rPr>
        <w:t>饮用水水源地水环境质量评价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_Toc29432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_Toc1469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w:t>
      </w:r>
      <w:r>
        <w:rPr>
          <w:rFonts w:hint="eastAsia" w:ascii="宋体" w:hAnsi="宋体" w:eastAsia="宋体" w:cs="宋体"/>
          <w:sz w:val="24"/>
          <w:szCs w:val="24"/>
          <w:lang w:val="en-US" w:eastAsia="zh-CN"/>
        </w:rPr>
        <w:t>4</w:t>
      </w:r>
      <w:r>
        <w:rPr>
          <w:rFonts w:hint="eastAsia" w:ascii="宋体" w:hAnsi="宋体" w:eastAsia="宋体" w:cs="宋体"/>
          <w:sz w:val="24"/>
          <w:szCs w:val="24"/>
        </w:rPr>
        <w:t>饮用水水源地污染状况分析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_Toc1469 </w:instrText>
      </w:r>
      <w:r>
        <w:rPr>
          <w:rFonts w:hint="eastAsia" w:ascii="宋体" w:hAnsi="宋体" w:eastAsia="宋体" w:cs="宋体"/>
          <w:sz w:val="24"/>
          <w:szCs w:val="24"/>
        </w:rPr>
        <w:fldChar w:fldCharType="separate"/>
      </w:r>
      <w:r>
        <w:rPr>
          <w:rFonts w:hint="eastAsia" w:ascii="宋体" w:hAnsi="宋体" w:eastAsia="宋体" w:cs="宋体"/>
          <w:sz w:val="24"/>
          <w:szCs w:val="24"/>
        </w:rPr>
        <w:t>24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_Toc11765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w:t>
      </w:r>
      <w:r>
        <w:rPr>
          <w:rFonts w:hint="eastAsia" w:ascii="宋体" w:hAnsi="宋体" w:eastAsia="宋体" w:cs="宋体"/>
          <w:sz w:val="24"/>
          <w:szCs w:val="24"/>
          <w:lang w:val="en-US" w:eastAsia="zh-CN"/>
        </w:rPr>
        <w:t>5</w:t>
      </w:r>
      <w:r>
        <w:rPr>
          <w:rFonts w:hint="eastAsia" w:ascii="宋体" w:hAnsi="宋体" w:eastAsia="宋体" w:cs="宋体"/>
          <w:sz w:val="24"/>
          <w:szCs w:val="24"/>
        </w:rPr>
        <w:t>保护区范围内</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_Toc11765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_Toc19883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w:t>
      </w:r>
      <w:r>
        <w:rPr>
          <w:rFonts w:hint="eastAsia" w:ascii="宋体" w:hAnsi="宋体" w:eastAsia="宋体" w:cs="宋体"/>
          <w:sz w:val="24"/>
          <w:szCs w:val="24"/>
          <w:lang w:val="en-US" w:eastAsia="zh-CN"/>
        </w:rPr>
        <w:t>6</w:t>
      </w:r>
      <w:r>
        <w:rPr>
          <w:rFonts w:hint="eastAsia" w:ascii="宋体" w:hAnsi="宋体" w:eastAsia="宋体" w:cs="宋体"/>
          <w:sz w:val="24"/>
          <w:szCs w:val="24"/>
        </w:rPr>
        <w:t xml:space="preserve"> 1km范围内的其他情况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_Toc19883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_Toc14235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w:t>
      </w:r>
      <w:r>
        <w:rPr>
          <w:rFonts w:hint="eastAsia" w:ascii="宋体" w:hAnsi="宋体" w:eastAsia="宋体" w:cs="宋体"/>
          <w:sz w:val="24"/>
          <w:szCs w:val="24"/>
          <w:lang w:val="en-US" w:eastAsia="zh-CN"/>
        </w:rPr>
        <w:t>7</w:t>
      </w:r>
      <w:r>
        <w:rPr>
          <w:rFonts w:hint="eastAsia" w:ascii="宋体" w:hAnsi="宋体" w:eastAsia="宋体" w:cs="宋体"/>
          <w:sz w:val="24"/>
          <w:szCs w:val="24"/>
        </w:rPr>
        <w:t>饮用水水源地生态环境分析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_Toc14235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_Toc10241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2.4.</w:t>
      </w:r>
      <w:r>
        <w:rPr>
          <w:rFonts w:hint="eastAsia" w:ascii="宋体" w:hAnsi="宋体" w:eastAsia="宋体" w:cs="宋体"/>
          <w:sz w:val="24"/>
          <w:szCs w:val="24"/>
          <w:lang w:val="en-US" w:eastAsia="zh-CN"/>
        </w:rPr>
        <w:t>8</w:t>
      </w:r>
      <w:r>
        <w:rPr>
          <w:rFonts w:hint="eastAsia" w:ascii="宋体" w:hAnsi="宋体" w:eastAsia="宋体" w:cs="宋体"/>
          <w:sz w:val="24"/>
          <w:szCs w:val="24"/>
        </w:rPr>
        <w:t>饮用水水源地环境管理现状分析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_Toc10241 </w:instrText>
      </w:r>
      <w:r>
        <w:rPr>
          <w:rFonts w:hint="eastAsia" w:ascii="宋体" w:hAnsi="宋体" w:eastAsia="宋体" w:cs="宋体"/>
          <w:sz w:val="24"/>
          <w:szCs w:val="24"/>
        </w:rPr>
        <w:fldChar w:fldCharType="separate"/>
      </w:r>
      <w:r>
        <w:rPr>
          <w:rFonts w:hint="eastAsia" w:ascii="宋体" w:hAnsi="宋体" w:eastAsia="宋体" w:cs="宋体"/>
          <w:sz w:val="24"/>
          <w:szCs w:val="24"/>
        </w:rPr>
        <w:t>26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_Toc28640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lang w:bidi="ar"/>
        </w:rPr>
        <w:t>第三章 饮用水水源地保护区划分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_Toc28640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_Toc8704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3.1 饮用水水源保护区划分的技术方法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_Toc8704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_Toc12180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lang w:val="en-US" w:eastAsia="zh-CN"/>
        </w:rPr>
        <w:t>3.2</w:t>
      </w:r>
      <w:r>
        <w:rPr>
          <w:rFonts w:hint="eastAsia" w:ascii="宋体" w:hAnsi="宋体" w:eastAsia="宋体" w:cs="宋体"/>
          <w:bCs/>
          <w:sz w:val="24"/>
          <w:szCs w:val="24"/>
          <w:lang w:eastAsia="zh-CN"/>
        </w:rPr>
        <w:t>长仑</w:t>
      </w:r>
      <w:r>
        <w:rPr>
          <w:rFonts w:hint="eastAsia" w:ascii="宋体" w:hAnsi="宋体" w:eastAsia="宋体" w:cs="宋体"/>
          <w:bCs/>
          <w:sz w:val="24"/>
          <w:szCs w:val="24"/>
        </w:rPr>
        <w:t>水厂地下水饮用水水源保护区的初步划分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_Toc12180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_Toc5997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lang w:val="en-US" w:eastAsia="zh-CN"/>
        </w:rPr>
        <w:t>3.2.1</w:t>
      </w:r>
      <w:r>
        <w:rPr>
          <w:rFonts w:hint="eastAsia" w:ascii="宋体" w:hAnsi="宋体" w:eastAsia="宋体" w:cs="宋体"/>
          <w:bCs/>
          <w:sz w:val="24"/>
          <w:szCs w:val="24"/>
        </w:rPr>
        <w:t>一级保护区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_Toc5997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_Toc30937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lang w:val="en-US" w:eastAsia="zh-CN"/>
        </w:rPr>
        <w:t>3.2.2</w:t>
      </w:r>
      <w:r>
        <w:rPr>
          <w:rFonts w:hint="eastAsia" w:ascii="宋体" w:hAnsi="宋体" w:eastAsia="宋体" w:cs="宋体"/>
          <w:bCs/>
          <w:sz w:val="24"/>
          <w:szCs w:val="24"/>
        </w:rPr>
        <w:t>二级保护区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_Toc30937 </w:instrText>
      </w:r>
      <w:r>
        <w:rPr>
          <w:rFonts w:hint="eastAsia" w:ascii="宋体" w:hAnsi="宋体" w:eastAsia="宋体" w:cs="宋体"/>
          <w:sz w:val="24"/>
          <w:szCs w:val="24"/>
        </w:rPr>
        <w:fldChar w:fldCharType="separate"/>
      </w:r>
      <w:r>
        <w:rPr>
          <w:rFonts w:hint="eastAsia" w:ascii="宋体" w:hAnsi="宋体" w:eastAsia="宋体" w:cs="宋体"/>
          <w:sz w:val="24"/>
          <w:szCs w:val="24"/>
        </w:rPr>
        <w:t>28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_Toc27038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lang w:val="en-US" w:eastAsia="zh-CN"/>
        </w:rPr>
        <w:t>3.2.3</w:t>
      </w:r>
      <w:r>
        <w:rPr>
          <w:rFonts w:hint="eastAsia" w:ascii="宋体" w:hAnsi="宋体" w:eastAsia="宋体" w:cs="宋体"/>
          <w:bCs/>
          <w:sz w:val="24"/>
          <w:szCs w:val="24"/>
        </w:rPr>
        <w:t>准保护区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_Toc27038 </w:instrText>
      </w:r>
      <w:r>
        <w:rPr>
          <w:rFonts w:hint="eastAsia" w:ascii="宋体" w:hAnsi="宋体" w:eastAsia="宋体" w:cs="宋体"/>
          <w:sz w:val="24"/>
          <w:szCs w:val="24"/>
        </w:rPr>
        <w:fldChar w:fldCharType="separate"/>
      </w:r>
      <w:r>
        <w:rPr>
          <w:rFonts w:hint="eastAsia" w:ascii="宋体" w:hAnsi="宋体" w:eastAsia="宋体" w:cs="宋体"/>
          <w:sz w:val="24"/>
          <w:szCs w:val="24"/>
        </w:rPr>
        <w:t>28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_Toc30815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3.3 规划协调性符合性分析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_Toc30815 </w:instrText>
      </w:r>
      <w:r>
        <w:rPr>
          <w:rFonts w:hint="eastAsia" w:ascii="宋体" w:hAnsi="宋体" w:eastAsia="宋体" w:cs="宋体"/>
          <w:sz w:val="24"/>
          <w:szCs w:val="24"/>
        </w:rPr>
        <w:fldChar w:fldCharType="separate"/>
      </w:r>
      <w:r>
        <w:rPr>
          <w:rFonts w:hint="eastAsia" w:ascii="宋体" w:hAnsi="宋体" w:eastAsia="宋体" w:cs="宋体"/>
          <w:sz w:val="24"/>
          <w:szCs w:val="24"/>
        </w:rPr>
        <w:t>28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_Toc2138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3.</w:t>
      </w:r>
      <w:r>
        <w:rPr>
          <w:rFonts w:hint="eastAsia" w:ascii="宋体" w:hAnsi="宋体" w:eastAsia="宋体" w:cs="宋体"/>
          <w:sz w:val="24"/>
          <w:szCs w:val="24"/>
          <w:lang w:val="en-US" w:eastAsia="zh-CN"/>
        </w:rPr>
        <w:t>4</w:t>
      </w:r>
      <w:r>
        <w:rPr>
          <w:rFonts w:hint="eastAsia" w:ascii="宋体" w:hAnsi="宋体" w:eastAsia="宋体" w:cs="宋体"/>
          <w:sz w:val="24"/>
          <w:szCs w:val="24"/>
        </w:rPr>
        <w:t>最终定界</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_Toc2138 </w:instrText>
      </w:r>
      <w:r>
        <w:rPr>
          <w:rFonts w:hint="eastAsia" w:ascii="宋体" w:hAnsi="宋体" w:eastAsia="宋体" w:cs="宋体"/>
          <w:sz w:val="24"/>
          <w:szCs w:val="24"/>
        </w:rPr>
        <w:fldChar w:fldCharType="separate"/>
      </w:r>
      <w:r>
        <w:rPr>
          <w:rFonts w:hint="eastAsia" w:ascii="宋体" w:hAnsi="宋体" w:eastAsia="宋体" w:cs="宋体"/>
          <w:sz w:val="24"/>
          <w:szCs w:val="24"/>
        </w:rPr>
        <w:t>29</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_Toc17764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lang w:bidi="ar"/>
        </w:rPr>
        <w:t>第四章 饮用水水源保护区划分方案与分析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_Toc17764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_Toc8776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1</w:t>
      </w:r>
      <w:r>
        <w:rPr>
          <w:rFonts w:hint="eastAsia" w:ascii="宋体" w:hAnsi="宋体" w:eastAsia="宋体" w:cs="宋体"/>
          <w:sz w:val="24"/>
          <w:szCs w:val="24"/>
        </w:rPr>
        <w:t>饮用水水源保护区</w:t>
      </w:r>
      <w:r>
        <w:rPr>
          <w:rFonts w:hint="eastAsia" w:ascii="宋体" w:hAnsi="宋体" w:eastAsia="宋体" w:cs="宋体"/>
          <w:sz w:val="24"/>
          <w:szCs w:val="24"/>
          <w:lang w:eastAsia="zh-CN"/>
        </w:rPr>
        <w:t>划分方案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_Toc8776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_Toc32454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2</w:t>
      </w:r>
      <w:r>
        <w:rPr>
          <w:rFonts w:hint="eastAsia" w:ascii="宋体" w:hAnsi="宋体" w:eastAsia="宋体" w:cs="宋体"/>
          <w:sz w:val="24"/>
          <w:szCs w:val="24"/>
        </w:rPr>
        <w:t>饮用水水源保护区存在环境问题分析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_Toc32454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_Toc16956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饮用水水源保护区污染整治措施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_Toc16956 </w:instrText>
      </w:r>
      <w:r>
        <w:rPr>
          <w:rFonts w:hint="eastAsia" w:ascii="宋体" w:hAnsi="宋体" w:eastAsia="宋体" w:cs="宋体"/>
          <w:sz w:val="24"/>
          <w:szCs w:val="24"/>
        </w:rPr>
        <w:fldChar w:fldCharType="separate"/>
      </w:r>
      <w:r>
        <w:rPr>
          <w:rFonts w:hint="eastAsia" w:ascii="宋体" w:hAnsi="宋体" w:eastAsia="宋体" w:cs="宋体"/>
          <w:sz w:val="24"/>
          <w:szCs w:val="24"/>
        </w:rPr>
        <w:t>31</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_Toc5556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3</w:t>
      </w:r>
      <w:r>
        <w:rPr>
          <w:rFonts w:hint="eastAsia" w:ascii="宋体" w:hAnsi="宋体" w:eastAsia="宋体" w:cs="宋体"/>
          <w:sz w:val="24"/>
          <w:szCs w:val="24"/>
        </w:rPr>
        <w:t>水量水质可达性分析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_Toc5556 </w:instrText>
      </w:r>
      <w:r>
        <w:rPr>
          <w:rFonts w:hint="eastAsia" w:ascii="宋体" w:hAnsi="宋体" w:eastAsia="宋体" w:cs="宋体"/>
          <w:sz w:val="24"/>
          <w:szCs w:val="24"/>
        </w:rPr>
        <w:fldChar w:fldCharType="separate"/>
      </w:r>
      <w:r>
        <w:rPr>
          <w:rFonts w:hint="eastAsia" w:ascii="宋体" w:hAnsi="宋体" w:eastAsia="宋体" w:cs="宋体"/>
          <w:sz w:val="24"/>
          <w:szCs w:val="24"/>
        </w:rPr>
        <w:t>33</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_Toc1971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lang w:bidi="ar"/>
        </w:rPr>
        <w:t>第五章 饮用水水源保护区的监督与管理措施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_Toc1971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_Toc23219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 饮用水水源保护区标志、隔离网的设置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_Toc23219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_Toc23592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5.1.1饮用水水源保护区图形标志的分类</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_Toc23592 </w:instrText>
      </w:r>
      <w:r>
        <w:rPr>
          <w:rFonts w:hint="eastAsia" w:ascii="宋体" w:hAnsi="宋体" w:eastAsia="宋体" w:cs="宋体"/>
          <w:sz w:val="24"/>
          <w:szCs w:val="24"/>
        </w:rPr>
        <w:fldChar w:fldCharType="separate"/>
      </w:r>
      <w:r>
        <w:rPr>
          <w:rFonts w:hint="eastAsia" w:ascii="宋体" w:hAnsi="宋体" w:eastAsia="宋体" w:cs="宋体"/>
          <w:sz w:val="24"/>
          <w:szCs w:val="24"/>
        </w:rPr>
        <w:t>34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_Toc18461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5.1.2饮用水水源保护区图形标志的内容</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_Toc18461 </w:instrText>
      </w:r>
      <w:r>
        <w:rPr>
          <w:rFonts w:hint="eastAsia" w:ascii="宋体" w:hAnsi="宋体" w:eastAsia="宋体" w:cs="宋体"/>
          <w:sz w:val="24"/>
          <w:szCs w:val="24"/>
        </w:rPr>
        <w:fldChar w:fldCharType="separate"/>
      </w:r>
      <w:r>
        <w:rPr>
          <w:rFonts w:hint="eastAsia" w:ascii="宋体" w:hAnsi="宋体" w:eastAsia="宋体" w:cs="宋体"/>
          <w:sz w:val="24"/>
          <w:szCs w:val="24"/>
        </w:rPr>
        <w:t>35</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_Toc21554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5.1.3饮用水水源保护区图形标志的设立位置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_Toc21554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_Toc7491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5.1.4饮用水水源保护区图形标志的构造</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_Toc7491 </w:instrText>
      </w:r>
      <w:r>
        <w:rPr>
          <w:rFonts w:hint="eastAsia" w:ascii="宋体" w:hAnsi="宋体" w:eastAsia="宋体" w:cs="宋体"/>
          <w:sz w:val="24"/>
          <w:szCs w:val="24"/>
        </w:rPr>
        <w:fldChar w:fldCharType="separate"/>
      </w:r>
      <w:r>
        <w:rPr>
          <w:rFonts w:hint="eastAsia" w:ascii="宋体" w:hAnsi="宋体" w:eastAsia="宋体" w:cs="宋体"/>
          <w:sz w:val="24"/>
          <w:szCs w:val="24"/>
        </w:rPr>
        <w:t>38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_Toc8851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5.1.5饮用水水源保护区图形标志的制作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_Toc8851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_Toc14284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5.1.6 隔离网设置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_Toc14284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_Toc29843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5.2 饮用水水源保护区日常监测</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_Toc29843 </w:instrText>
      </w:r>
      <w:r>
        <w:rPr>
          <w:rFonts w:hint="eastAsia" w:ascii="宋体" w:hAnsi="宋体" w:eastAsia="宋体" w:cs="宋体"/>
          <w:sz w:val="24"/>
          <w:szCs w:val="24"/>
        </w:rPr>
        <w:fldChar w:fldCharType="separate"/>
      </w:r>
      <w:r>
        <w:rPr>
          <w:rFonts w:hint="eastAsia" w:ascii="宋体" w:hAnsi="宋体" w:eastAsia="宋体" w:cs="宋体"/>
          <w:sz w:val="24"/>
          <w:szCs w:val="24"/>
        </w:rPr>
        <w:t>39</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_Toc17691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highlight w:val="none"/>
        </w:rPr>
        <w:t>5.3 饮用水水源保护区环境监督管理要求</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_Toc17691 </w:instrText>
      </w:r>
      <w:r>
        <w:rPr>
          <w:rFonts w:hint="eastAsia" w:ascii="宋体" w:hAnsi="宋体" w:eastAsia="宋体" w:cs="宋体"/>
          <w:sz w:val="24"/>
          <w:szCs w:val="24"/>
        </w:rPr>
        <w:fldChar w:fldCharType="separate"/>
      </w:r>
      <w:r>
        <w:rPr>
          <w:rFonts w:hint="eastAsia" w:ascii="宋体" w:hAnsi="宋体" w:eastAsia="宋体" w:cs="宋体"/>
          <w:sz w:val="24"/>
          <w:szCs w:val="24"/>
        </w:rPr>
        <w:t>40</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_Toc2653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5.4 饮用水水源保护区风险防范与应急预案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_Toc2653 </w:instrText>
      </w:r>
      <w:r>
        <w:rPr>
          <w:rFonts w:hint="eastAsia" w:ascii="宋体" w:hAnsi="宋体" w:eastAsia="宋体" w:cs="宋体"/>
          <w:sz w:val="24"/>
          <w:szCs w:val="24"/>
        </w:rPr>
        <w:fldChar w:fldCharType="separate"/>
      </w:r>
      <w:r>
        <w:rPr>
          <w:rFonts w:hint="eastAsia" w:ascii="宋体" w:hAnsi="宋体" w:eastAsia="宋体" w:cs="宋体"/>
          <w:sz w:val="24"/>
          <w:szCs w:val="24"/>
        </w:rPr>
        <w:t>40</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_Toc29622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5.4.1 保护区内的风险定性分析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_Toc29622 </w:instrText>
      </w:r>
      <w:r>
        <w:rPr>
          <w:rFonts w:hint="eastAsia" w:ascii="宋体" w:hAnsi="宋体" w:eastAsia="宋体" w:cs="宋体"/>
          <w:sz w:val="24"/>
          <w:szCs w:val="24"/>
        </w:rPr>
        <w:fldChar w:fldCharType="separate"/>
      </w:r>
      <w:r>
        <w:rPr>
          <w:rFonts w:hint="eastAsia" w:ascii="宋体" w:hAnsi="宋体" w:eastAsia="宋体" w:cs="宋体"/>
          <w:sz w:val="24"/>
          <w:szCs w:val="24"/>
        </w:rPr>
        <w:t>40</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_Toc13123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5.4.2 风险应急措施和应急预案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_Toc13123 </w:instrText>
      </w:r>
      <w:r>
        <w:rPr>
          <w:rFonts w:hint="eastAsia" w:ascii="宋体" w:hAnsi="宋体" w:eastAsia="宋体" w:cs="宋体"/>
          <w:sz w:val="24"/>
          <w:szCs w:val="24"/>
        </w:rPr>
        <w:fldChar w:fldCharType="separate"/>
      </w:r>
      <w:r>
        <w:rPr>
          <w:rFonts w:hint="eastAsia" w:ascii="宋体" w:hAnsi="宋体" w:eastAsia="宋体" w:cs="宋体"/>
          <w:sz w:val="24"/>
          <w:szCs w:val="24"/>
        </w:rPr>
        <w:t>44</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_Toc19711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lang w:bidi="ar"/>
        </w:rPr>
        <w:t>第六章 饮用水源保护保障措施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_Toc19711 </w:instrText>
      </w:r>
      <w:r>
        <w:rPr>
          <w:rFonts w:hint="eastAsia" w:ascii="宋体" w:hAnsi="宋体" w:eastAsia="宋体" w:cs="宋体"/>
          <w:sz w:val="24"/>
          <w:szCs w:val="24"/>
        </w:rPr>
        <w:fldChar w:fldCharType="separate"/>
      </w:r>
      <w:r>
        <w:rPr>
          <w:rFonts w:hint="eastAsia" w:ascii="宋体" w:hAnsi="宋体" w:eastAsia="宋体" w:cs="宋体"/>
          <w:sz w:val="24"/>
          <w:szCs w:val="24"/>
        </w:rPr>
        <w:t>46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_Toc21774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6.1 资金保障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_Toc21774 </w:instrText>
      </w:r>
      <w:r>
        <w:rPr>
          <w:rFonts w:hint="eastAsia" w:ascii="宋体" w:hAnsi="宋体" w:eastAsia="宋体" w:cs="宋体"/>
          <w:sz w:val="24"/>
          <w:szCs w:val="24"/>
        </w:rPr>
        <w:fldChar w:fldCharType="separate"/>
      </w:r>
      <w:r>
        <w:rPr>
          <w:rFonts w:hint="eastAsia" w:ascii="宋体" w:hAnsi="宋体" w:eastAsia="宋体" w:cs="宋体"/>
          <w:sz w:val="24"/>
          <w:szCs w:val="24"/>
        </w:rPr>
        <w:t>46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_Toc25038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6.2 法律法规与政策制度保障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_Toc25038 </w:instrText>
      </w:r>
      <w:r>
        <w:rPr>
          <w:rFonts w:hint="eastAsia" w:ascii="宋体" w:hAnsi="宋体" w:eastAsia="宋体" w:cs="宋体"/>
          <w:sz w:val="24"/>
          <w:szCs w:val="24"/>
        </w:rPr>
        <w:fldChar w:fldCharType="separate"/>
      </w:r>
      <w:r>
        <w:rPr>
          <w:rFonts w:hint="eastAsia" w:ascii="宋体" w:hAnsi="宋体" w:eastAsia="宋体" w:cs="宋体"/>
          <w:sz w:val="24"/>
          <w:szCs w:val="24"/>
        </w:rPr>
        <w:t>46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_Toc7865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6.3 组织分工与管理保障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_Toc7865 </w:instrText>
      </w:r>
      <w:r>
        <w:rPr>
          <w:rFonts w:hint="eastAsia" w:ascii="宋体" w:hAnsi="宋体" w:eastAsia="宋体" w:cs="宋体"/>
          <w:sz w:val="24"/>
          <w:szCs w:val="24"/>
        </w:rPr>
        <w:fldChar w:fldCharType="separate"/>
      </w:r>
      <w:r>
        <w:rPr>
          <w:rFonts w:hint="eastAsia" w:ascii="宋体" w:hAnsi="宋体" w:eastAsia="宋体" w:cs="宋体"/>
          <w:sz w:val="24"/>
          <w:szCs w:val="24"/>
        </w:rPr>
        <w:t>46</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_Toc2209 </w:instrText>
      </w:r>
      <w:r>
        <w:rPr>
          <w:rFonts w:hint="eastAsia" w:ascii="宋体" w:hAnsi="宋体" w:eastAsia="宋体" w:cs="宋体"/>
          <w:sz w:val="24"/>
          <w:szCs w:val="24"/>
          <w:lang w:bidi="ar"/>
        </w:rPr>
        <w:fldChar w:fldCharType="separate"/>
      </w:r>
      <w:r>
        <w:rPr>
          <w:rFonts w:hint="eastAsia" w:ascii="宋体" w:hAnsi="宋体" w:eastAsia="宋体" w:cs="宋体"/>
          <w:bCs/>
          <w:sz w:val="24"/>
          <w:szCs w:val="24"/>
        </w:rPr>
        <w:t>6.4 宣传与教育</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_Toc2209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_Toc19039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6.4.1建立公众参与机制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_Toc19039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_Toc8827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6.4.2强化媒体宣教机制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_Toc8827 </w:instrText>
      </w:r>
      <w:r>
        <w:rPr>
          <w:rFonts w:hint="eastAsia" w:ascii="宋体" w:hAnsi="宋体" w:eastAsia="宋体" w:cs="宋体"/>
          <w:sz w:val="24"/>
          <w:szCs w:val="24"/>
        </w:rPr>
        <w:fldChar w:fldCharType="separate"/>
      </w:r>
      <w:r>
        <w:rPr>
          <w:rFonts w:hint="eastAsia" w:ascii="宋体" w:hAnsi="宋体" w:eastAsia="宋体" w:cs="宋体"/>
          <w:sz w:val="24"/>
          <w:szCs w:val="24"/>
        </w:rPr>
        <w:t>47</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_Toc12050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附件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_Toc12050 </w:instrText>
      </w:r>
      <w:r>
        <w:rPr>
          <w:rFonts w:hint="eastAsia" w:ascii="宋体" w:hAnsi="宋体" w:eastAsia="宋体" w:cs="宋体"/>
          <w:sz w:val="24"/>
          <w:szCs w:val="24"/>
        </w:rPr>
        <w:fldChar w:fldCharType="separate"/>
      </w:r>
      <w:r>
        <w:rPr>
          <w:rFonts w:hint="eastAsia" w:ascii="宋体" w:hAnsi="宋体" w:eastAsia="宋体" w:cs="宋体"/>
          <w:sz w:val="24"/>
          <w:szCs w:val="24"/>
        </w:rPr>
        <w:t>48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rPr>
          <w:rFonts w:hint="eastAsia" w:ascii="宋体" w:hAnsi="宋体" w:eastAsia="宋体" w:cs="宋体"/>
          <w:sz w:val="24"/>
          <w:szCs w:val="24"/>
        </w:rPr>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_Toc17334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附表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_Toc17334 </w:instrText>
      </w:r>
      <w:r>
        <w:rPr>
          <w:rFonts w:hint="eastAsia" w:ascii="宋体" w:hAnsi="宋体" w:eastAsia="宋体" w:cs="宋体"/>
          <w:sz w:val="24"/>
          <w:szCs w:val="24"/>
        </w:rPr>
        <w:fldChar w:fldCharType="separate"/>
      </w:r>
      <w:r>
        <w:rPr>
          <w:rFonts w:hint="eastAsia" w:ascii="宋体" w:hAnsi="宋体" w:eastAsia="宋体" w:cs="宋体"/>
          <w:sz w:val="24"/>
          <w:szCs w:val="24"/>
        </w:rPr>
        <w:t>48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400" w:lineRule="exact"/>
        <w:textAlignment w:val="auto"/>
      </w:pPr>
      <w:r>
        <w:rPr>
          <w:rFonts w:hint="eastAsia" w:ascii="宋体" w:hAnsi="宋体" w:eastAsia="宋体" w:cs="宋体"/>
          <w:sz w:val="24"/>
          <w:szCs w:val="24"/>
          <w:lang w:bidi="ar"/>
        </w:rPr>
        <w:fldChar w:fldCharType="begin"/>
      </w:r>
      <w:r>
        <w:rPr>
          <w:rFonts w:hint="eastAsia" w:ascii="宋体" w:hAnsi="宋体" w:eastAsia="宋体" w:cs="宋体"/>
          <w:sz w:val="24"/>
          <w:szCs w:val="24"/>
          <w:lang w:bidi="ar"/>
        </w:rPr>
        <w:instrText xml:space="preserve"> HYPERLINK \l _Toc11004 </w:instrText>
      </w:r>
      <w:r>
        <w:rPr>
          <w:rFonts w:hint="eastAsia" w:ascii="宋体" w:hAnsi="宋体" w:eastAsia="宋体" w:cs="宋体"/>
          <w:sz w:val="24"/>
          <w:szCs w:val="24"/>
          <w:lang w:bidi="ar"/>
        </w:rPr>
        <w:fldChar w:fldCharType="separate"/>
      </w:r>
      <w:r>
        <w:rPr>
          <w:rFonts w:hint="eastAsia" w:ascii="宋体" w:hAnsi="宋体" w:eastAsia="宋体" w:cs="宋体"/>
          <w:sz w:val="24"/>
          <w:szCs w:val="24"/>
        </w:rPr>
        <w:t>附图</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_Toc11004 </w:instrText>
      </w:r>
      <w:r>
        <w:rPr>
          <w:rFonts w:hint="eastAsia" w:ascii="宋体" w:hAnsi="宋体" w:eastAsia="宋体" w:cs="宋体"/>
          <w:sz w:val="24"/>
          <w:szCs w:val="24"/>
        </w:rPr>
        <w:fldChar w:fldCharType="separate"/>
      </w:r>
      <w:r>
        <w:rPr>
          <w:rFonts w:hint="eastAsia" w:ascii="宋体" w:hAnsi="宋体" w:eastAsia="宋体" w:cs="宋体"/>
          <w:sz w:val="24"/>
          <w:szCs w:val="24"/>
        </w:rPr>
        <w:t>48</w:t>
      </w:r>
      <w:r>
        <w:rPr>
          <w:rFonts w:hint="eastAsia" w:ascii="宋体" w:hAnsi="宋体" w:eastAsia="宋体" w:cs="宋体"/>
          <w:sz w:val="24"/>
          <w:szCs w:val="24"/>
        </w:rPr>
        <w:fldChar w:fldCharType="end"/>
      </w:r>
      <w:r>
        <w:rPr>
          <w:rFonts w:hint="eastAsia" w:ascii="宋体" w:hAnsi="宋体" w:eastAsia="宋体" w:cs="宋体"/>
          <w:sz w:val="24"/>
          <w:szCs w:val="24"/>
          <w:lang w:bidi="ar"/>
        </w:rPr>
        <w:fldChar w:fldCharType="end"/>
      </w:r>
    </w:p>
    <w:p>
      <w:pPr>
        <w:keepNext w:val="0"/>
        <w:keepLines w:val="0"/>
        <w:pageBreakBefore w:val="0"/>
        <w:widowControl w:val="0"/>
        <w:kinsoku/>
        <w:wordWrap/>
        <w:overflowPunct/>
        <w:topLinePunct w:val="0"/>
        <w:autoSpaceDE/>
        <w:autoSpaceDN/>
        <w:bidi w:val="0"/>
        <w:adjustRightInd/>
        <w:snapToGrid/>
        <w:spacing w:line="410" w:lineRule="exact"/>
        <w:textAlignment w:val="auto"/>
        <w:rPr>
          <w:lang w:bidi="ar"/>
        </w:rPr>
      </w:pPr>
      <w:r>
        <w:rPr>
          <w:lang w:bidi="ar"/>
        </w:rPr>
        <w:fldChar w:fldCharType="end"/>
      </w:r>
    </w:p>
    <w:p>
      <w:pPr>
        <w:keepNext w:val="0"/>
        <w:keepLines w:val="0"/>
        <w:pageBreakBefore w:val="0"/>
        <w:widowControl w:val="0"/>
        <w:kinsoku/>
        <w:wordWrap/>
        <w:overflowPunct/>
        <w:topLinePunct w:val="0"/>
        <w:autoSpaceDE/>
        <w:autoSpaceDN/>
        <w:bidi w:val="0"/>
        <w:adjustRightInd/>
        <w:snapToGrid/>
        <w:spacing w:line="380" w:lineRule="exact"/>
        <w:textAlignment w:val="auto"/>
        <w:sectPr>
          <w:footerReference r:id="rId4" w:type="default"/>
          <w:pgSz w:w="11905" w:h="16838"/>
          <w:pgMar w:top="1134" w:right="1417" w:bottom="1134" w:left="1417" w:header="850" w:footer="992" w:gutter="0"/>
          <w:paperSrc/>
          <w:pgBorders>
            <w:top w:val="none" w:sz="0" w:space="0"/>
            <w:left w:val="none" w:sz="0" w:space="0"/>
            <w:bottom w:val="none" w:sz="0" w:space="0"/>
            <w:right w:val="none" w:sz="0" w:space="0"/>
          </w:pgBorders>
          <w:pgNumType w:fmt="upperRoman" w:start="1"/>
          <w:cols w:space="0" w:num="1"/>
          <w:rtlGutter w:val="0"/>
          <w:docGrid w:type="lines" w:linePitch="317" w:charSpace="0"/>
        </w:sectPr>
      </w:pPr>
    </w:p>
    <w:p>
      <w:pPr>
        <w:pStyle w:val="3"/>
        <w:spacing w:before="156" w:after="156"/>
      </w:pPr>
      <w:bookmarkStart w:id="2" w:name="_Toc25257"/>
      <w:bookmarkStart w:id="3" w:name="_Toc6419"/>
      <w:r>
        <w:rPr>
          <w:rFonts w:hint="eastAsia"/>
        </w:rPr>
        <w:t>第一章 总论</w:t>
      </w:r>
      <w:bookmarkEnd w:id="0"/>
      <w:bookmarkEnd w:id="1"/>
      <w:bookmarkEnd w:id="2"/>
      <w:bookmarkEnd w:id="3"/>
      <w:r>
        <w:rPr>
          <w:rFonts w:hint="eastAsia"/>
        </w:rPr>
        <w:tab/>
      </w:r>
    </w:p>
    <w:p>
      <w:pPr>
        <w:pStyle w:val="4"/>
        <w:widowControl/>
        <w:spacing w:before="156" w:after="156" w:line="240" w:lineRule="auto"/>
        <w:rPr>
          <w:b/>
          <w:bCs/>
          <w:sz w:val="36"/>
          <w:szCs w:val="36"/>
        </w:rPr>
      </w:pPr>
      <w:bookmarkStart w:id="4" w:name="_Toc451526478"/>
      <w:bookmarkStart w:id="5" w:name="_Toc450121030"/>
      <w:bookmarkStart w:id="6" w:name="_Toc17907"/>
      <w:bookmarkStart w:id="7" w:name="_Toc28100"/>
      <w:r>
        <w:rPr>
          <w:rFonts w:ascii="黑体" w:hAnsi="黑体" w:cs="黑体"/>
          <w:bCs/>
          <w:sz w:val="36"/>
          <w:szCs w:val="36"/>
        </w:rPr>
        <w:t>1.1</w:t>
      </w:r>
      <w:r>
        <w:rPr>
          <w:bCs/>
          <w:sz w:val="36"/>
          <w:szCs w:val="36"/>
        </w:rPr>
        <w:t xml:space="preserve"> </w:t>
      </w:r>
      <w:bookmarkEnd w:id="4"/>
      <w:bookmarkEnd w:id="5"/>
      <w:r>
        <w:rPr>
          <w:rFonts w:hint="eastAsia" w:ascii="黑体" w:hAnsi="黑体" w:cs="黑体"/>
          <w:bCs/>
          <w:sz w:val="36"/>
          <w:szCs w:val="36"/>
        </w:rPr>
        <w:t>工作背景与意义</w:t>
      </w:r>
      <w:bookmarkEnd w:id="6"/>
      <w:bookmarkEnd w:id="7"/>
    </w:p>
    <w:p>
      <w:pPr>
        <w:adjustRightInd w:val="0"/>
        <w:snapToGrid w:val="0"/>
        <w:spacing w:line="360" w:lineRule="auto"/>
        <w:ind w:firstLine="480" w:firstLineChars="200"/>
        <w:rPr>
          <w:rFonts w:ascii="Calibri" w:hAnsi="Calibri" w:eastAsia="宋体" w:cs="Times New Roman"/>
          <w:sz w:val="24"/>
          <w:szCs w:val="22"/>
          <w:highlight w:val="none"/>
        </w:rPr>
      </w:pPr>
      <w:r>
        <w:rPr>
          <w:rFonts w:hint="eastAsia" w:ascii="Calibri" w:hAnsi="Calibri" w:eastAsia="宋体" w:cs="宋体"/>
          <w:sz w:val="24"/>
          <w:szCs w:val="22"/>
          <w:lang w:bidi="ar"/>
        </w:rPr>
        <w:t>我国由于水源污染而引起的社会问题相当突出，饮用水源地保护问题已成为国计民生的重大问题。为保障人民饮水安全和水源地可持续开发利用，加强水污染防治和饮用水源保护工作，划分饮用水源保护区迫在眉睫。因此湖南省环保厅下发了《关于开展全省集中式饮用水水源保护区划分工作的通知》（湘环函【</w:t>
      </w:r>
      <w:r>
        <w:rPr>
          <w:rFonts w:ascii="Calibri" w:hAnsi="Calibri" w:eastAsia="宋体" w:cs="Times New Roman"/>
          <w:sz w:val="24"/>
          <w:szCs w:val="22"/>
          <w:lang w:bidi="ar"/>
        </w:rPr>
        <w:t>2015</w:t>
      </w:r>
      <w:r>
        <w:rPr>
          <w:rFonts w:hint="eastAsia" w:ascii="Calibri" w:hAnsi="Calibri" w:eastAsia="宋体" w:cs="宋体"/>
          <w:sz w:val="24"/>
          <w:szCs w:val="22"/>
          <w:lang w:bidi="ar"/>
        </w:rPr>
        <w:t>】</w:t>
      </w:r>
      <w:r>
        <w:rPr>
          <w:rFonts w:ascii="Calibri" w:hAnsi="Calibri" w:eastAsia="宋体" w:cs="Times New Roman"/>
          <w:sz w:val="24"/>
          <w:szCs w:val="22"/>
          <w:lang w:bidi="ar"/>
        </w:rPr>
        <w:t>459</w:t>
      </w:r>
      <w:r>
        <w:rPr>
          <w:rFonts w:hint="eastAsia" w:ascii="Calibri" w:hAnsi="Calibri" w:eastAsia="宋体" w:cs="宋体"/>
          <w:sz w:val="24"/>
          <w:szCs w:val="22"/>
          <w:lang w:bidi="ar"/>
        </w:rPr>
        <w:t>号），要求全省以市州、县为单位，彻底摸清辖区内集中饮用水源地的分布、水源构成、水质状况及保护区划定情况，划分水源地保护区范围，</w:t>
      </w:r>
      <w:r>
        <w:rPr>
          <w:rFonts w:hint="eastAsia" w:ascii="Calibri" w:hAnsi="Calibri" w:eastAsia="宋体" w:cs="宋体"/>
          <w:sz w:val="24"/>
          <w:szCs w:val="22"/>
          <w:highlight w:val="none"/>
          <w:lang w:bidi="ar"/>
        </w:rPr>
        <w:t>进而编制</w:t>
      </w:r>
      <w:r>
        <w:rPr>
          <w:rFonts w:hint="eastAsia" w:ascii="Calibri" w:hAnsi="Calibri" w:eastAsia="宋体" w:cs="宋体"/>
          <w:sz w:val="24"/>
          <w:szCs w:val="22"/>
          <w:highlight w:val="none"/>
          <w:lang w:eastAsia="zh-CN" w:bidi="ar"/>
        </w:rPr>
        <w:t>地下水</w:t>
      </w:r>
      <w:r>
        <w:rPr>
          <w:rFonts w:hint="eastAsia" w:ascii="Calibri" w:hAnsi="Calibri" w:eastAsia="宋体" w:cs="宋体"/>
          <w:sz w:val="24"/>
          <w:szCs w:val="22"/>
          <w:highlight w:val="none"/>
          <w:lang w:bidi="ar"/>
        </w:rPr>
        <w:t>饮用水水源保护区划分</w:t>
      </w:r>
      <w:r>
        <w:rPr>
          <w:rFonts w:hint="eastAsia" w:ascii="Calibri" w:hAnsi="Calibri" w:eastAsia="宋体" w:cs="宋体"/>
          <w:sz w:val="24"/>
          <w:szCs w:val="22"/>
          <w:highlight w:val="none"/>
          <w:lang w:val="en-US" w:eastAsia="zh-CN" w:bidi="ar"/>
        </w:rPr>
        <w:t>技术报告</w:t>
      </w:r>
      <w:r>
        <w:rPr>
          <w:rFonts w:hint="eastAsia" w:ascii="Calibri" w:hAnsi="Calibri" w:eastAsia="宋体" w:cs="宋体"/>
          <w:sz w:val="24"/>
          <w:szCs w:val="22"/>
          <w:highlight w:val="none"/>
          <w:lang w:bidi="ar"/>
        </w:rPr>
        <w:t>。</w:t>
      </w:r>
    </w:p>
    <w:p>
      <w:pPr>
        <w:adjustRightInd w:val="0"/>
        <w:snapToGrid w:val="0"/>
        <w:spacing w:line="360" w:lineRule="auto"/>
        <w:ind w:firstLine="480" w:firstLineChars="200"/>
        <w:rPr>
          <w:rFonts w:ascii="Calibri" w:hAnsi="Calibri" w:cs="Times New Roman"/>
          <w:szCs w:val="22"/>
          <w:highlight w:val="none"/>
        </w:rPr>
      </w:pPr>
      <w:r>
        <w:rPr>
          <w:rFonts w:hint="eastAsia" w:ascii="Calibri" w:hAnsi="Calibri" w:eastAsia="宋体" w:cs="宋体"/>
          <w:sz w:val="24"/>
          <w:szCs w:val="22"/>
          <w:highlight w:val="none"/>
          <w:lang w:bidi="ar"/>
        </w:rPr>
        <w:t>按照通知要求，湘阴县人民政府委托我公司承担</w:t>
      </w:r>
      <w:r>
        <w:rPr>
          <w:rFonts w:ascii="Calibri" w:hAnsi="Calibri" w:eastAsia="宋体" w:cs="Times New Roman"/>
          <w:sz w:val="24"/>
          <w:szCs w:val="22"/>
          <w:highlight w:val="none"/>
          <w:lang w:bidi="ar"/>
        </w:rPr>
        <w:t xml:space="preserve"> </w:t>
      </w:r>
      <w:r>
        <w:rPr>
          <w:rFonts w:hint="eastAsia" w:ascii="Calibri" w:hAnsi="Calibri" w:eastAsia="宋体" w:cs="宋体"/>
          <w:sz w:val="24"/>
          <w:szCs w:val="22"/>
          <w:highlight w:val="none"/>
          <w:lang w:bidi="ar"/>
        </w:rPr>
        <w:t>“湘阴县</w:t>
      </w:r>
      <w:r>
        <w:rPr>
          <w:rFonts w:hint="eastAsia" w:ascii="Calibri" w:hAnsi="Calibri" w:eastAsia="宋体" w:cs="宋体"/>
          <w:sz w:val="24"/>
          <w:szCs w:val="22"/>
          <w:highlight w:val="none"/>
          <w:lang w:val="en-US" w:eastAsia="zh-CN" w:bidi="ar"/>
        </w:rPr>
        <w:t>石塘镇长仑水厂</w:t>
      </w:r>
      <w:r>
        <w:rPr>
          <w:rFonts w:hint="eastAsia" w:ascii="Calibri" w:hAnsi="Calibri" w:eastAsia="宋体" w:cs="宋体"/>
          <w:sz w:val="24"/>
          <w:szCs w:val="22"/>
          <w:highlight w:val="none"/>
          <w:lang w:eastAsia="zh-CN" w:bidi="ar"/>
        </w:rPr>
        <w:t>地下水</w:t>
      </w:r>
      <w:r>
        <w:rPr>
          <w:rFonts w:hint="eastAsia" w:ascii="Calibri" w:hAnsi="Calibri" w:eastAsia="宋体" w:cs="宋体"/>
          <w:sz w:val="24"/>
          <w:szCs w:val="22"/>
          <w:highlight w:val="none"/>
          <w:lang w:bidi="ar"/>
        </w:rPr>
        <w:t>饮用水源保护区划分</w:t>
      </w:r>
      <w:r>
        <w:rPr>
          <w:rFonts w:hint="eastAsia" w:ascii="Calibri" w:hAnsi="Calibri" w:eastAsia="宋体" w:cs="宋体"/>
          <w:sz w:val="24"/>
          <w:szCs w:val="22"/>
          <w:highlight w:val="none"/>
          <w:lang w:val="en-US" w:eastAsia="zh-CN" w:bidi="ar"/>
        </w:rPr>
        <w:t>项目技术报告</w:t>
      </w:r>
      <w:r>
        <w:rPr>
          <w:rFonts w:hint="eastAsia" w:ascii="Calibri" w:hAnsi="Calibri" w:eastAsia="宋体" w:cs="宋体"/>
          <w:sz w:val="24"/>
          <w:szCs w:val="22"/>
          <w:highlight w:val="none"/>
          <w:lang w:bidi="ar"/>
        </w:rPr>
        <w:t>”的编制工作。</w:t>
      </w:r>
    </w:p>
    <w:p>
      <w:pPr>
        <w:pStyle w:val="4"/>
        <w:spacing w:before="156" w:after="156"/>
      </w:pPr>
      <w:bookmarkStart w:id="8" w:name="_Toc18479"/>
      <w:bookmarkStart w:id="9" w:name="_Toc19504"/>
      <w:r>
        <w:rPr>
          <w:rFonts w:hint="eastAsia"/>
        </w:rPr>
        <w:t>1.2划定依据</w:t>
      </w:r>
      <w:bookmarkEnd w:id="8"/>
      <w:bookmarkEnd w:id="9"/>
    </w:p>
    <w:p>
      <w:pPr>
        <w:pStyle w:val="5"/>
        <w:spacing w:before="156" w:after="156"/>
      </w:pPr>
      <w:bookmarkStart w:id="10" w:name="_Toc451526483"/>
      <w:bookmarkStart w:id="11" w:name="_Toc21537"/>
      <w:bookmarkStart w:id="12" w:name="_Toc16354"/>
      <w:r>
        <w:rPr>
          <w:rFonts w:hint="eastAsia"/>
        </w:rPr>
        <w:t>1.2.1 相关法律法规、规章</w:t>
      </w:r>
      <w:bookmarkEnd w:id="10"/>
      <w:bookmarkEnd w:id="11"/>
      <w:bookmarkEnd w:id="12"/>
    </w:p>
    <w:p>
      <w:pPr>
        <w:adjustRightInd w:val="0"/>
        <w:snapToGrid w:val="0"/>
        <w:spacing w:line="360" w:lineRule="auto"/>
        <w:ind w:firstLine="480" w:firstLineChars="200"/>
        <w:rPr>
          <w:rFonts w:ascii="Times New Roman" w:hAnsi="Times New Roman" w:eastAsia="宋体" w:cs="Times New Roman"/>
          <w:sz w:val="24"/>
          <w:szCs w:val="22"/>
        </w:rPr>
      </w:pPr>
      <w:bookmarkStart w:id="13" w:name="_Toc451526484"/>
      <w:r>
        <w:rPr>
          <w:rFonts w:ascii="Times New Roman" w:hAnsi="Times New Roman" w:eastAsia="宋体" w:cs="Times New Roman"/>
          <w:sz w:val="24"/>
          <w:szCs w:val="22"/>
        </w:rPr>
        <w:t>（1）《中华人民共和国环境保护法》（2014修订）；</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（2）《中华人民共和国水法》（2016.07修订）；</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（3）《中华人民共和国水污染防治法》（2017 年 6 月第二次修正，2018 年6 月1 日起施行）；</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（4）《饮用水水源保护区污染防治管理规定》（2010.12）</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（5）《关于废止、修改部分环保部门规章和规范性文件的决定》（部令第16号，2010.12.22）。</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（6）《湖南省湘江保护条例》（自2013年4月1日起施行）；</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（7）《湖南省饮用水水源保护条例》（自2018年1月1日起施行）；</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（8）《湖南省环境保护厅关于划定岳阳市湘阴县地下水饮用水水源保护区 复函》（湘环函[2018]236号）</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（9）湘阴县人民政府办公室关于印发《湘阴县饮用水水源保护区管理办法》</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的通知(2013年8月14日)；</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（10）《生活饮用水集中式供水单位卫生规范》（卫监发[2001]161 号）</w:t>
      </w:r>
    </w:p>
    <w:p>
      <w:pPr>
        <w:pStyle w:val="5"/>
        <w:spacing w:before="156" w:after="156"/>
        <w:rPr>
          <w:highlight w:val="none"/>
        </w:rPr>
      </w:pPr>
      <w:bookmarkStart w:id="14" w:name="_Toc29578"/>
      <w:bookmarkStart w:id="15" w:name="_Toc2716"/>
      <w:r>
        <w:rPr>
          <w:rFonts w:hint="eastAsia"/>
          <w:highlight w:val="none"/>
        </w:rPr>
        <w:t>1.2.2技术标准</w:t>
      </w:r>
      <w:bookmarkEnd w:id="13"/>
      <w:bookmarkEnd w:id="14"/>
      <w:bookmarkEnd w:id="15"/>
    </w:p>
    <w:p>
      <w:pPr>
        <w:adjustRightInd w:val="0"/>
        <w:snapToGrid w:val="0"/>
        <w:spacing w:line="360" w:lineRule="auto"/>
        <w:ind w:firstLine="480" w:firstLineChars="200"/>
        <w:rPr>
          <w:rFonts w:ascii="Times New Roman" w:hAnsi="Times New Roman" w:eastAsia="宋体" w:cs="Times New Roman"/>
          <w:sz w:val="24"/>
          <w:szCs w:val="22"/>
        </w:rPr>
      </w:pPr>
      <w:bookmarkStart w:id="16" w:name="_Toc451526485"/>
      <w:r>
        <w:rPr>
          <w:rFonts w:ascii="Times New Roman" w:hAnsi="Times New Roman" w:eastAsia="宋体" w:cs="Times New Roman"/>
          <w:sz w:val="24"/>
          <w:szCs w:val="22"/>
        </w:rPr>
        <w:t>（1）《生活饮用水卫生标准》（GB5749-2006）；</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（2）《生活饮用水水源水质标准》（CJ3020-93）；</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（3）《地下水质量标准》（GB/T 14848-2017）；</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（4）《水资源评价导则》（SL/T238—1999）；</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（5）《饮用水水源保护区划分技术规范》（HJ338—2018）；</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（6）《饮用水水源保护区标志技术要求》（HJ/T433—2008）；</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（7）《集中式饮用水水源环境保护指南（试行）》（2012.3）；</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（8）关于印发《地表水环境质量评价办法（试行）》的通知（环办【2011】22号）；</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（9）《全国集中式生活饮用水水源地水质监测实施方案》（环办函【2012】1266号）；</w:t>
      </w:r>
      <w:bookmarkStart w:id="219" w:name="_GoBack"/>
      <w:bookmarkEnd w:id="219"/>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（10）《湖南省主要地表水系水环境功能区划》（DB43/023-2005）</w:t>
      </w:r>
      <w:r>
        <w:rPr>
          <w:rFonts w:hint="eastAsia" w:ascii="Times New Roman" w:hAnsi="Times New Roman" w:eastAsia="宋体" w:cs="Times New Roman"/>
          <w:sz w:val="24"/>
          <w:szCs w:val="22"/>
        </w:rPr>
        <w:t>;</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w:t>
      </w:r>
      <w:r>
        <w:rPr>
          <w:rFonts w:hint="eastAsia" w:ascii="Times New Roman" w:hAnsi="Times New Roman" w:eastAsia="宋体" w:cs="Times New Roman"/>
          <w:sz w:val="24"/>
          <w:szCs w:val="22"/>
          <w:lang w:val="en-US" w:eastAsia="zh-CN"/>
        </w:rPr>
        <w:t>1</w:t>
      </w:r>
      <w:r>
        <w:rPr>
          <w:rFonts w:hint="eastAsia" w:ascii="Times New Roman" w:hAnsi="Times New Roman" w:eastAsia="宋体" w:cs="Times New Roman"/>
          <w:sz w:val="24"/>
          <w:szCs w:val="22"/>
        </w:rPr>
        <w:t>）湖南省环境保护厅关于印发《湖南省集中式饮用水水源保护区划分工 作指南》的通知（湘环函[2016]196 号）；</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w:t>
      </w:r>
      <w:r>
        <w:rPr>
          <w:rFonts w:hint="eastAsia" w:ascii="Times New Roman" w:hAnsi="Times New Roman" w:eastAsia="宋体" w:cs="Times New Roman"/>
          <w:sz w:val="24"/>
          <w:szCs w:val="22"/>
          <w:lang w:val="en-US" w:eastAsia="zh-CN"/>
        </w:rPr>
        <w:t>2</w:t>
      </w:r>
      <w:r>
        <w:rPr>
          <w:rFonts w:hint="eastAsia" w:ascii="Times New Roman" w:hAnsi="Times New Roman" w:eastAsia="宋体" w:cs="Times New Roman"/>
          <w:sz w:val="24"/>
          <w:szCs w:val="22"/>
        </w:rPr>
        <w:t>）《集中式饮用水水源地规范化整治建设环境保护技术要求》（HJ337-2015）；</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w:t>
      </w:r>
      <w:r>
        <w:rPr>
          <w:rFonts w:hint="eastAsia" w:ascii="Times New Roman" w:hAnsi="Times New Roman" w:eastAsia="宋体" w:cs="Times New Roman"/>
          <w:sz w:val="24"/>
          <w:szCs w:val="22"/>
          <w:lang w:val="en-US" w:eastAsia="zh-CN"/>
        </w:rPr>
        <w:t>3</w:t>
      </w:r>
      <w:r>
        <w:rPr>
          <w:rFonts w:hint="eastAsia" w:ascii="Times New Roman" w:hAnsi="Times New Roman" w:eastAsia="宋体" w:cs="Times New Roman"/>
          <w:sz w:val="24"/>
          <w:szCs w:val="22"/>
        </w:rPr>
        <w:t>）</w:t>
      </w:r>
      <w:r>
        <w:rPr>
          <w:rFonts w:hint="eastAsia" w:ascii="Times New Roman" w:hAnsi="Times New Roman" w:eastAsia="宋体" w:cs="Times New Roman"/>
          <w:sz w:val="24"/>
          <w:szCs w:val="22"/>
          <w:lang w:val="en-US" w:eastAsia="zh-CN"/>
        </w:rPr>
        <w:t xml:space="preserve"> </w:t>
      </w:r>
      <w:r>
        <w:rPr>
          <w:rFonts w:hint="eastAsia" w:ascii="Times New Roman" w:hAnsi="Times New Roman" w:eastAsia="宋体" w:cs="Times New Roman"/>
          <w:sz w:val="24"/>
          <w:szCs w:val="22"/>
        </w:rPr>
        <w:t>《关于答复全国集中式饮用水水源地环境保护专项行动有关问题的函》（环办环监函[2018]767 号）；</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w:t>
      </w:r>
      <w:r>
        <w:rPr>
          <w:rFonts w:hint="eastAsia" w:ascii="Times New Roman" w:hAnsi="Times New Roman" w:eastAsia="宋体" w:cs="Times New Roman"/>
          <w:sz w:val="24"/>
          <w:szCs w:val="22"/>
          <w:lang w:val="en-US" w:eastAsia="zh-CN"/>
        </w:rPr>
        <w:t>4</w:t>
      </w:r>
      <w:r>
        <w:rPr>
          <w:rFonts w:hint="eastAsia" w:ascii="Times New Roman" w:hAnsi="Times New Roman" w:eastAsia="宋体" w:cs="Times New Roman"/>
          <w:sz w:val="24"/>
          <w:szCs w:val="22"/>
        </w:rPr>
        <w:t>）《关于答复2019 年饮用水水源地环境保护专项行动有关问题的函》（环办执法函[2019]647 号）；</w:t>
      </w:r>
    </w:p>
    <w:p>
      <w:pPr>
        <w:adjustRightInd w:val="0"/>
        <w:snapToGrid w:val="0"/>
        <w:spacing w:line="360" w:lineRule="auto"/>
        <w:ind w:firstLine="480" w:firstLineChars="200"/>
        <w:rPr>
          <w:rFonts w:ascii="Times New Roman" w:hAnsi="Times New Roman" w:eastAsia="宋体" w:cs="Times New Roman"/>
          <w:sz w:val="24"/>
          <w:szCs w:val="22"/>
          <w:highlight w:val="none"/>
        </w:rPr>
      </w:pPr>
      <w:r>
        <w:rPr>
          <w:rFonts w:hint="eastAsia" w:ascii="Times New Roman" w:hAnsi="Times New Roman" w:eastAsia="宋体" w:cs="Times New Roman"/>
          <w:sz w:val="24"/>
          <w:szCs w:val="22"/>
          <w:highlight w:val="none"/>
        </w:rPr>
        <w:t>（1</w:t>
      </w:r>
      <w:r>
        <w:rPr>
          <w:rFonts w:hint="eastAsia" w:ascii="Times New Roman" w:hAnsi="Times New Roman" w:eastAsia="宋体" w:cs="Times New Roman"/>
          <w:sz w:val="24"/>
          <w:szCs w:val="22"/>
          <w:highlight w:val="none"/>
          <w:lang w:val="en-US" w:eastAsia="zh-CN"/>
        </w:rPr>
        <w:t>5</w:t>
      </w:r>
      <w:r>
        <w:rPr>
          <w:rFonts w:hint="eastAsia" w:ascii="Times New Roman" w:hAnsi="Times New Roman" w:eastAsia="宋体" w:cs="Times New Roman"/>
          <w:sz w:val="24"/>
          <w:szCs w:val="22"/>
          <w:highlight w:val="none"/>
        </w:rPr>
        <w:t>）《关于推进乡镇及以下集中式饮用水水源地生态环境保护工作的指导意见》（环水体函[2019]92 号）；</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w:t>
      </w:r>
      <w:r>
        <w:rPr>
          <w:rFonts w:hint="eastAsia" w:ascii="Times New Roman" w:hAnsi="Times New Roman" w:eastAsia="宋体" w:cs="Times New Roman"/>
          <w:sz w:val="24"/>
          <w:szCs w:val="22"/>
          <w:lang w:val="en-US" w:eastAsia="zh-CN"/>
        </w:rPr>
        <w:t>6</w:t>
      </w:r>
      <w:r>
        <w:rPr>
          <w:rFonts w:hint="eastAsia" w:ascii="Times New Roman" w:hAnsi="Times New Roman" w:eastAsia="宋体" w:cs="Times New Roman"/>
          <w:sz w:val="24"/>
          <w:szCs w:val="22"/>
        </w:rPr>
        <w:t>）《2019 年全省生态环境监测方案》（湘环办[2019]11 号）；</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w:t>
      </w:r>
      <w:r>
        <w:rPr>
          <w:rFonts w:hint="eastAsia" w:ascii="Times New Roman" w:hAnsi="Times New Roman" w:eastAsia="宋体" w:cs="Times New Roman"/>
          <w:sz w:val="24"/>
          <w:szCs w:val="22"/>
          <w:lang w:val="en-US" w:eastAsia="zh-CN"/>
        </w:rPr>
        <w:t>7</w:t>
      </w:r>
      <w:r>
        <w:rPr>
          <w:rFonts w:hint="eastAsia" w:ascii="Times New Roman" w:hAnsi="Times New Roman" w:eastAsia="宋体" w:cs="Times New Roman"/>
          <w:sz w:val="24"/>
          <w:szCs w:val="22"/>
        </w:rPr>
        <w:t>）《污染防治攻坚战“2019 年夏季攻势”任务清单》（湘生环委发[2019]4 号）。</w:t>
      </w:r>
    </w:p>
    <w:p>
      <w:pPr>
        <w:pStyle w:val="5"/>
        <w:spacing w:before="156" w:after="156"/>
      </w:pPr>
      <w:bookmarkStart w:id="17" w:name="_Toc6654"/>
      <w:bookmarkStart w:id="18" w:name="_Toc235"/>
      <w:r>
        <w:rPr>
          <w:rFonts w:hint="eastAsia"/>
        </w:rPr>
        <w:t>1.2.3 相关文件、规划资料</w:t>
      </w:r>
      <w:bookmarkEnd w:id="16"/>
      <w:bookmarkEnd w:id="17"/>
      <w:bookmarkEnd w:id="18"/>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（1）《湖南省水功能区划》（2014年修编）；</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（2）《湘阴县县城总体规划（2008-2030）》；</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（3）《岳阳市重要饮用水水源名录》；</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w:t>
      </w:r>
      <w:r>
        <w:rPr>
          <w:rFonts w:hint="eastAsia" w:ascii="Times New Roman" w:hAnsi="Times New Roman" w:eastAsia="宋体" w:cs="Times New Roman"/>
          <w:sz w:val="24"/>
          <w:szCs w:val="22"/>
        </w:rPr>
        <w:t>4</w:t>
      </w:r>
      <w:r>
        <w:rPr>
          <w:rFonts w:ascii="Times New Roman" w:hAnsi="Times New Roman" w:eastAsia="宋体" w:cs="Times New Roman"/>
          <w:sz w:val="24"/>
          <w:szCs w:val="22"/>
        </w:rPr>
        <w:t>）湘阴县人民政府办公室关于印发《湘阴县饮用水水源保护区管理暂行办法》的通知(2013年8月14日)；</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 xml:space="preserve">（5）《湖南省主要地表水系水环境功能区划》（DB43/023-2005）； </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（6）水井的钻孔柱状图、成井工艺图等相关水文地质资料；</w:t>
      </w:r>
    </w:p>
    <w:p>
      <w:pPr>
        <w:adjustRightInd w:val="0"/>
        <w:snapToGrid w:val="0"/>
        <w:spacing w:line="360" w:lineRule="auto"/>
        <w:ind w:firstLine="480" w:firstLineChars="200"/>
        <w:rPr>
          <w:rFonts w:ascii="Times New Roman" w:hAnsi="Times New Roman" w:eastAsia="宋体" w:cs="Times New Roman"/>
          <w:sz w:val="24"/>
          <w:szCs w:val="22"/>
        </w:rPr>
      </w:pPr>
      <w:r>
        <w:rPr>
          <w:rFonts w:hint="eastAsia" w:ascii="Times New Roman" w:hAnsi="Times New Roman" w:eastAsia="宋体" w:cs="Times New Roman"/>
          <w:sz w:val="24"/>
          <w:szCs w:val="22"/>
        </w:rPr>
        <w:t>（7）供水工程初步设计资料；</w:t>
      </w:r>
    </w:p>
    <w:p>
      <w:pPr>
        <w:adjustRightInd w:val="0"/>
        <w:snapToGrid w:val="0"/>
        <w:spacing w:line="360" w:lineRule="auto"/>
        <w:ind w:firstLine="480" w:firstLineChars="200"/>
        <w:rPr>
          <w:rFonts w:hint="eastAsia" w:ascii="Times New Roman" w:hAnsi="Times New Roman" w:eastAsia="宋体" w:cs="Times New Roman"/>
          <w:sz w:val="24"/>
          <w:szCs w:val="22"/>
          <w:lang w:val="en-US" w:eastAsia="zh-CN"/>
        </w:rPr>
      </w:pPr>
      <w:r>
        <w:rPr>
          <w:rFonts w:hint="eastAsia" w:ascii="Times New Roman" w:hAnsi="Times New Roman" w:eastAsia="宋体" w:cs="Times New Roman"/>
          <w:sz w:val="24"/>
          <w:szCs w:val="22"/>
        </w:rPr>
        <w:t>（8）洞庭湖区域的水文地质资</w:t>
      </w:r>
      <w:r>
        <w:rPr>
          <w:rFonts w:hint="eastAsia" w:ascii="Times New Roman" w:hAnsi="Times New Roman" w:eastAsia="宋体" w:cs="Times New Roman"/>
          <w:sz w:val="24"/>
          <w:szCs w:val="22"/>
          <w:lang w:eastAsia="zh-CN"/>
        </w:rPr>
        <w:t>料；</w:t>
      </w:r>
    </w:p>
    <w:p>
      <w:pPr>
        <w:pStyle w:val="4"/>
        <w:spacing w:before="156" w:after="156"/>
      </w:pPr>
      <w:bookmarkStart w:id="19" w:name="_Toc27978"/>
      <w:bookmarkStart w:id="20" w:name="_Toc699"/>
      <w:r>
        <w:rPr>
          <w:rFonts w:hint="eastAsia"/>
        </w:rPr>
        <w:t>1.3 区划原则</w:t>
      </w:r>
      <w:bookmarkEnd w:id="19"/>
      <w:bookmarkEnd w:id="20"/>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w:t>
      </w:r>
      <w:r>
        <w:rPr>
          <w:rFonts w:ascii="Calibri" w:hAnsi="Calibri" w:eastAsia="宋体" w:cs="宋体"/>
          <w:sz w:val="24"/>
          <w:szCs w:val="22"/>
          <w:lang w:bidi="ar"/>
        </w:rPr>
        <w:t>1</w:t>
      </w:r>
      <w:r>
        <w:rPr>
          <w:rFonts w:hint="eastAsia" w:ascii="Calibri" w:hAnsi="Calibri" w:eastAsia="宋体" w:cs="宋体"/>
          <w:sz w:val="24"/>
          <w:szCs w:val="22"/>
          <w:lang w:bidi="ar"/>
        </w:rPr>
        <w:t>）保护优先原则。为了确保水源地水质，应对保护范围内以保护为主，禁止在划定范围</w:t>
      </w:r>
      <w:r>
        <w:rPr>
          <w:rFonts w:hint="eastAsia" w:ascii="Calibri" w:hAnsi="Calibri" w:eastAsia="宋体" w:cs="宋体"/>
          <w:sz w:val="24"/>
          <w:szCs w:val="22"/>
          <w:lang w:val="en-US" w:eastAsia="zh-CN" w:bidi="ar"/>
        </w:rPr>
        <w:t>新建居民区、</w:t>
      </w:r>
      <w:r>
        <w:rPr>
          <w:rFonts w:hint="eastAsia" w:ascii="Calibri" w:hAnsi="Calibri" w:eastAsia="宋体" w:cs="宋体"/>
          <w:sz w:val="24"/>
          <w:szCs w:val="22"/>
          <w:lang w:bidi="ar"/>
        </w:rPr>
        <w:t>投肥养殖、畜禽养殖、限制建设开发等活动。</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w:t>
      </w:r>
      <w:r>
        <w:rPr>
          <w:rFonts w:ascii="Calibri" w:hAnsi="Calibri" w:eastAsia="宋体" w:cs="宋体"/>
          <w:sz w:val="24"/>
          <w:szCs w:val="22"/>
          <w:lang w:bidi="ar"/>
        </w:rPr>
        <w:t>2</w:t>
      </w:r>
      <w:r>
        <w:rPr>
          <w:rFonts w:hint="eastAsia" w:ascii="Calibri" w:hAnsi="Calibri" w:eastAsia="宋体" w:cs="宋体"/>
          <w:sz w:val="24"/>
          <w:szCs w:val="22"/>
          <w:lang w:bidi="ar"/>
        </w:rPr>
        <w:t>）保护工作重心放在预防上，以防为主，防治结合。水源地保护区应根据水源地所处的地理位置、水文地质条件、供水的数量、取水方式和污染源的分布划定。</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w:t>
      </w:r>
      <w:r>
        <w:rPr>
          <w:rFonts w:ascii="Calibri" w:hAnsi="Calibri" w:eastAsia="宋体" w:cs="宋体"/>
          <w:sz w:val="24"/>
          <w:szCs w:val="22"/>
          <w:lang w:bidi="ar"/>
        </w:rPr>
        <w:t>3</w:t>
      </w:r>
      <w:r>
        <w:rPr>
          <w:rFonts w:hint="eastAsia" w:ascii="Calibri" w:hAnsi="Calibri" w:eastAsia="宋体" w:cs="宋体"/>
          <w:sz w:val="24"/>
          <w:szCs w:val="22"/>
          <w:lang w:bidi="ar"/>
        </w:rPr>
        <w:t>）水质达标原则。</w:t>
      </w:r>
      <w:r>
        <w:rPr>
          <w:rFonts w:hint="eastAsia" w:ascii="Calibri" w:hAnsi="Calibri" w:eastAsia="宋体" w:cs="宋体"/>
          <w:sz w:val="24"/>
          <w:szCs w:val="22"/>
          <w:highlight w:val="none"/>
          <w:lang w:bidi="ar"/>
        </w:rPr>
        <w:t>满足《饮用水水源保护区划分技术规范》（</w:t>
      </w:r>
      <w:r>
        <w:rPr>
          <w:rFonts w:ascii="Calibri" w:hAnsi="Calibri" w:eastAsia="宋体" w:cs="宋体"/>
          <w:sz w:val="24"/>
          <w:szCs w:val="22"/>
          <w:highlight w:val="none"/>
          <w:lang w:bidi="ar"/>
        </w:rPr>
        <w:t>HJ</w:t>
      </w:r>
      <w:r>
        <w:rPr>
          <w:rFonts w:hint="eastAsia" w:ascii="Calibri" w:hAnsi="Calibri" w:eastAsia="宋体" w:cs="宋体"/>
          <w:sz w:val="24"/>
          <w:szCs w:val="22"/>
          <w:highlight w:val="none"/>
          <w:lang w:val="en-US" w:eastAsia="zh-CN" w:bidi="ar"/>
        </w:rPr>
        <w:t xml:space="preserve"> </w:t>
      </w:r>
      <w:r>
        <w:rPr>
          <w:rFonts w:ascii="Calibri" w:hAnsi="Calibri" w:eastAsia="宋体" w:cs="宋体"/>
          <w:sz w:val="24"/>
          <w:szCs w:val="22"/>
          <w:highlight w:val="none"/>
          <w:lang w:bidi="ar"/>
        </w:rPr>
        <w:t>338</w:t>
      </w:r>
      <w:r>
        <w:rPr>
          <w:rFonts w:hint="eastAsia" w:ascii="Calibri" w:hAnsi="Calibri" w:eastAsia="宋体" w:cs="宋体"/>
          <w:sz w:val="24"/>
          <w:szCs w:val="22"/>
          <w:highlight w:val="none"/>
          <w:lang w:bidi="ar"/>
        </w:rPr>
        <w:t>—</w:t>
      </w:r>
      <w:r>
        <w:rPr>
          <w:rFonts w:ascii="Calibri" w:hAnsi="Calibri" w:eastAsia="宋体" w:cs="宋体"/>
          <w:sz w:val="24"/>
          <w:szCs w:val="22"/>
          <w:highlight w:val="none"/>
          <w:lang w:bidi="ar"/>
        </w:rPr>
        <w:t>2</w:t>
      </w:r>
      <w:r>
        <w:rPr>
          <w:rFonts w:hint="eastAsia" w:ascii="Calibri" w:hAnsi="Calibri" w:eastAsia="宋体" w:cs="宋体"/>
          <w:sz w:val="24"/>
          <w:szCs w:val="22"/>
          <w:highlight w:val="none"/>
          <w:lang w:val="en-US" w:eastAsia="zh-CN" w:bidi="ar"/>
        </w:rPr>
        <w:t>018</w:t>
      </w:r>
      <w:r>
        <w:rPr>
          <w:rFonts w:hint="eastAsia" w:ascii="Calibri" w:hAnsi="Calibri" w:eastAsia="宋体" w:cs="宋体"/>
          <w:sz w:val="24"/>
          <w:szCs w:val="22"/>
          <w:highlight w:val="none"/>
          <w:lang w:bidi="ar"/>
        </w:rPr>
        <w:t>）中地</w:t>
      </w:r>
      <w:r>
        <w:rPr>
          <w:rFonts w:hint="eastAsia" w:ascii="Calibri" w:hAnsi="Calibri" w:eastAsia="宋体" w:cs="宋体"/>
          <w:sz w:val="24"/>
          <w:szCs w:val="22"/>
          <w:highlight w:val="none"/>
          <w:lang w:val="en-US" w:eastAsia="zh-CN" w:bidi="ar"/>
        </w:rPr>
        <w:t>下</w:t>
      </w:r>
      <w:r>
        <w:rPr>
          <w:rFonts w:hint="eastAsia" w:ascii="Calibri" w:hAnsi="Calibri" w:eastAsia="宋体" w:cs="宋体"/>
          <w:sz w:val="24"/>
          <w:szCs w:val="22"/>
          <w:highlight w:val="none"/>
          <w:lang w:bidi="ar"/>
        </w:rPr>
        <w:t>水饮用水源保护区水质要求</w:t>
      </w:r>
      <w:r>
        <w:rPr>
          <w:rFonts w:hint="eastAsia" w:ascii="Calibri" w:hAnsi="Calibri" w:eastAsia="宋体" w:cs="宋体"/>
          <w:sz w:val="24"/>
          <w:szCs w:val="22"/>
          <w:lang w:bidi="ar"/>
        </w:rPr>
        <w:t>。</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w:t>
      </w:r>
      <w:r>
        <w:rPr>
          <w:rFonts w:ascii="Calibri" w:hAnsi="Calibri" w:eastAsia="宋体" w:cs="宋体"/>
          <w:sz w:val="24"/>
          <w:szCs w:val="22"/>
          <w:lang w:bidi="ar"/>
        </w:rPr>
        <w:t>4</w:t>
      </w:r>
      <w:r>
        <w:rPr>
          <w:rFonts w:hint="eastAsia" w:ascii="Calibri" w:hAnsi="Calibri" w:eastAsia="宋体" w:cs="宋体"/>
          <w:sz w:val="24"/>
          <w:szCs w:val="22"/>
          <w:lang w:bidi="ar"/>
        </w:rPr>
        <w:t>）保护区范围</w:t>
      </w:r>
      <w:r>
        <w:rPr>
          <w:rFonts w:hint="eastAsia" w:ascii="Calibri" w:hAnsi="Calibri" w:eastAsia="宋体" w:cs="宋体"/>
          <w:sz w:val="24"/>
          <w:szCs w:val="22"/>
          <w:lang w:val="en-US" w:eastAsia="zh-CN" w:bidi="ar"/>
        </w:rPr>
        <w:t>科学合理</w:t>
      </w:r>
      <w:r>
        <w:rPr>
          <w:rFonts w:hint="eastAsia" w:ascii="Calibri" w:hAnsi="Calibri" w:eastAsia="宋体" w:cs="宋体"/>
          <w:sz w:val="24"/>
          <w:szCs w:val="22"/>
          <w:lang w:bidi="ar"/>
        </w:rPr>
        <w:t>原则。在确保水源水质不受污染的前提下，</w:t>
      </w:r>
      <w:r>
        <w:rPr>
          <w:rFonts w:hint="eastAsia" w:ascii="Calibri" w:hAnsi="Calibri" w:eastAsia="宋体" w:cs="宋体"/>
          <w:sz w:val="24"/>
          <w:szCs w:val="22"/>
          <w:lang w:val="en-US" w:eastAsia="zh-CN" w:bidi="ar"/>
        </w:rPr>
        <w:t>科学合理的划定</w:t>
      </w:r>
      <w:r>
        <w:rPr>
          <w:rFonts w:hint="eastAsia" w:ascii="Calibri" w:hAnsi="Calibri" w:eastAsia="宋体" w:cs="宋体"/>
          <w:sz w:val="24"/>
          <w:szCs w:val="22"/>
          <w:lang w:bidi="ar"/>
        </w:rPr>
        <w:t>水源保护区范围。</w:t>
      </w:r>
      <w:r>
        <w:rPr>
          <w:rFonts w:ascii="Calibri" w:hAnsi="Calibri" w:eastAsia="宋体" w:cs="宋体"/>
          <w:sz w:val="24"/>
          <w:szCs w:val="22"/>
          <w:lang w:bidi="ar"/>
        </w:rPr>
        <w:t xml:space="preserve"> </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w:t>
      </w:r>
      <w:r>
        <w:rPr>
          <w:rFonts w:ascii="Calibri" w:hAnsi="Calibri" w:eastAsia="宋体" w:cs="宋体"/>
          <w:sz w:val="24"/>
          <w:szCs w:val="22"/>
          <w:lang w:bidi="ar"/>
        </w:rPr>
        <w:t>5</w:t>
      </w:r>
      <w:r>
        <w:rPr>
          <w:rFonts w:hint="eastAsia" w:ascii="Calibri" w:hAnsi="Calibri" w:eastAsia="宋体" w:cs="宋体"/>
          <w:sz w:val="24"/>
          <w:szCs w:val="22"/>
          <w:lang w:bidi="ar"/>
        </w:rPr>
        <w:t>）因地制宜原则。划定的水源保护区范围，应防止水源附近人类活动对水源的直接污染；应足以使所选定的主要污染物在向取水点输移（或运移）过程中，衰减到所期望的浓度水平；在正常情况下保证取水水质达到规定要求，一旦出现污染水源的突发情况，有采取紧急补救措施的时间和缓冲地带。</w:t>
      </w:r>
    </w:p>
    <w:p>
      <w:pPr>
        <w:pStyle w:val="4"/>
        <w:spacing w:before="156" w:after="156"/>
      </w:pPr>
      <w:bookmarkStart w:id="21" w:name="_Toc24925"/>
      <w:bookmarkStart w:id="22" w:name="_Toc22153"/>
      <w:r>
        <w:rPr>
          <w:rFonts w:hint="eastAsia"/>
        </w:rPr>
        <w:t>1.4. 区划范围</w:t>
      </w:r>
      <w:bookmarkEnd w:id="21"/>
      <w:bookmarkEnd w:id="22"/>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湘阴县</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eastAsia="zh-CN" w:bidi="ar"/>
        </w:rPr>
        <w:t>地下水</w:t>
      </w:r>
      <w:r>
        <w:rPr>
          <w:rFonts w:hint="eastAsia" w:ascii="Calibri" w:hAnsi="Calibri" w:eastAsia="宋体" w:cs="宋体"/>
          <w:sz w:val="24"/>
          <w:szCs w:val="22"/>
          <w:lang w:bidi="ar"/>
        </w:rPr>
        <w:t>饮用水源保护区位于湘阴县</w:t>
      </w:r>
      <w:r>
        <w:rPr>
          <w:rFonts w:hint="eastAsia" w:ascii="Calibri" w:hAnsi="Calibri" w:eastAsia="宋体" w:cs="宋体"/>
          <w:sz w:val="24"/>
          <w:szCs w:val="22"/>
          <w:lang w:val="en-US" w:eastAsia="zh-CN" w:bidi="ar"/>
        </w:rPr>
        <w:t>石塘村内</w:t>
      </w:r>
      <w:r>
        <w:rPr>
          <w:rFonts w:hint="eastAsia" w:ascii="Calibri" w:hAnsi="Calibri" w:eastAsia="宋体" w:cs="宋体"/>
          <w:sz w:val="24"/>
          <w:szCs w:val="22"/>
          <w:lang w:bidi="ar"/>
        </w:rPr>
        <w:t>，水源地为</w:t>
      </w:r>
      <w:r>
        <w:rPr>
          <w:rFonts w:hint="eastAsia" w:ascii="Calibri" w:hAnsi="Calibri" w:eastAsia="宋体" w:cs="宋体"/>
          <w:sz w:val="24"/>
          <w:szCs w:val="22"/>
          <w:lang w:val="en-US" w:eastAsia="zh-CN" w:bidi="ar"/>
        </w:rPr>
        <w:t>石塘村</w:t>
      </w:r>
      <w:r>
        <w:rPr>
          <w:rFonts w:hint="eastAsia" w:ascii="Calibri" w:hAnsi="Calibri" w:eastAsia="宋体" w:cs="宋体"/>
          <w:sz w:val="24"/>
          <w:szCs w:val="22"/>
          <w:lang w:bidi="ar"/>
        </w:rPr>
        <w:t>内的</w:t>
      </w:r>
      <w:r>
        <w:rPr>
          <w:rFonts w:hint="eastAsia" w:ascii="Calibri" w:hAnsi="Calibri" w:eastAsia="宋体" w:cs="宋体"/>
          <w:sz w:val="24"/>
          <w:szCs w:val="22"/>
          <w:lang w:val="en-US" w:eastAsia="zh-CN" w:bidi="ar"/>
        </w:rPr>
        <w:t>三</w:t>
      </w:r>
      <w:r>
        <w:rPr>
          <w:rFonts w:hint="eastAsia" w:ascii="Calibri" w:hAnsi="Calibri" w:eastAsia="宋体" w:cs="宋体"/>
          <w:sz w:val="24"/>
          <w:szCs w:val="22"/>
          <w:lang w:bidi="ar"/>
        </w:rPr>
        <w:t>个水井</w:t>
      </w:r>
      <w:r>
        <w:rPr>
          <w:rFonts w:hint="eastAsia" w:ascii="Calibri" w:hAnsi="Calibri" w:eastAsia="宋体" w:cs="宋体"/>
          <w:sz w:val="24"/>
          <w:szCs w:val="22"/>
          <w:lang w:eastAsia="zh-CN" w:bidi="ar"/>
        </w:rPr>
        <w:t>，</w:t>
      </w:r>
      <w:r>
        <w:rPr>
          <w:rFonts w:hint="eastAsia" w:ascii="Calibri" w:hAnsi="Calibri" w:eastAsia="宋体" w:cs="宋体"/>
          <w:sz w:val="24"/>
          <w:szCs w:val="22"/>
          <w:lang w:val="en-US" w:eastAsia="zh-CN" w:bidi="ar"/>
        </w:rPr>
        <w:t>分别为</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val="en-US" w:eastAsia="zh-CN" w:bidi="ar"/>
        </w:rPr>
        <w:t>一号水井、</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val="en-US" w:eastAsia="zh-CN" w:bidi="ar"/>
        </w:rPr>
        <w:t>二号水井、</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val="en-US" w:eastAsia="zh-CN" w:bidi="ar"/>
        </w:rPr>
        <w:t>三号水井，其中一号水井、二号水井位于石塘村长仑水厂院内，三号水井位于石塘村乡道边</w:t>
      </w:r>
      <w:r>
        <w:rPr>
          <w:rFonts w:hint="eastAsia" w:ascii="Calibri" w:hAnsi="Calibri" w:eastAsia="宋体" w:cs="宋体"/>
          <w:sz w:val="24"/>
          <w:szCs w:val="22"/>
          <w:lang w:bidi="ar"/>
        </w:rPr>
        <w:t>。</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根据《饮用水水源保护区划分技术规范》（HJ338-2018）和《湖南省集中式</w:t>
      </w:r>
    </w:p>
    <w:p>
      <w:pPr>
        <w:adjustRightInd w:val="0"/>
        <w:snapToGrid w:val="0"/>
        <w:spacing w:line="360" w:lineRule="auto"/>
        <w:rPr>
          <w:rFonts w:hint="eastAsia" w:ascii="Calibri" w:hAnsi="Calibri" w:eastAsia="宋体" w:cs="宋体"/>
          <w:sz w:val="24"/>
          <w:szCs w:val="22"/>
          <w:lang w:bidi="ar"/>
        </w:rPr>
      </w:pPr>
      <w:r>
        <w:rPr>
          <w:rFonts w:hint="eastAsia" w:ascii="Calibri" w:hAnsi="Calibri" w:eastAsia="宋体" w:cs="宋体"/>
          <w:sz w:val="24"/>
          <w:szCs w:val="22"/>
          <w:lang w:bidi="ar"/>
        </w:rPr>
        <w:t>饮用水水源保护区划分工作指南》，确定本次区划范围为水源保护区范围及取水口周边1km区域。</w:t>
      </w:r>
    </w:p>
    <w:p>
      <w:pPr>
        <w:pStyle w:val="4"/>
        <w:spacing w:before="156" w:after="156"/>
      </w:pPr>
      <w:bookmarkStart w:id="23" w:name="_Toc13675"/>
      <w:bookmarkStart w:id="24" w:name="_Toc30993"/>
      <w:r>
        <w:rPr>
          <w:rFonts w:hint="eastAsia"/>
        </w:rPr>
        <w:t>1.5 工作过程与总体成果</w:t>
      </w:r>
      <w:bookmarkEnd w:id="23"/>
      <w:bookmarkEnd w:id="24"/>
    </w:p>
    <w:p>
      <w:pPr>
        <w:pStyle w:val="5"/>
        <w:spacing w:before="156" w:after="156"/>
      </w:pPr>
      <w:bookmarkStart w:id="25" w:name="_Toc453061707"/>
      <w:bookmarkStart w:id="26" w:name="_Toc453061553"/>
      <w:bookmarkStart w:id="27" w:name="_Toc31202"/>
      <w:bookmarkStart w:id="28" w:name="_Toc31373"/>
      <w:r>
        <w:rPr>
          <w:rFonts w:hint="eastAsia"/>
        </w:rPr>
        <w:t>1.5.1技术路线</w:t>
      </w:r>
      <w:bookmarkEnd w:id="25"/>
      <w:bookmarkEnd w:id="26"/>
      <w:bookmarkEnd w:id="27"/>
      <w:bookmarkEnd w:id="28"/>
      <w:r>
        <w:rPr>
          <w:rFonts w:hint="eastAsia"/>
        </w:rPr>
        <w:tab/>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湘阴县</w:t>
      </w:r>
      <w:r>
        <w:rPr>
          <w:rFonts w:hint="eastAsia" w:ascii="Calibri" w:hAnsi="Calibri" w:eastAsia="宋体" w:cs="宋体"/>
          <w:sz w:val="24"/>
          <w:szCs w:val="22"/>
          <w:highlight w:val="none"/>
          <w:lang w:val="en-US" w:eastAsia="zh-CN" w:bidi="ar"/>
        </w:rPr>
        <w:t>石塘镇地下水</w:t>
      </w:r>
      <w:r>
        <w:rPr>
          <w:rFonts w:hint="eastAsia" w:ascii="Calibri" w:hAnsi="Calibri" w:eastAsia="宋体" w:cs="宋体"/>
          <w:sz w:val="24"/>
          <w:szCs w:val="22"/>
          <w:lang w:bidi="ar"/>
        </w:rPr>
        <w:t>饮用水源保护区划分，按照以下技术路线开展工作：</w:t>
      </w:r>
    </w:p>
    <w:p>
      <w:pPr>
        <w:adjustRightInd w:val="0"/>
        <w:snapToGrid w:val="0"/>
        <w:spacing w:line="360" w:lineRule="auto"/>
        <w:ind w:firstLine="480" w:firstLineChars="200"/>
        <w:rPr>
          <w:rFonts w:hint="eastAsia" w:ascii="Calibri" w:hAnsi="Calibri" w:eastAsia="宋体" w:cs="宋体"/>
          <w:sz w:val="24"/>
          <w:szCs w:val="22"/>
          <w:highlight w:val="none"/>
          <w:lang w:val="en-US" w:eastAsia="zh-CN" w:bidi="ar"/>
        </w:rPr>
      </w:pPr>
      <w:r>
        <w:rPr>
          <w:rFonts w:hint="eastAsia" w:ascii="Calibri" w:hAnsi="Calibri" w:eastAsia="宋体" w:cs="宋体"/>
          <w:sz w:val="24"/>
          <w:szCs w:val="22"/>
          <w:highlight w:val="none"/>
          <w:lang w:bidi="ar"/>
        </w:rPr>
        <w:t>（1）</w:t>
      </w:r>
      <w:r>
        <w:rPr>
          <w:rFonts w:hint="eastAsia" w:ascii="Calibri" w:hAnsi="Calibri" w:eastAsia="宋体" w:cs="宋体"/>
          <w:sz w:val="24"/>
          <w:szCs w:val="22"/>
          <w:highlight w:val="none"/>
          <w:lang w:val="en-US" w:eastAsia="zh-CN" w:bidi="ar"/>
        </w:rPr>
        <w:t>开展饮用水水源地基础情况、水质状况、环境管理状况调查，分析水源地存在的水质和管理问题，识别水源地主要环境问题和环境风险情况</w:t>
      </w:r>
    </w:p>
    <w:p>
      <w:pPr>
        <w:adjustRightInd w:val="0"/>
        <w:snapToGrid w:val="0"/>
        <w:spacing w:line="360" w:lineRule="auto"/>
        <w:ind w:firstLine="480" w:firstLineChars="200"/>
        <w:rPr>
          <w:rFonts w:ascii="Calibri" w:hAnsi="Calibri" w:eastAsia="宋体" w:cs="宋体"/>
          <w:sz w:val="24"/>
          <w:szCs w:val="22"/>
          <w:highlight w:val="none"/>
          <w:lang w:bidi="ar"/>
        </w:rPr>
      </w:pPr>
      <w:r>
        <w:rPr>
          <w:rFonts w:hint="eastAsia" w:ascii="Calibri" w:hAnsi="Calibri" w:eastAsia="宋体" w:cs="宋体"/>
          <w:sz w:val="24"/>
          <w:szCs w:val="22"/>
          <w:highlight w:val="none"/>
          <w:lang w:bidi="ar"/>
        </w:rPr>
        <w:t>①饮用水源地所在区域或流域自然状况（水文特征、气象等）、生态与环境状况调查、社会经济状况（辖区面积、人口、GDP、水资源利用、供水格局等）等。</w:t>
      </w:r>
    </w:p>
    <w:p>
      <w:pPr>
        <w:adjustRightInd w:val="0"/>
        <w:snapToGrid w:val="0"/>
        <w:spacing w:line="360" w:lineRule="auto"/>
        <w:ind w:firstLine="480" w:firstLineChars="200"/>
        <w:rPr>
          <w:rFonts w:ascii="Calibri" w:hAnsi="Calibri" w:eastAsia="宋体" w:cs="宋体"/>
          <w:sz w:val="24"/>
          <w:szCs w:val="22"/>
          <w:highlight w:val="none"/>
          <w:lang w:bidi="ar"/>
        </w:rPr>
      </w:pPr>
      <w:r>
        <w:rPr>
          <w:rFonts w:hint="eastAsia" w:ascii="Calibri" w:hAnsi="Calibri" w:eastAsia="宋体" w:cs="宋体"/>
          <w:sz w:val="24"/>
          <w:szCs w:val="22"/>
          <w:highlight w:val="none"/>
          <w:lang w:bidi="ar"/>
        </w:rPr>
        <w:t>②饮用水源地基础信息：类型（如地表水、地下水，地表水是河流型还是水库或湖泊等等），地理位置、取水口位置、日供水量、服务人口、供水方式等。</w:t>
      </w:r>
    </w:p>
    <w:p>
      <w:pPr>
        <w:adjustRightInd w:val="0"/>
        <w:snapToGrid w:val="0"/>
        <w:spacing w:line="360" w:lineRule="auto"/>
        <w:ind w:firstLine="480" w:firstLineChars="200"/>
        <w:rPr>
          <w:rFonts w:ascii="Calibri" w:hAnsi="Calibri" w:eastAsia="宋体" w:cs="宋体"/>
          <w:sz w:val="24"/>
          <w:szCs w:val="22"/>
          <w:highlight w:val="none"/>
          <w:lang w:bidi="ar"/>
        </w:rPr>
      </w:pPr>
      <w:r>
        <w:rPr>
          <w:rFonts w:hint="eastAsia" w:ascii="Calibri" w:hAnsi="Calibri" w:eastAsia="宋体" w:cs="宋体"/>
          <w:sz w:val="24"/>
          <w:szCs w:val="22"/>
          <w:highlight w:val="none"/>
          <w:lang w:bidi="ar"/>
        </w:rPr>
        <w:t>③水质调查及分析。通过收集取水口常规监测断面的监测资料</w:t>
      </w:r>
      <w:r>
        <w:rPr>
          <w:rFonts w:hint="eastAsia" w:ascii="Calibri" w:hAnsi="Calibri" w:eastAsia="宋体" w:cs="宋体"/>
          <w:sz w:val="24"/>
          <w:szCs w:val="22"/>
          <w:highlight w:val="none"/>
          <w:lang w:val="en-US" w:eastAsia="zh-CN" w:bidi="ar"/>
        </w:rPr>
        <w:t>以及补充监测数据</w:t>
      </w:r>
      <w:r>
        <w:rPr>
          <w:rFonts w:hint="eastAsia" w:ascii="Calibri" w:hAnsi="Calibri" w:eastAsia="宋体" w:cs="宋体"/>
          <w:sz w:val="24"/>
          <w:szCs w:val="22"/>
          <w:highlight w:val="none"/>
          <w:lang w:bidi="ar"/>
        </w:rPr>
        <w:t>，分析水源地水体水质情况，得出水源地水体水质是否满足相关标准要求。</w:t>
      </w:r>
    </w:p>
    <w:p>
      <w:pPr>
        <w:adjustRightInd w:val="0"/>
        <w:snapToGrid w:val="0"/>
        <w:spacing w:line="360" w:lineRule="auto"/>
        <w:ind w:firstLine="480" w:firstLineChars="200"/>
        <w:rPr>
          <w:rFonts w:ascii="Calibri" w:hAnsi="Calibri" w:eastAsia="宋体" w:cs="宋体"/>
          <w:sz w:val="24"/>
          <w:szCs w:val="22"/>
          <w:highlight w:val="none"/>
          <w:lang w:bidi="ar"/>
        </w:rPr>
      </w:pPr>
      <w:r>
        <w:rPr>
          <w:rFonts w:hint="eastAsia" w:ascii="Calibri" w:hAnsi="Calibri" w:eastAsia="宋体" w:cs="宋体"/>
          <w:sz w:val="24"/>
          <w:szCs w:val="22"/>
          <w:highlight w:val="none"/>
          <w:lang w:bidi="ar"/>
        </w:rPr>
        <w:t>④污染源调查。调查水源地</w:t>
      </w:r>
      <w:r>
        <w:rPr>
          <w:rFonts w:hint="eastAsia" w:ascii="Calibri" w:hAnsi="Calibri" w:eastAsia="宋体" w:cs="宋体"/>
          <w:sz w:val="24"/>
          <w:szCs w:val="22"/>
          <w:highlight w:val="none"/>
          <w:lang w:val="en-US" w:eastAsia="zh-CN" w:bidi="ar"/>
        </w:rPr>
        <w:t>1</w:t>
      </w:r>
      <w:r>
        <w:rPr>
          <w:rFonts w:hint="eastAsia" w:ascii="Calibri" w:hAnsi="Calibri" w:eastAsia="宋体" w:cs="宋体"/>
          <w:sz w:val="24"/>
          <w:szCs w:val="22"/>
          <w:highlight w:val="none"/>
          <w:lang w:bidi="ar"/>
        </w:rPr>
        <w:t>km范围内工业污染源情况、农业面源污染源情况、生活污染源及其它可能污染水质的情况，支流汇入情况等</w:t>
      </w:r>
      <w:r>
        <w:rPr>
          <w:rFonts w:hint="eastAsia" w:ascii="Calibri" w:hAnsi="Calibri" w:eastAsia="宋体" w:cs="宋体"/>
          <w:sz w:val="24"/>
          <w:szCs w:val="22"/>
          <w:highlight w:val="none"/>
          <w:lang w:eastAsia="zh-CN" w:bidi="ar"/>
        </w:rPr>
        <w:t>（</w:t>
      </w:r>
      <w:r>
        <w:rPr>
          <w:rFonts w:hint="eastAsia" w:ascii="Calibri" w:hAnsi="Calibri" w:eastAsia="宋体" w:cs="宋体"/>
          <w:sz w:val="24"/>
          <w:szCs w:val="22"/>
          <w:highlight w:val="none"/>
          <w:lang w:val="en-US" w:eastAsia="zh-CN" w:bidi="ar"/>
        </w:rPr>
        <w:t>包括重要气型污染源</w:t>
      </w:r>
      <w:r>
        <w:rPr>
          <w:rFonts w:hint="eastAsia" w:ascii="Calibri" w:hAnsi="Calibri" w:eastAsia="宋体" w:cs="宋体"/>
          <w:sz w:val="24"/>
          <w:szCs w:val="22"/>
          <w:highlight w:val="none"/>
          <w:lang w:eastAsia="zh-CN" w:bidi="ar"/>
        </w:rPr>
        <w:t>）</w:t>
      </w:r>
      <w:r>
        <w:rPr>
          <w:rFonts w:hint="eastAsia" w:ascii="Calibri" w:hAnsi="Calibri" w:eastAsia="宋体" w:cs="宋体"/>
          <w:sz w:val="24"/>
          <w:szCs w:val="22"/>
          <w:highlight w:val="none"/>
          <w:lang w:bidi="ar"/>
        </w:rPr>
        <w:t>。</w:t>
      </w:r>
    </w:p>
    <w:p>
      <w:pPr>
        <w:adjustRightInd w:val="0"/>
        <w:snapToGrid w:val="0"/>
        <w:spacing w:line="360" w:lineRule="auto"/>
        <w:ind w:firstLine="480" w:firstLineChars="200"/>
        <w:rPr>
          <w:rFonts w:hint="eastAsia" w:ascii="Calibri" w:hAnsi="Calibri" w:eastAsia="宋体" w:cs="宋体"/>
          <w:sz w:val="24"/>
          <w:szCs w:val="22"/>
          <w:highlight w:val="none"/>
          <w:lang w:val="en-US" w:eastAsia="zh-CN" w:bidi="ar"/>
        </w:rPr>
      </w:pPr>
      <w:r>
        <w:rPr>
          <w:rFonts w:hint="eastAsia" w:ascii="Calibri" w:hAnsi="Calibri" w:eastAsia="宋体" w:cs="宋体"/>
          <w:sz w:val="24"/>
          <w:szCs w:val="22"/>
          <w:highlight w:val="none"/>
          <w:lang w:bidi="ar"/>
        </w:rPr>
        <w:t>（2）</w:t>
      </w:r>
      <w:r>
        <w:rPr>
          <w:rFonts w:hint="eastAsia" w:ascii="Calibri" w:hAnsi="Calibri" w:eastAsia="宋体" w:cs="宋体"/>
          <w:sz w:val="24"/>
          <w:szCs w:val="22"/>
          <w:highlight w:val="none"/>
          <w:lang w:val="en-US" w:eastAsia="zh-CN" w:bidi="ar"/>
        </w:rPr>
        <w:t>依据不同水源地技术资料的详尽程度，结合环境管理现状及要求，筛选出适宜的保护区划分方法，通过计算分析，合理确定保护区的范围，并初步确定保护区主要拐点的经纬度坐标。</w:t>
      </w:r>
    </w:p>
    <w:p>
      <w:pPr>
        <w:adjustRightInd w:val="0"/>
        <w:snapToGrid w:val="0"/>
        <w:spacing w:line="360" w:lineRule="auto"/>
        <w:ind w:firstLine="480" w:firstLineChars="200"/>
        <w:rPr>
          <w:rFonts w:ascii="Calibri" w:hAnsi="Calibri" w:eastAsia="宋体" w:cs="宋体"/>
          <w:sz w:val="24"/>
          <w:szCs w:val="22"/>
          <w:highlight w:val="none"/>
          <w:lang w:bidi="ar"/>
        </w:rPr>
      </w:pPr>
      <w:r>
        <w:rPr>
          <w:rFonts w:hint="eastAsia" w:ascii="Calibri" w:hAnsi="Calibri" w:eastAsia="宋体" w:cs="宋体"/>
          <w:sz w:val="24"/>
          <w:szCs w:val="22"/>
          <w:highlight w:val="none"/>
          <w:lang w:bidi="ar"/>
        </w:rPr>
        <w:t>（3）</w:t>
      </w:r>
      <w:r>
        <w:rPr>
          <w:rFonts w:hint="eastAsia" w:ascii="Calibri" w:hAnsi="Calibri" w:eastAsia="宋体" w:cs="宋体"/>
          <w:sz w:val="24"/>
          <w:szCs w:val="22"/>
          <w:highlight w:val="none"/>
          <w:lang w:val="en-US" w:eastAsia="zh-CN" w:bidi="ar"/>
        </w:rPr>
        <w:t>进行保护区的现场勘界，最终确定主要拐点的经纬度坐标</w:t>
      </w:r>
      <w:r>
        <w:rPr>
          <w:rFonts w:hint="eastAsia" w:ascii="Calibri" w:hAnsi="Calibri" w:eastAsia="宋体" w:cs="宋体"/>
          <w:sz w:val="24"/>
          <w:szCs w:val="22"/>
          <w:highlight w:val="none"/>
          <w:lang w:bidi="ar"/>
        </w:rPr>
        <w:t xml:space="preserve">。 </w:t>
      </w:r>
    </w:p>
    <w:p>
      <w:pPr>
        <w:adjustRightInd w:val="0"/>
        <w:snapToGrid w:val="0"/>
        <w:spacing w:line="360" w:lineRule="auto"/>
        <w:ind w:firstLine="480" w:firstLineChars="200"/>
        <w:rPr>
          <w:rFonts w:hint="eastAsia" w:ascii="Calibri" w:hAnsi="Calibri" w:eastAsia="宋体" w:cs="宋体"/>
          <w:sz w:val="24"/>
          <w:szCs w:val="22"/>
          <w:highlight w:val="none"/>
          <w:lang w:val="en-US" w:eastAsia="zh-CN" w:bidi="ar"/>
        </w:rPr>
      </w:pPr>
      <w:r>
        <w:rPr>
          <w:rFonts w:hint="eastAsia" w:ascii="Calibri" w:hAnsi="Calibri" w:eastAsia="宋体" w:cs="宋体"/>
          <w:sz w:val="24"/>
          <w:szCs w:val="22"/>
          <w:highlight w:val="none"/>
          <w:lang w:bidi="ar"/>
        </w:rPr>
        <w:t>（4）</w:t>
      </w:r>
      <w:r>
        <w:rPr>
          <w:rFonts w:hint="eastAsia" w:ascii="Calibri" w:hAnsi="Calibri" w:eastAsia="宋体" w:cs="宋体"/>
          <w:sz w:val="24"/>
          <w:szCs w:val="22"/>
          <w:highlight w:val="none"/>
          <w:lang w:val="en-US" w:eastAsia="zh-CN" w:bidi="ar"/>
        </w:rPr>
        <w:t>依据最终保护区的经纬度坐标，修订保护区边界，核定保护区范围和面积。</w:t>
      </w:r>
    </w:p>
    <w:p>
      <w:pPr>
        <w:adjustRightInd w:val="0"/>
        <w:snapToGrid w:val="0"/>
        <w:spacing w:line="360" w:lineRule="auto"/>
        <w:ind w:firstLine="480" w:firstLineChars="200"/>
        <w:rPr>
          <w:rFonts w:hint="eastAsia" w:ascii="Calibri" w:hAnsi="Calibri" w:eastAsia="宋体" w:cs="宋体"/>
          <w:sz w:val="24"/>
          <w:szCs w:val="22"/>
          <w:highlight w:val="none"/>
          <w:lang w:val="en-US" w:eastAsia="zh-CN" w:bidi="ar"/>
        </w:rPr>
      </w:pPr>
      <w:r>
        <w:rPr>
          <w:rFonts w:hint="eastAsia" w:ascii="Calibri" w:hAnsi="Calibri" w:eastAsia="宋体" w:cs="宋体"/>
          <w:sz w:val="24"/>
          <w:szCs w:val="22"/>
          <w:highlight w:val="none"/>
          <w:lang w:val="en-US" w:eastAsia="zh-CN" w:bidi="ar"/>
        </w:rPr>
        <w:t>（5）制作保护区的图件。</w:t>
      </w:r>
    </w:p>
    <w:p>
      <w:pPr>
        <w:spacing w:line="360" w:lineRule="auto"/>
        <w:ind w:firstLine="480" w:firstLineChars="200"/>
        <w:jc w:val="left"/>
        <w:rPr>
          <w:highlight w:val="none"/>
        </w:rPr>
      </w:pPr>
      <w:r>
        <w:rPr>
          <w:rFonts w:hint="eastAsia" w:ascii="Calibri" w:hAnsi="Calibri" w:eastAsia="宋体" w:cs="宋体"/>
          <w:sz w:val="24"/>
          <w:szCs w:val="22"/>
          <w:highlight w:val="none"/>
          <w:lang w:val="en-US" w:eastAsia="zh-CN" w:bidi="ar"/>
        </w:rPr>
        <w:t>（6）</w:t>
      </w:r>
      <w:r>
        <w:rPr>
          <w:rFonts w:hint="eastAsia" w:ascii="Calibri" w:hAnsi="Calibri" w:eastAsia="宋体" w:cs="宋体"/>
          <w:sz w:val="24"/>
          <w:szCs w:val="22"/>
          <w:highlight w:val="none"/>
          <w:lang w:bidi="ar"/>
        </w:rPr>
        <w:t>编制饮用水源保护区划分</w:t>
      </w:r>
      <w:r>
        <w:rPr>
          <w:rFonts w:hint="eastAsia" w:ascii="Calibri" w:hAnsi="Calibri" w:eastAsia="宋体" w:cs="宋体"/>
          <w:sz w:val="24"/>
          <w:szCs w:val="22"/>
          <w:highlight w:val="none"/>
          <w:lang w:val="en-US" w:eastAsia="zh-CN" w:bidi="ar"/>
        </w:rPr>
        <w:t>技术报告，完成技术方案</w:t>
      </w:r>
      <w:r>
        <w:rPr>
          <w:rFonts w:hint="eastAsia" w:ascii="Calibri" w:hAnsi="Calibri" w:eastAsia="宋体" w:cs="宋体"/>
          <w:sz w:val="24"/>
          <w:szCs w:val="22"/>
          <w:highlight w:val="none"/>
          <w:lang w:bidi="ar"/>
        </w:rPr>
        <w:t>。</w:t>
      </w:r>
    </w:p>
    <w:p>
      <w:pPr>
        <w:pStyle w:val="5"/>
        <w:spacing w:before="156" w:after="156"/>
      </w:pPr>
      <w:bookmarkStart w:id="29" w:name="_Toc453061554"/>
      <w:bookmarkStart w:id="30" w:name="_Toc438805125"/>
      <w:bookmarkStart w:id="31" w:name="_Toc453061708"/>
      <w:bookmarkStart w:id="32" w:name="_Toc13903"/>
      <w:bookmarkStart w:id="33" w:name="_Toc12815"/>
      <w:r>
        <w:rPr>
          <w:rFonts w:hint="eastAsia"/>
        </w:rPr>
        <w:t>1.5.2工作内容</w:t>
      </w:r>
      <w:bookmarkEnd w:id="29"/>
      <w:bookmarkEnd w:id="30"/>
      <w:bookmarkEnd w:id="31"/>
      <w:bookmarkEnd w:id="32"/>
      <w:bookmarkEnd w:id="33"/>
      <w:r>
        <w:rPr>
          <w:rFonts w:hint="eastAsia"/>
        </w:rPr>
        <w:tab/>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（1）调查水源地及其外围的环境条件。</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（2）调查和收集水源地水资源开发利用现状及其有关资料。</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（3）调查和评价水源地水质状况，分析水源地附近及周边区域污染物对水源地水质的影响。</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（4） 结合基础资料及水质评价，分析</w:t>
      </w:r>
      <w:r>
        <w:rPr>
          <w:rFonts w:hint="eastAsia" w:ascii="Calibri" w:hAnsi="Calibri" w:eastAsia="宋体" w:cs="宋体"/>
          <w:sz w:val="24"/>
          <w:szCs w:val="22"/>
          <w:lang w:val="en-US" w:eastAsia="zh-CN" w:bidi="ar"/>
        </w:rPr>
        <w:t>石塘乡</w:t>
      </w:r>
      <w:r>
        <w:rPr>
          <w:rFonts w:hint="eastAsia" w:ascii="Calibri" w:hAnsi="Calibri" w:eastAsia="宋体" w:cs="宋体"/>
          <w:sz w:val="24"/>
          <w:szCs w:val="22"/>
          <w:highlight w:val="none"/>
          <w:lang w:val="en-US" w:eastAsia="zh-CN" w:bidi="ar"/>
        </w:rPr>
        <w:t>石塘镇长仑水厂</w:t>
      </w:r>
      <w:r>
        <w:rPr>
          <w:rFonts w:hint="eastAsia" w:ascii="Calibri" w:hAnsi="Calibri" w:eastAsia="宋体" w:cs="宋体"/>
          <w:sz w:val="24"/>
          <w:szCs w:val="22"/>
          <w:lang w:eastAsia="zh-CN" w:bidi="ar"/>
        </w:rPr>
        <w:t>地下水</w:t>
      </w:r>
      <w:r>
        <w:rPr>
          <w:rFonts w:hint="eastAsia" w:ascii="Calibri" w:hAnsi="Calibri" w:eastAsia="宋体" w:cs="宋体"/>
          <w:sz w:val="24"/>
          <w:szCs w:val="22"/>
          <w:lang w:bidi="ar"/>
        </w:rPr>
        <w:t>饮用水水源地基础状况。</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（5）按照技术规范的要求，提出水源保护区划分方案，计算保护区范围及边界控制条件。</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（6）对饮用水源保护区存在环境问题进行分析，提出饮用水源保护区污染整治措施。</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（7）提出饮用水源保护区的监督与管理措施。</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（8）提出饮用水源保护保障措施。</w:t>
      </w:r>
    </w:p>
    <w:p>
      <w:pPr>
        <w:adjustRightInd w:val="0"/>
        <w:snapToGrid w:val="0"/>
        <w:spacing w:line="360" w:lineRule="auto"/>
        <w:ind w:firstLine="480" w:firstLineChars="200"/>
        <w:rPr>
          <w:rFonts w:ascii="Calibri" w:hAnsi="Calibri" w:eastAsia="宋体" w:cs="宋体"/>
          <w:sz w:val="24"/>
          <w:szCs w:val="22"/>
          <w:lang w:bidi="ar"/>
        </w:rPr>
      </w:pPr>
      <w:r>
        <w:rPr>
          <w:rFonts w:ascii="Calibri" w:hAnsi="Calibri" w:eastAsia="宋体" w:cs="宋体"/>
          <w:sz w:val="24"/>
          <w:szCs w:val="22"/>
          <w:lang w:bidi="ar"/>
        </w:rPr>
        <w:br w:type="page"/>
      </w:r>
    </w:p>
    <w:p>
      <w:pPr>
        <w:pStyle w:val="3"/>
        <w:spacing w:before="156" w:after="156"/>
      </w:pPr>
      <w:bookmarkStart w:id="34" w:name="_Toc16511"/>
      <w:bookmarkStart w:id="35" w:name="_Toc12829"/>
      <w:r>
        <w:rPr>
          <w:rFonts w:hint="eastAsia"/>
        </w:rPr>
        <w:t>第二章 饮用水水源保护区背景分析</w:t>
      </w:r>
      <w:bookmarkEnd w:id="34"/>
      <w:bookmarkEnd w:id="35"/>
    </w:p>
    <w:p>
      <w:pPr>
        <w:pStyle w:val="4"/>
        <w:spacing w:before="156" w:after="156"/>
      </w:pPr>
      <w:bookmarkStart w:id="36" w:name="_Toc3254"/>
      <w:bookmarkStart w:id="37" w:name="_Toc28388"/>
      <w:r>
        <w:rPr>
          <w:rFonts w:hint="eastAsia"/>
        </w:rPr>
        <w:t>2.1自然状况</w:t>
      </w:r>
      <w:bookmarkEnd w:id="36"/>
      <w:bookmarkEnd w:id="37"/>
    </w:p>
    <w:p>
      <w:pPr>
        <w:pStyle w:val="5"/>
        <w:spacing w:before="156" w:after="156"/>
      </w:pPr>
      <w:bookmarkStart w:id="38" w:name="_Toc451526490"/>
      <w:bookmarkStart w:id="39" w:name="_Toc11311"/>
      <w:bookmarkStart w:id="40" w:name="_Toc12200"/>
      <w:r>
        <w:rPr>
          <w:rFonts w:hint="eastAsia"/>
        </w:rPr>
        <w:t>2.1.1地理位置</w:t>
      </w:r>
      <w:bookmarkEnd w:id="38"/>
      <w:bookmarkEnd w:id="39"/>
      <w:bookmarkEnd w:id="40"/>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湘阴县位于湖南省东北部，南洞庭湖滨，湘资两水尾闾，东邻汨罗市、西接益阳市，南界望城县、长沙市，北抵沅江市、屈原行政管理区，东经</w:t>
      </w:r>
      <w:r>
        <w:rPr>
          <w:rFonts w:ascii="Calibri" w:hAnsi="Calibri" w:eastAsia="宋体" w:cs="宋体"/>
          <w:sz w:val="24"/>
          <w:szCs w:val="22"/>
          <w:lang w:bidi="ar"/>
        </w:rPr>
        <w:t xml:space="preserve"> 112 </w:t>
      </w:r>
      <w:r>
        <w:rPr>
          <w:rFonts w:hint="eastAsia" w:ascii="Calibri" w:hAnsi="Calibri" w:eastAsia="宋体" w:cs="宋体"/>
          <w:sz w:val="24"/>
          <w:szCs w:val="22"/>
          <w:lang w:bidi="ar"/>
        </w:rPr>
        <w:t>°</w:t>
      </w:r>
      <w:r>
        <w:rPr>
          <w:rFonts w:ascii="Calibri" w:hAnsi="Calibri" w:eastAsia="宋体" w:cs="宋体"/>
          <w:sz w:val="24"/>
          <w:szCs w:val="22"/>
          <w:lang w:bidi="ar"/>
        </w:rPr>
        <w:t xml:space="preserve">30 </w:t>
      </w:r>
      <w:r>
        <w:rPr>
          <w:rFonts w:hint="eastAsia" w:ascii="Calibri" w:hAnsi="Calibri" w:eastAsia="宋体" w:cs="宋体"/>
          <w:sz w:val="24"/>
          <w:szCs w:val="22"/>
          <w:lang w:bidi="ar"/>
        </w:rPr>
        <w:t>′～</w:t>
      </w:r>
      <w:r>
        <w:rPr>
          <w:rFonts w:ascii="Calibri" w:hAnsi="Calibri" w:eastAsia="宋体" w:cs="宋体"/>
          <w:sz w:val="24"/>
          <w:szCs w:val="22"/>
          <w:lang w:bidi="ar"/>
        </w:rPr>
        <w:t xml:space="preserve">113 </w:t>
      </w:r>
      <w:r>
        <w:rPr>
          <w:rFonts w:hint="eastAsia" w:ascii="Calibri" w:hAnsi="Calibri" w:eastAsia="宋体" w:cs="宋体"/>
          <w:sz w:val="24"/>
          <w:szCs w:val="22"/>
          <w:lang w:bidi="ar"/>
        </w:rPr>
        <w:t>°</w:t>
      </w:r>
      <w:r>
        <w:rPr>
          <w:rFonts w:ascii="Calibri" w:hAnsi="Calibri" w:eastAsia="宋体" w:cs="宋体"/>
          <w:sz w:val="24"/>
          <w:szCs w:val="22"/>
          <w:lang w:bidi="ar"/>
        </w:rPr>
        <w:t xml:space="preserve"> 02</w:t>
      </w:r>
      <w:r>
        <w:rPr>
          <w:rFonts w:hint="eastAsia" w:ascii="Calibri" w:hAnsi="Calibri" w:eastAsia="宋体" w:cs="宋体"/>
          <w:sz w:val="24"/>
          <w:szCs w:val="22"/>
          <w:lang w:bidi="ar"/>
        </w:rPr>
        <w:t>′，北纬</w:t>
      </w:r>
      <w:r>
        <w:rPr>
          <w:rFonts w:ascii="Calibri" w:hAnsi="Calibri" w:eastAsia="宋体" w:cs="宋体"/>
          <w:sz w:val="24"/>
          <w:szCs w:val="22"/>
          <w:lang w:bidi="ar"/>
        </w:rPr>
        <w:t xml:space="preserve"> 28 </w:t>
      </w:r>
      <w:r>
        <w:rPr>
          <w:rFonts w:hint="eastAsia" w:ascii="Calibri" w:hAnsi="Calibri" w:eastAsia="宋体" w:cs="宋体"/>
          <w:sz w:val="24"/>
          <w:szCs w:val="22"/>
          <w:lang w:bidi="ar"/>
        </w:rPr>
        <w:t>°</w:t>
      </w:r>
      <w:r>
        <w:rPr>
          <w:rFonts w:ascii="Calibri" w:hAnsi="Calibri" w:eastAsia="宋体" w:cs="宋体"/>
          <w:sz w:val="24"/>
          <w:szCs w:val="22"/>
          <w:lang w:bidi="ar"/>
        </w:rPr>
        <w:t xml:space="preserve">30 </w:t>
      </w:r>
      <w:r>
        <w:rPr>
          <w:rFonts w:hint="eastAsia" w:ascii="Calibri" w:hAnsi="Calibri" w:eastAsia="宋体" w:cs="宋体"/>
          <w:sz w:val="24"/>
          <w:szCs w:val="22"/>
          <w:lang w:bidi="ar"/>
        </w:rPr>
        <w:t>′～</w:t>
      </w:r>
      <w:r>
        <w:rPr>
          <w:rFonts w:ascii="Calibri" w:hAnsi="Calibri" w:eastAsia="宋体" w:cs="宋体"/>
          <w:sz w:val="24"/>
          <w:szCs w:val="22"/>
          <w:lang w:bidi="ar"/>
        </w:rPr>
        <w:t xml:space="preserve">29 </w:t>
      </w:r>
      <w:r>
        <w:rPr>
          <w:rFonts w:hint="eastAsia" w:ascii="Calibri" w:hAnsi="Calibri" w:eastAsia="宋体" w:cs="宋体"/>
          <w:sz w:val="24"/>
          <w:szCs w:val="22"/>
          <w:lang w:bidi="ar"/>
        </w:rPr>
        <w:t>°</w:t>
      </w:r>
      <w:r>
        <w:rPr>
          <w:rFonts w:ascii="Calibri" w:hAnsi="Calibri" w:eastAsia="宋体" w:cs="宋体"/>
          <w:sz w:val="24"/>
          <w:szCs w:val="22"/>
          <w:lang w:bidi="ar"/>
        </w:rPr>
        <w:t xml:space="preserve">03 </w:t>
      </w:r>
      <w:r>
        <w:rPr>
          <w:rFonts w:hint="eastAsia" w:ascii="Calibri" w:hAnsi="Calibri" w:eastAsia="宋体" w:cs="宋体"/>
          <w:sz w:val="24"/>
          <w:szCs w:val="22"/>
          <w:lang w:bidi="ar"/>
        </w:rPr>
        <w:t>′，现隶属湖南省岳阳市，土地总面积</w:t>
      </w:r>
      <w:r>
        <w:rPr>
          <w:rFonts w:ascii="Calibri" w:hAnsi="Calibri" w:eastAsia="宋体" w:cs="宋体"/>
          <w:sz w:val="24"/>
          <w:szCs w:val="22"/>
          <w:lang w:bidi="ar"/>
        </w:rPr>
        <w:t>1581.5km</w:t>
      </w:r>
      <w:r>
        <w:rPr>
          <w:rFonts w:ascii="Calibri" w:hAnsi="Calibri" w:eastAsia="宋体" w:cs="宋体"/>
          <w:sz w:val="24"/>
          <w:szCs w:val="22"/>
          <w:vertAlign w:val="superscript"/>
          <w:lang w:bidi="ar"/>
        </w:rPr>
        <w:t>2</w:t>
      </w:r>
      <w:r>
        <w:rPr>
          <w:rFonts w:hint="eastAsia" w:ascii="Calibri" w:hAnsi="Calibri" w:eastAsia="宋体" w:cs="宋体"/>
          <w:sz w:val="24"/>
          <w:szCs w:val="22"/>
          <w:lang w:bidi="ar"/>
        </w:rPr>
        <w:t>，湘阴县行区划图</w:t>
      </w:r>
      <w:r>
        <w:rPr>
          <w:rFonts w:ascii="Calibri" w:hAnsi="Calibri" w:eastAsia="宋体" w:cs="宋体"/>
          <w:sz w:val="24"/>
          <w:szCs w:val="22"/>
          <w:lang w:bidi="ar"/>
        </w:rPr>
        <w:t>2-1</w:t>
      </w:r>
      <w:r>
        <w:rPr>
          <w:rFonts w:hint="eastAsia" w:ascii="Calibri" w:hAnsi="Calibri" w:eastAsia="宋体" w:cs="宋体"/>
          <w:sz w:val="24"/>
          <w:szCs w:val="22"/>
          <w:lang w:bidi="ar"/>
        </w:rPr>
        <w:t>所示。</w:t>
      </w:r>
    </w:p>
    <w:p>
      <w:pPr>
        <w:adjustRightInd w:val="0"/>
        <w:snapToGrid w:val="0"/>
        <w:spacing w:line="360" w:lineRule="auto"/>
        <w:ind w:firstLine="480" w:firstLineChars="200"/>
        <w:rPr>
          <w:rFonts w:ascii="Calibri" w:hAnsi="Calibri" w:eastAsia="宋体" w:cs="宋体"/>
          <w:sz w:val="24"/>
          <w:szCs w:val="22"/>
          <w:lang w:bidi="ar"/>
        </w:rPr>
      </w:pPr>
      <w:r>
        <w:rPr>
          <w:rFonts w:hint="eastAsia" w:ascii="Calibri" w:hAnsi="Calibri" w:eastAsia="宋体" w:cs="宋体"/>
          <w:sz w:val="24"/>
          <w:szCs w:val="22"/>
          <w:lang w:bidi="ar"/>
        </w:rPr>
        <w:t>湘阴县</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bidi="ar"/>
        </w:rPr>
        <w:t>集中式饮用水源保护区水源为</w:t>
      </w:r>
      <w:r>
        <w:rPr>
          <w:rFonts w:hint="eastAsia" w:ascii="Calibri" w:hAnsi="Calibri" w:eastAsia="宋体" w:cs="宋体"/>
          <w:sz w:val="24"/>
          <w:szCs w:val="22"/>
          <w:lang w:val="en-US" w:eastAsia="zh-CN" w:bidi="ar"/>
        </w:rPr>
        <w:t>地下水井，供水单位为长仑</w:t>
      </w:r>
      <w:r>
        <w:rPr>
          <w:rFonts w:hint="eastAsia" w:ascii="Calibri" w:hAnsi="Calibri" w:eastAsia="宋体" w:cs="宋体"/>
          <w:sz w:val="24"/>
          <w:szCs w:val="22"/>
          <w:lang w:bidi="ar"/>
        </w:rPr>
        <w:t>水厂，位于</w:t>
      </w:r>
      <w:r>
        <w:rPr>
          <w:rFonts w:hint="eastAsia" w:ascii="Calibri" w:hAnsi="Calibri" w:eastAsia="宋体" w:cs="宋体"/>
          <w:sz w:val="24"/>
          <w:szCs w:val="22"/>
          <w:lang w:val="en-US" w:eastAsia="zh-CN" w:bidi="ar"/>
        </w:rPr>
        <w:t>石塘乡</w:t>
      </w:r>
      <w:r>
        <w:rPr>
          <w:rFonts w:hint="eastAsia" w:ascii="Calibri" w:hAnsi="Calibri" w:eastAsia="宋体" w:cs="宋体"/>
          <w:sz w:val="24"/>
          <w:szCs w:val="22"/>
          <w:lang w:bidi="ar"/>
        </w:rPr>
        <w:t>内。其水源地位置（示意）见图</w:t>
      </w:r>
      <w:r>
        <w:rPr>
          <w:rFonts w:ascii="Calibri" w:hAnsi="Calibri" w:eastAsia="宋体" w:cs="宋体"/>
          <w:sz w:val="24"/>
          <w:szCs w:val="22"/>
          <w:lang w:bidi="ar"/>
        </w:rPr>
        <w:t>2-2</w:t>
      </w:r>
      <w:r>
        <w:rPr>
          <w:rFonts w:hint="eastAsia" w:ascii="Calibri" w:hAnsi="Calibri" w:eastAsia="宋体" w:cs="宋体"/>
          <w:sz w:val="24"/>
          <w:szCs w:val="22"/>
          <w:lang w:bidi="ar"/>
        </w:rPr>
        <w:t>。</w:t>
      </w:r>
    </w:p>
    <w:p>
      <w:pPr>
        <w:adjustRightInd w:val="0"/>
        <w:snapToGrid w:val="0"/>
        <w:spacing w:line="360" w:lineRule="auto"/>
        <w:ind w:firstLine="420" w:firstLineChars="200"/>
        <w:jc w:val="center"/>
        <w:rPr>
          <w:rFonts w:ascii="Calibri" w:hAnsi="Calibri" w:cs="Times New Roman"/>
          <w:szCs w:val="22"/>
        </w:rPr>
      </w:pPr>
      <w:r>
        <w:rPr>
          <w:rFonts w:hint="default" w:ascii="Times New Roman" w:hAnsi="Times New Roman" w:cs="Times New Roman"/>
        </w:rPr>
        <w:drawing>
          <wp:anchor distT="0" distB="0" distL="114300" distR="114300" simplePos="0" relativeHeight="255772672" behindDoc="0" locked="0" layoutInCell="1" allowOverlap="1">
            <wp:simplePos x="0" y="0"/>
            <wp:positionH relativeFrom="column">
              <wp:posOffset>845185</wp:posOffset>
            </wp:positionH>
            <wp:positionV relativeFrom="paragraph">
              <wp:posOffset>139065</wp:posOffset>
            </wp:positionV>
            <wp:extent cx="4015105" cy="4017010"/>
            <wp:effectExtent l="0" t="0" r="4445" b="2540"/>
            <wp:wrapSquare wrapText="bothSides"/>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7"/>
                    <a:stretch>
                      <a:fillRect/>
                    </a:stretch>
                  </pic:blipFill>
                  <pic:spPr>
                    <a:xfrm>
                      <a:off x="0" y="0"/>
                      <a:ext cx="4015105" cy="4017010"/>
                    </a:xfrm>
                    <a:prstGeom prst="rect">
                      <a:avLst/>
                    </a:prstGeom>
                    <a:noFill/>
                    <a:ln w="9525">
                      <a:noFill/>
                    </a:ln>
                  </pic:spPr>
                </pic:pic>
              </a:graphicData>
            </a:graphic>
          </wp:anchor>
        </w:drawing>
      </w: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0" w:firstLineChars="200"/>
        <w:jc w:val="center"/>
        <w:rPr>
          <w:rFonts w:ascii="Calibri" w:hAnsi="Calibri" w:cs="Times New Roman"/>
          <w:szCs w:val="22"/>
        </w:rPr>
      </w:pPr>
    </w:p>
    <w:p>
      <w:pPr>
        <w:adjustRightInd w:val="0"/>
        <w:snapToGrid w:val="0"/>
        <w:spacing w:line="360" w:lineRule="auto"/>
        <w:ind w:firstLine="422" w:firstLineChars="200"/>
        <w:jc w:val="center"/>
        <w:rPr>
          <w:rFonts w:hint="eastAsia" w:ascii="宋体" w:hAnsi="宋体" w:eastAsia="宋体" w:cs="宋体"/>
          <w:b/>
          <w:szCs w:val="21"/>
          <w:lang w:bidi="ar"/>
        </w:rPr>
      </w:pPr>
    </w:p>
    <w:p>
      <w:pPr>
        <w:adjustRightInd w:val="0"/>
        <w:snapToGrid w:val="0"/>
        <w:spacing w:line="360" w:lineRule="auto"/>
        <w:ind w:firstLine="422" w:firstLineChars="200"/>
        <w:jc w:val="center"/>
        <w:rPr>
          <w:rFonts w:hint="eastAsia" w:ascii="宋体" w:hAnsi="宋体" w:eastAsia="宋体" w:cs="宋体"/>
          <w:b/>
          <w:szCs w:val="21"/>
          <w:lang w:bidi="ar"/>
        </w:rPr>
      </w:pPr>
    </w:p>
    <w:p>
      <w:pPr>
        <w:adjustRightInd w:val="0"/>
        <w:snapToGrid w:val="0"/>
        <w:spacing w:line="360" w:lineRule="auto"/>
        <w:ind w:firstLine="422" w:firstLineChars="200"/>
        <w:jc w:val="center"/>
        <w:rPr>
          <w:rFonts w:hint="eastAsia" w:ascii="宋体" w:hAnsi="宋体" w:eastAsia="宋体" w:cs="宋体"/>
          <w:b/>
          <w:szCs w:val="21"/>
          <w:lang w:bidi="ar"/>
        </w:rPr>
      </w:pPr>
    </w:p>
    <w:p>
      <w:pPr>
        <w:adjustRightInd w:val="0"/>
        <w:snapToGrid w:val="0"/>
        <w:spacing w:line="360" w:lineRule="auto"/>
        <w:ind w:firstLine="422" w:firstLineChars="200"/>
        <w:jc w:val="center"/>
        <w:rPr>
          <w:rFonts w:hint="eastAsia" w:ascii="宋体" w:hAnsi="宋体" w:eastAsia="宋体" w:cs="宋体"/>
          <w:b/>
          <w:szCs w:val="21"/>
          <w:lang w:bidi="ar"/>
        </w:rPr>
      </w:pPr>
    </w:p>
    <w:p>
      <w:pPr>
        <w:adjustRightInd w:val="0"/>
        <w:snapToGrid w:val="0"/>
        <w:spacing w:line="360" w:lineRule="auto"/>
        <w:ind w:firstLine="422" w:firstLineChars="200"/>
        <w:jc w:val="center"/>
        <w:rPr>
          <w:rFonts w:hint="eastAsia" w:ascii="宋体" w:hAnsi="宋体" w:eastAsia="宋体" w:cs="宋体"/>
          <w:b/>
          <w:szCs w:val="21"/>
          <w:lang w:bidi="ar"/>
        </w:rPr>
      </w:pPr>
      <w:r>
        <w:rPr>
          <w:rFonts w:hint="eastAsia" w:ascii="宋体" w:hAnsi="宋体" w:eastAsia="宋体" w:cs="宋体"/>
          <w:b/>
          <w:szCs w:val="21"/>
          <w:lang w:bidi="ar"/>
        </w:rPr>
        <w:t>图2-1   湘阴县行政区划图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szCs w:val="21"/>
          <w:lang w:eastAsia="zh-CN" w:bidi="ar"/>
        </w:rPr>
      </w:pPr>
      <w:r>
        <w:rPr>
          <w:rFonts w:hint="eastAsia" w:ascii="宋体" w:hAnsi="宋体" w:eastAsia="宋体" w:cs="宋体"/>
          <w:b/>
          <w:szCs w:val="21"/>
          <w:lang w:bidi="ar"/>
        </w:rPr>
        <w:drawing>
          <wp:inline distT="0" distB="0" distL="114300" distR="114300">
            <wp:extent cx="5483860" cy="2533015"/>
            <wp:effectExtent l="0" t="0" r="254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5483860" cy="2533015"/>
                    </a:xfrm>
                    <a:prstGeom prst="rect">
                      <a:avLst/>
                    </a:prstGeom>
                    <a:noFill/>
                    <a:ln w="9525">
                      <a:noFill/>
                    </a:ln>
                  </pic:spPr>
                </pic:pic>
              </a:graphicData>
            </a:graphic>
          </wp:inline>
        </w:drawing>
      </w:r>
    </w:p>
    <w:p>
      <w:pPr>
        <w:adjustRightInd w:val="0"/>
        <w:snapToGrid w:val="0"/>
        <w:spacing w:line="360" w:lineRule="auto"/>
        <w:ind w:firstLine="422" w:firstLineChars="200"/>
        <w:jc w:val="center"/>
        <w:rPr>
          <w:rFonts w:hint="eastAsia" w:ascii="宋体" w:hAnsi="宋体" w:eastAsia="宋体" w:cs="宋体"/>
          <w:b/>
          <w:szCs w:val="21"/>
          <w:lang w:bidi="ar"/>
        </w:rPr>
      </w:pPr>
      <w:r>
        <w:rPr>
          <w:rFonts w:hint="eastAsia" w:ascii="宋体" w:hAnsi="宋体" w:eastAsia="宋体" w:cs="宋体"/>
          <w:b/>
          <w:szCs w:val="21"/>
          <w:lang w:bidi="ar"/>
        </w:rPr>
        <w:t>图2-2   水源地位置图</w:t>
      </w:r>
    </w:p>
    <w:p>
      <w:pPr>
        <w:pStyle w:val="5"/>
        <w:spacing w:before="156" w:after="156"/>
      </w:pPr>
      <w:bookmarkStart w:id="41" w:name="_Toc451526491"/>
      <w:bookmarkStart w:id="42" w:name="_Toc13341"/>
      <w:bookmarkStart w:id="43" w:name="_Toc15939"/>
      <w:r>
        <w:rPr>
          <w:rFonts w:hint="eastAsia"/>
        </w:rPr>
        <w:t>2.1.2地形地貌</w:t>
      </w:r>
      <w:bookmarkEnd w:id="41"/>
      <w:bookmarkEnd w:id="42"/>
      <w:bookmarkEnd w:id="43"/>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湘阴县地貌呈低山、岗地、平原三种形态，具有三大特征：其一，地势东南高，西北低。位居幕阜山余脉走向洞庭湖凹陷处的过渡带上，地势自东南向西北递降，形成一个微向洞庭湖盆中心的倾斜面。最高处青山庵，海拔552.4m，最低处濠河口河底，低于黄海水平面4.3m米。其二，以滨湖平原为主体，呈块状分布。地处湘江大断裂带，构成低山、岗地；西盘下切，形成滨湖平原。除去江河湖泊及其它水面，滨湖、江河、溪谷3种平原共702.11 km2，占全县总面积的44.4%，岗地占13.59%，低山占1.51%。其三，河湖交汇，水域广阔。山岗地区水系发育不良，北部平原、湖洲地区河湖交汇。</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本水源地地貌类型以平原和岗地为主，土壤以水稻土、红壤、潮土为主，土地适种性广。</w:t>
      </w:r>
    </w:p>
    <w:p>
      <w:pPr>
        <w:pStyle w:val="5"/>
        <w:spacing w:before="156" w:after="156"/>
      </w:pPr>
      <w:bookmarkStart w:id="44" w:name="_Toc451526492"/>
      <w:bookmarkStart w:id="45" w:name="_Toc20790"/>
      <w:bookmarkStart w:id="46" w:name="_Toc15656"/>
      <w:r>
        <w:rPr>
          <w:rFonts w:hint="eastAsia"/>
        </w:rPr>
        <w:t>2.1.3地质条件</w:t>
      </w:r>
      <w:bookmarkEnd w:id="44"/>
      <w:bookmarkEnd w:id="45"/>
      <w:bookmarkEnd w:id="46"/>
    </w:p>
    <w:p>
      <w:pPr>
        <w:pStyle w:val="6"/>
        <w:spacing w:before="156" w:after="156"/>
        <w:rPr>
          <w:rFonts w:hint="eastAsia"/>
        </w:rPr>
      </w:pPr>
      <w:bookmarkStart w:id="47" w:name="_Toc25454"/>
      <w:bookmarkStart w:id="48" w:name="_Toc451526493"/>
      <w:r>
        <w:rPr>
          <w:rFonts w:hint="eastAsia"/>
        </w:rPr>
        <w:t>2.1.3.1 地质背景</w:t>
      </w:r>
      <w:bookmarkEnd w:id="47"/>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湘阴县位于洞庭湖构造盆地的西缘，其地层条件受洞庭湖构造演化控制。评估区属于湖积盆地，出露地层主要为第四系中更新统及全新统松散层。</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洞庭湖盆地是扬子地台上的断陷盆地，形成于中生代。盆地形成之前，经受</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了武陵、雪峰、加里东、海西、印支期构造运动的改造、迭加，为盆地的形成奠定了基础。盆地形成的同时，在其四周形成了隆起带，东面为幕阜山隆起，西面为武陵隆起、北面为华容隆起，南西为雪峰山隆起。早白垩纪是盆地形成的初期</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阶段，早期燕山运动形成了桃源山间盆地，后扩展至石门一带，其它广大地区仍处于隆起剥蚀中。中晚白垩纪是盆地发展扩大阶段，燕山运动使四周上升，湖盆下降形成东起汨罗、西至澧县、南起益阳、北抵南县的浩瀚大湖。不均衡的上升和下降，在盆地内形成了北东向的凸起和凹陷，凸起和凹陷间断裂构造发育。从西至东有澧县凹陷、太阳山凹陷、常桃凹陷、目平湖凹陷、沅江—湘阴凹陷，凹陷内沉积了一套逾6000 米的红色砾、砂、泥岩多韵律组合；凸起区由元古界和古生界地层组成。至这个时期，洞庭湖拗陷盆地基本形成。第三纪喜马拉雅运动早期表现为凸起扩大，凹陷缩小，盆地萎缩，盆地周边隆起带继续上升，至第三纪末整个盆地隆起成陆。洞庭湖盆地从白垩纪拗陷成湖至第三纪末隆起成陆，标志着第一个构造旋回结束。第四纪时期，受新构造运动作用，盆地周边间歇性抬升，内部凹陷，形成以洞庭湖为中心，湘、资、沅、澧四水为主体的碟形盆地。沉积厚度逾300 米（图2-</w:t>
      </w:r>
      <w:r>
        <w:rPr>
          <w:rFonts w:hint="eastAsia" w:ascii="Calibri" w:hAnsi="Calibri" w:eastAsia="宋体" w:cs="宋体"/>
          <w:sz w:val="24"/>
          <w:szCs w:val="22"/>
          <w:lang w:val="en-US" w:eastAsia="zh-CN" w:bidi="ar"/>
        </w:rPr>
        <w:t>3</w:t>
      </w:r>
      <w:r>
        <w:rPr>
          <w:rFonts w:hint="eastAsia" w:ascii="Calibri" w:hAnsi="Calibri" w:eastAsia="宋体" w:cs="宋体"/>
          <w:sz w:val="24"/>
          <w:szCs w:val="22"/>
          <w:lang w:bidi="ar"/>
        </w:rPr>
        <w:t>）。</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由图 2-</w:t>
      </w:r>
      <w:r>
        <w:rPr>
          <w:rFonts w:hint="eastAsia" w:ascii="Calibri" w:hAnsi="Calibri" w:eastAsia="宋体" w:cs="宋体"/>
          <w:sz w:val="24"/>
          <w:szCs w:val="22"/>
          <w:lang w:val="en-US" w:eastAsia="zh-CN" w:bidi="ar"/>
        </w:rPr>
        <w:t>3</w:t>
      </w:r>
      <w:r>
        <w:rPr>
          <w:rFonts w:hint="eastAsia" w:ascii="Calibri" w:hAnsi="Calibri" w:eastAsia="宋体" w:cs="宋体"/>
          <w:sz w:val="24"/>
          <w:szCs w:val="22"/>
          <w:lang w:bidi="ar"/>
        </w:rPr>
        <w:t xml:space="preserve"> 可看出，湘阴县第四系厚度在 130m-180m 左右，自东部丘岗向西部湖盆逐渐增厚。</w:t>
      </w:r>
    </w:p>
    <w:p>
      <w:pPr>
        <w:spacing w:line="360" w:lineRule="auto"/>
        <w:jc w:val="center"/>
        <w:rPr>
          <w:rFonts w:asciiTheme="minorEastAsia" w:hAnsiTheme="minorEastAsia"/>
          <w:sz w:val="24"/>
        </w:rPr>
      </w:pPr>
      <w:r>
        <w:rPr>
          <w:rFonts w:hint="eastAsia" w:asciiTheme="minorEastAsia" w:hAnsiTheme="minorEastAsia"/>
          <w:sz w:val="24"/>
        </w:rPr>
        <w:drawing>
          <wp:inline distT="0" distB="0" distL="114300" distR="114300">
            <wp:extent cx="4304665" cy="3152775"/>
            <wp:effectExtent l="0" t="0" r="635" b="9525"/>
            <wp:docPr id="3" name="1058" descr="1058"/>
            <wp:cNvGraphicFramePr/>
            <a:graphic xmlns:a="http://schemas.openxmlformats.org/drawingml/2006/main">
              <a:graphicData uri="http://schemas.openxmlformats.org/drawingml/2006/picture">
                <pic:pic xmlns:pic="http://schemas.openxmlformats.org/drawingml/2006/picture">
                  <pic:nvPicPr>
                    <pic:cNvPr id="3" name="1058" descr="1058"/>
                    <pic:cNvPicPr preferRelativeResize="0">
                      <a:picLocks noChangeArrowheads="1"/>
                    </pic:cNvPicPr>
                  </pic:nvPicPr>
                  <pic:blipFill>
                    <a:blip r:embed="rId9" cstate="print">
                      <a:clrChange>
                        <a:clrFrom>
                          <a:srgbClr val="FFFFFF"/>
                        </a:clrFrom>
                        <a:clrTo>
                          <a:srgbClr val="FFFFFF">
                            <a:alpha val="0"/>
                          </a:srgbClr>
                        </a:clrTo>
                      </a:clrChange>
                    </a:blip>
                    <a:srcRect/>
                    <a:stretch>
                      <a:fillRect/>
                    </a:stretch>
                  </pic:blipFill>
                  <pic:spPr>
                    <a:xfrm>
                      <a:off x="0" y="0"/>
                      <a:ext cx="4304665" cy="3152775"/>
                    </a:xfrm>
                    <a:custGeom>
                      <a:avLst/>
                      <a:gdLst>
                        <a:gd name="T0" fmla="*/ 0 w 8438"/>
                        <a:gd name="T1" fmla="*/ 0 h 6476"/>
                        <a:gd name="T2" fmla="*/ 0 w 8438"/>
                        <a:gd name="T3" fmla="*/ 6476 h 6476"/>
                        <a:gd name="T4" fmla="*/ 8438 w 8438"/>
                        <a:gd name="T5" fmla="*/ 6476 h 6476"/>
                        <a:gd name="T6" fmla="*/ 8438 w 8438"/>
                        <a:gd name="T7" fmla="*/ 0 h 6476"/>
                      </a:gdLst>
                      <a:ahLst/>
                      <a:cxnLst>
                        <a:cxn ang="0">
                          <a:pos x="T0" y="T1"/>
                        </a:cxn>
                        <a:cxn ang="0">
                          <a:pos x="T2" y="T3"/>
                        </a:cxn>
                        <a:cxn ang="0">
                          <a:pos x="T4" y="T5"/>
                        </a:cxn>
                        <a:cxn ang="0">
                          <a:pos x="T6" y="T7"/>
                        </a:cxn>
                      </a:cxnLst>
                      <a:rect l="0" t="0" r="r" b="b"/>
                      <a:pathLst>
                        <a:path w="8438" h="6476">
                          <a:moveTo>
                            <a:pt x="0" y="0"/>
                          </a:moveTo>
                          <a:lnTo>
                            <a:pt x="0" y="6476"/>
                          </a:lnTo>
                          <a:lnTo>
                            <a:pt x="8438" y="6476"/>
                          </a:lnTo>
                          <a:lnTo>
                            <a:pt x="8438" y="0"/>
                          </a:lnTo>
                          <a:close/>
                        </a:path>
                      </a:pathLst>
                    </a:custGeom>
                    <a:noFill/>
                    <a:ln w="9525" cap="rnd">
                      <a:noFill/>
                      <a:round/>
                    </a:ln>
                  </pic:spPr>
                </pic:pic>
              </a:graphicData>
            </a:graphic>
          </wp:inline>
        </w:drawing>
      </w:r>
    </w:p>
    <w:p>
      <w:pPr>
        <w:adjustRightInd w:val="0"/>
        <w:snapToGrid w:val="0"/>
        <w:spacing w:line="360" w:lineRule="auto"/>
        <w:ind w:firstLine="422" w:firstLineChars="200"/>
        <w:jc w:val="center"/>
        <w:rPr>
          <w:rFonts w:hint="eastAsia" w:ascii="宋体" w:hAnsi="宋体" w:eastAsia="宋体" w:cs="宋体"/>
          <w:b/>
          <w:szCs w:val="21"/>
          <w:lang w:bidi="ar"/>
        </w:rPr>
      </w:pPr>
      <w:r>
        <w:rPr>
          <w:rFonts w:hint="eastAsia" w:ascii="宋体" w:hAnsi="宋体" w:eastAsia="宋体" w:cs="宋体"/>
          <w:b/>
          <w:szCs w:val="21"/>
          <w:lang w:bidi="ar"/>
        </w:rPr>
        <w:t>图2-</w:t>
      </w:r>
      <w:r>
        <w:rPr>
          <w:rFonts w:hint="eastAsia" w:ascii="宋体" w:hAnsi="宋体" w:eastAsia="宋体" w:cs="宋体"/>
          <w:b/>
          <w:szCs w:val="21"/>
          <w:lang w:val="en-US" w:eastAsia="zh-CN" w:bidi="ar"/>
        </w:rPr>
        <w:t>3</w:t>
      </w:r>
      <w:r>
        <w:rPr>
          <w:rFonts w:hint="eastAsia" w:ascii="宋体" w:hAnsi="宋体" w:eastAsia="宋体" w:cs="宋体"/>
          <w:b/>
          <w:szCs w:val="21"/>
          <w:lang w:bidi="ar"/>
        </w:rPr>
        <w:t>洞庭湖区第四系沉积厚度等值线图</w:t>
      </w:r>
    </w:p>
    <w:p>
      <w:pPr>
        <w:pStyle w:val="6"/>
        <w:spacing w:before="156" w:after="156"/>
        <w:rPr>
          <w:rFonts w:hint="eastAsia"/>
        </w:rPr>
      </w:pPr>
      <w:bookmarkStart w:id="49" w:name="_Toc6060"/>
      <w:r>
        <w:rPr>
          <w:rFonts w:hint="eastAsia"/>
        </w:rPr>
        <w:t>2.1.3.2区域地层岩性</w:t>
      </w:r>
      <w:bookmarkEnd w:id="49"/>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根据收集的资料，本水源地所在的洞庭湖盆地为第四系。</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（1）汩罗组（Qp1m）:为河湖交互相碎屑粘土。岩性为河湖相沉积的深棕红色、灰褐色砂层、砂砾层夹砂质粘土和粉质粘土。</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（2）新开铺组（Qp2x）：岩性为河湖交互相砾石层与黄色沙砾层、粗砾层及泥砂互层。主要在县城西南的湘江两岸一带有出露。</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（3）白沙井组（Qp2b）:为冲湖积形成。岩性为棕黄色、棕红色砾石层、砂层及粘土层，具砾粘二元结构。在洞庭湖盆区周边的丘陵、东湖等地广泛出露。</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（4）马王堆组（Qp2mw）：岩性为沙砾层、含砾砂层，偶夹粘土。主要出露于东塘镇以北及楚塘附近。</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（5）下蜀组（Qp3xs）：岩性为黄褐色、棕黄、灰黄色含铁锰质结核和薄膜的砂质粘土、粉砂质粘土、粘土、粉砂，局部含淤泥质和炭化植物残骸，底部偶发育有细砾层。在县城西北部偶有出露。</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（6）洞庭湖组湖沼相沉积（Qhdl ): 岩性为灰色、灰褐色、灰黑色、棕褐色砂质粘土、粉砂、细砂粘土、含钙质粉砂质粘土、淤泥。底部偶含细砾。广泛分布于县城的西北部。</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（7）洞庭湖组河湖相沉积（Qhdal）: 岩性为河湖相灰色、灰褐 争砂质沾土、含钙质粘土。广泛分布于县城的北部一带。</w:t>
      </w:r>
    </w:p>
    <w:p>
      <w:pPr>
        <w:pStyle w:val="6"/>
        <w:spacing w:before="156" w:after="156"/>
        <w:rPr>
          <w:rFonts w:hint="eastAsia"/>
        </w:rPr>
      </w:pPr>
      <w:bookmarkStart w:id="50" w:name="_Toc1007"/>
      <w:r>
        <w:rPr>
          <w:rFonts w:hint="eastAsia"/>
        </w:rPr>
        <w:t>2.1.3.3 地质构造</w:t>
      </w:r>
      <w:bookmarkEnd w:id="50"/>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洞庭湖区内的构造活动大多受区域性的大构造所制约，主要有：</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1、北东向构造</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北东向构造为区内的主控构造，在区内十分醒目。</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公田－东雾山－涟源断裂带（F12）：为一条区域性的规模巨大的大型复式断裂带。其东南盘上升，北西盘下降，走向NE－NNE，倾向NW，倾角70º,控制着洞庭湖区的东南边界，并控制着燕山晚期花岗岩体及K2－E1 的沉积分布。该断裂带西北侧主要为新生界地层覆盖，东南侧则主要为元古界地层和岩浆岩侵入体出露。</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2、北北东向构造</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自西至东最为：钱粮湖－刘家湖断裂带（F20-1）、岳阳－宁乡断裂带(F20-2) 两条区域性的断裂带。它们分别控制着现代东洞庭湖的东西边界。</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（1）钱粮湖－刘家湖断裂带（F20-1）：走向 10º，倾向E，倾角陡，长百余公里，东盘（下降盘）第四系齐全，厚达210 米，底板标高-180 米以下，西盘 （上升盘）北部为后岗地形，基岩裸露。</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（2）岳阳－宁乡断裂带(F20-2)：为东升西降之正断层，东盘接受 Q1、Q2 的沉积，厚100米左右，一般上升为丘陵、垄岗地形。</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3、南北向构造</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区内南北向构造一般延伸不远，主要有</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（1）大乘寺－白马寺断裂亚带（F16-2）：此断裂带位于洞庭围镇－白马寺镇一带，呈近南北走向。</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（2）福临断裂带（F17）：该断裂带由一组走向北北东向的断裂组成，主体</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位于评估区东部岩体区。</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4、东西向构造</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常德－桃林断裂带（F2）：由常德－桃林和蒋家咀－汩罗两条断续、平行呈带状分布的断裂亚带组成。位于评估区以北至汩罗区域内，控制着现代南洞庭湖的南北边界。</w:t>
      </w:r>
    </w:p>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lang w:bidi="ar"/>
        </w:rPr>
        <w:t>以上区域性的构造走向以北东向为主，控制着区内的岩浆岩、地层的分布。对工作区内的地形地貌也起到了一定的控制作用。</w:t>
      </w:r>
      <w:r>
        <w:rPr>
          <w:rFonts w:hint="eastAsia" w:ascii="Calibri" w:hAnsi="Calibri" w:eastAsia="宋体" w:cs="宋体"/>
          <w:sz w:val="24"/>
          <w:szCs w:val="22"/>
          <w:lang w:bidi="ar"/>
        </w:rPr>
        <mc:AlternateContent>
          <mc:Choice Requires="wps">
            <w:drawing>
              <wp:anchor distT="0" distB="0" distL="114300" distR="114300" simplePos="0" relativeHeight="251660288"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6" name="自选图形 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ahLst/>
                          <a:cxnLst/>
                          <a:pathLst>
                            <a:path w="21600" h="21600">
                              <a:moveTo>
                                <a:pt x="0" y="0"/>
                              </a:moveTo>
                              <a:lnTo>
                                <a:pt x="0" y="8330"/>
                              </a:lnTo>
                              <a:lnTo>
                                <a:pt x="6990" y="8330"/>
                              </a:lnTo>
                              <a:lnTo>
                                <a:pt x="6990" y="0"/>
                              </a:lnTo>
                              <a:close/>
                            </a:path>
                          </a:pathLst>
                        </a:custGeom>
                        <a:solidFill>
                          <a:srgbClr val="FFFFFF"/>
                        </a:solidFill>
                        <a:ln w="9525" cap="flat" cmpd="sng">
                          <a:solidFill>
                            <a:srgbClr val="000000"/>
                          </a:solidFill>
                          <a:prstDash val="solid"/>
                          <a:round/>
                          <a:headEnd type="none" w="med" len="med"/>
                          <a:tailEnd type="none" w="med" len="med"/>
                        </a:ln>
                      </wps:spPr>
                      <wps:bodyPr upright="1"/>
                    </wps:wsp>
                  </a:graphicData>
                </a:graphic>
              </wp:anchor>
            </w:drawing>
          </mc:Choice>
          <mc:Fallback>
            <w:pict>
              <v:shape id="自选图形 2" o:spid="_x0000_s1026" o:spt="100" style="position:absolute;left:0pt;margin-left:0pt;margin-top:0pt;height:50pt;width:50pt;visibility:hidden;z-index:251660288;mso-width-relative:page;mso-height-relative:page;" fillcolor="#FFFFFF" filled="t" stroked="t" coordsize="21600,21600" o:gfxdata="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Sst0q0gAAAAUBAAAPAAAAAAAAAAEAIAAAACIA&#10;AABkcnMvZG93bnJldi54bWxQSwECFAAUAAAACACHTuJAwnnvH0gCAAD/BAAADgAAAAAAAAABACAA&#10;AAAhAQAAZHJzL2Uyb0RvYy54bWxQSwUGAAAAAAYABgBZAQAA2wUAAAAA&#10;" path="m0,0l0,8330,6990,8330,6990,0xe">
                <v:fill on="t" focussize="0,0"/>
                <v:stroke color="#000000" joinstyle="round"/>
                <v:imagedata o:title=""/>
                <o:lock v:ext="edit" selection="t" aspectratio="f"/>
              </v:shape>
            </w:pict>
          </mc:Fallback>
        </mc:AlternateContent>
      </w:r>
    </w:p>
    <w:p>
      <w:pPr>
        <w:spacing w:line="360" w:lineRule="auto"/>
        <w:jc w:val="center"/>
        <w:rPr>
          <w:rFonts w:ascii="Times New Roman" w:hAnsi="Times New Roman" w:eastAsia="宋体" w:cs="Times New Roman"/>
          <w:sz w:val="24"/>
          <w:szCs w:val="22"/>
        </w:rPr>
      </w:pPr>
      <w:r>
        <w:rPr>
          <w:rFonts w:ascii="Times New Roman" w:hAnsi="Times New Roman" w:eastAsia="宋体" w:cs="Times New Roman"/>
          <w:sz w:val="24"/>
          <w:szCs w:val="22"/>
        </w:rPr>
        <w:drawing>
          <wp:inline distT="0" distB="0" distL="114300" distR="114300">
            <wp:extent cx="4438650" cy="5286375"/>
            <wp:effectExtent l="0" t="0" r="0" b="0"/>
            <wp:docPr id="5" name="1059" descr="1059"/>
            <wp:cNvGraphicFramePr/>
            <a:graphic xmlns:a="http://schemas.openxmlformats.org/drawingml/2006/main">
              <a:graphicData uri="http://schemas.openxmlformats.org/drawingml/2006/picture">
                <pic:pic xmlns:pic="http://schemas.openxmlformats.org/drawingml/2006/picture">
                  <pic:nvPicPr>
                    <pic:cNvPr id="5" name="1059" descr="1059"/>
                    <pic:cNvPicPr preferRelativeResize="0">
                      <a:picLocks noChangeArrowheads="1"/>
                    </pic:cNvPicPr>
                  </pic:nvPicPr>
                  <pic:blipFill>
                    <a:blip r:embed="rId10" cstate="print">
                      <a:clrChange>
                        <a:clrFrom>
                          <a:srgbClr val="FFFFFF"/>
                        </a:clrFrom>
                        <a:clrTo>
                          <a:srgbClr val="FFFFFF">
                            <a:alpha val="0"/>
                          </a:srgbClr>
                        </a:clrTo>
                      </a:clrChange>
                    </a:blip>
                    <a:srcRect/>
                    <a:stretch>
                      <a:fillRect/>
                    </a:stretch>
                  </pic:blipFill>
                  <pic:spPr>
                    <a:xfrm>
                      <a:off x="0" y="0"/>
                      <a:ext cx="4438650" cy="5286375"/>
                    </a:xfrm>
                    <a:custGeom>
                      <a:avLst/>
                      <a:gdLst>
                        <a:gd name="T0" fmla="*/ 0 w 6990"/>
                        <a:gd name="T1" fmla="*/ 0 h 8330"/>
                        <a:gd name="T2" fmla="*/ 0 w 6990"/>
                        <a:gd name="T3" fmla="*/ 8330 h 8330"/>
                        <a:gd name="T4" fmla="*/ 6990 w 6990"/>
                        <a:gd name="T5" fmla="*/ 8330 h 8330"/>
                        <a:gd name="T6" fmla="*/ 6990 w 6990"/>
                        <a:gd name="T7" fmla="*/ 0 h 8330"/>
                      </a:gdLst>
                      <a:ahLst/>
                      <a:cxnLst>
                        <a:cxn ang="0">
                          <a:pos x="T0" y="T1"/>
                        </a:cxn>
                        <a:cxn ang="0">
                          <a:pos x="T2" y="T3"/>
                        </a:cxn>
                        <a:cxn ang="0">
                          <a:pos x="T4" y="T5"/>
                        </a:cxn>
                        <a:cxn ang="0">
                          <a:pos x="T6" y="T7"/>
                        </a:cxn>
                      </a:cxnLst>
                      <a:rect l="0" t="0" r="r" b="b"/>
                      <a:pathLst>
                        <a:path w="6990" h="8330">
                          <a:moveTo>
                            <a:pt x="0" y="0"/>
                          </a:moveTo>
                          <a:lnTo>
                            <a:pt x="0" y="8330"/>
                          </a:lnTo>
                          <a:lnTo>
                            <a:pt x="6990" y="8330"/>
                          </a:lnTo>
                          <a:lnTo>
                            <a:pt x="6990" y="0"/>
                          </a:lnTo>
                          <a:close/>
                        </a:path>
                      </a:pathLst>
                    </a:custGeom>
                    <a:noFill/>
                    <a:ln>
                      <a:noFill/>
                    </a:ln>
                  </pic:spPr>
                </pic:pic>
              </a:graphicData>
            </a:graphic>
          </wp:inline>
        </w:drawing>
      </w:r>
    </w:p>
    <w:p>
      <w:pPr>
        <w:adjustRightInd w:val="0"/>
        <w:snapToGrid w:val="0"/>
        <w:spacing w:line="360" w:lineRule="auto"/>
        <w:ind w:firstLine="422" w:firstLineChars="200"/>
        <w:jc w:val="center"/>
        <w:rPr>
          <w:rFonts w:hint="eastAsia" w:ascii="宋体" w:hAnsi="宋体" w:eastAsia="宋体" w:cs="宋体"/>
          <w:b/>
          <w:szCs w:val="21"/>
          <w:lang w:bidi="ar"/>
        </w:rPr>
      </w:pPr>
      <w:r>
        <w:rPr>
          <w:rFonts w:hint="eastAsia" w:ascii="宋体" w:hAnsi="宋体" w:eastAsia="宋体" w:cs="宋体"/>
          <w:b/>
          <w:szCs w:val="21"/>
          <w:lang w:bidi="ar"/>
        </w:rPr>
        <w:t>图2-</w:t>
      </w:r>
      <w:r>
        <w:rPr>
          <w:rFonts w:hint="eastAsia" w:ascii="宋体" w:hAnsi="宋体" w:eastAsia="宋体" w:cs="宋体"/>
          <w:b/>
          <w:szCs w:val="21"/>
          <w:lang w:val="en-US" w:eastAsia="zh-CN" w:bidi="ar"/>
        </w:rPr>
        <w:t>4</w:t>
      </w:r>
      <w:r>
        <w:rPr>
          <w:rFonts w:hint="eastAsia" w:ascii="宋体" w:hAnsi="宋体" w:eastAsia="宋体" w:cs="宋体"/>
          <w:b/>
          <w:szCs w:val="21"/>
          <w:lang w:bidi="ar"/>
        </w:rPr>
        <w:t xml:space="preserve"> 湖南省构造及地壳稳定性图</w:t>
      </w:r>
    </w:p>
    <w:p>
      <w:pPr>
        <w:pStyle w:val="6"/>
        <w:spacing w:before="156" w:after="156"/>
        <w:rPr>
          <w:rFonts w:hint="eastAsia"/>
        </w:rPr>
      </w:pPr>
      <w:bookmarkStart w:id="51" w:name="_Toc1826"/>
      <w:r>
        <w:rPr>
          <w:rFonts w:hint="eastAsia"/>
        </w:rPr>
        <w:t>2.1.3.4 水文地质条件</w:t>
      </w:r>
      <w:bookmarkEnd w:id="51"/>
    </w:p>
    <w:p>
      <w:pPr>
        <w:autoSpaceDE w:val="0"/>
        <w:autoSpaceDN w:val="0"/>
        <w:snapToGrid w:val="0"/>
        <w:spacing w:line="360" w:lineRule="auto"/>
        <w:ind w:firstLine="480"/>
        <w:rPr>
          <w:rFonts w:ascii="Times New Roman" w:hAnsi="Times New Roman" w:eastAsia="宋体" w:cs="Times New Roman"/>
          <w:sz w:val="24"/>
          <w:szCs w:val="22"/>
        </w:rPr>
      </w:pPr>
      <w:r>
        <w:rPr>
          <w:rFonts w:ascii="Times New Roman" w:hAnsi="Times New Roman" w:eastAsia="宋体" w:cs="Times New Roman"/>
          <w:sz w:val="24"/>
          <w:szCs w:val="22"/>
        </w:rPr>
        <w:t>（一）含水层分布及赋水性</w:t>
      </w:r>
    </w:p>
    <w:p>
      <w:pPr>
        <w:autoSpaceDE w:val="0"/>
        <w:autoSpaceDN w:val="0"/>
        <w:snapToGrid w:val="0"/>
        <w:spacing w:line="360" w:lineRule="auto"/>
        <w:rPr>
          <w:rFonts w:ascii="Times New Roman" w:hAnsi="Times New Roman" w:eastAsia="宋体" w:cs="Times New Roman"/>
          <w:sz w:val="24"/>
          <w:szCs w:val="22"/>
        </w:rPr>
      </w:pPr>
      <w:r>
        <w:rPr>
          <w:rFonts w:ascii="Times New Roman" w:hAnsi="Times New Roman" w:eastAsia="宋体" w:cs="Times New Roman"/>
          <w:sz w:val="24"/>
          <w:szCs w:val="22"/>
        </w:rPr>
        <w:t>1、区域特点</w:t>
      </w:r>
    </w:p>
    <w:p>
      <w:pPr>
        <w:autoSpaceDE w:val="0"/>
        <w:autoSpaceDN w:val="0"/>
        <w:snapToGrid w:val="0"/>
        <w:spacing w:line="360" w:lineRule="auto"/>
        <w:ind w:firstLine="480"/>
        <w:rPr>
          <w:rFonts w:ascii="Times New Roman" w:hAnsi="Times New Roman" w:eastAsia="宋体" w:cs="Times New Roman"/>
          <w:sz w:val="24"/>
          <w:szCs w:val="22"/>
        </w:rPr>
      </w:pPr>
      <w:r>
        <w:rPr>
          <w:rFonts w:ascii="Times New Roman" w:hAnsi="Times New Roman" w:eastAsia="宋体" w:cs="Times New Roman"/>
          <w:sz w:val="24"/>
          <w:szCs w:val="22"/>
        </w:rPr>
        <w:t>由图2-</w:t>
      </w:r>
      <w:r>
        <w:rPr>
          <w:rFonts w:hint="eastAsia" w:ascii="Times New Roman" w:hAnsi="Times New Roman" w:eastAsia="宋体" w:cs="Times New Roman"/>
          <w:sz w:val="24"/>
          <w:szCs w:val="22"/>
          <w:lang w:val="en-US" w:eastAsia="zh-CN"/>
        </w:rPr>
        <w:t>3</w:t>
      </w:r>
      <w:r>
        <w:rPr>
          <w:rFonts w:ascii="Times New Roman" w:hAnsi="Times New Roman" w:eastAsia="宋体" w:cs="Times New Roman"/>
          <w:sz w:val="24"/>
          <w:szCs w:val="22"/>
        </w:rPr>
        <w:t>和图2-4可知，洞庭湖盆地平原广泛分布第四系松散岩类孔隙含水层，水源地所在区第四系平均厚度超过130m，孔隙承压水是该地区最主要的含</w:t>
      </w:r>
    </w:p>
    <w:p>
      <w:pPr>
        <w:autoSpaceDE w:val="0"/>
        <w:autoSpaceDN w:val="0"/>
        <w:snapToGrid w:val="0"/>
        <w:spacing w:line="360" w:lineRule="auto"/>
        <w:rPr>
          <w:rFonts w:cs="宋体" w:asciiTheme="minorEastAsia" w:hAnsiTheme="minorEastAsia"/>
          <w:sz w:val="24"/>
        </w:rPr>
      </w:pPr>
      <w:r>
        <w:rPr>
          <w:rFonts w:cs="宋体" w:asciiTheme="minorEastAsia" w:hAnsiTheme="minorEastAsia"/>
          <w:sz w:val="24"/>
        </w:rPr>
        <w:t>水层类型。主要含水层为全新统砂砾石层，该含水层水量丰富，单井水量可达</w:t>
      </w:r>
    </w:p>
    <w:p>
      <w:pPr>
        <w:autoSpaceDE w:val="0"/>
        <w:autoSpaceDN w:val="0"/>
        <w:snapToGrid w:val="0"/>
        <w:spacing w:line="360" w:lineRule="auto"/>
        <w:rPr>
          <w:rFonts w:cs="宋体" w:asciiTheme="minorEastAsia" w:hAnsiTheme="minorEastAsia"/>
          <w:sz w:val="24"/>
        </w:rPr>
      </w:pPr>
      <w:r>
        <w:rPr>
          <w:rFonts w:hint="default" w:ascii="Times New Roman" w:hAnsi="Times New Roman" w:cs="Times New Roman"/>
          <w:sz w:val="24"/>
          <w:highlight w:val="none"/>
        </w:rPr>
        <w:t>1000m³/d</w:t>
      </w:r>
      <w:r>
        <w:rPr>
          <w:rFonts w:hint="default" w:ascii="Times New Roman" w:hAnsi="Times New Roman" w:cs="Times New Roman"/>
          <w:spacing w:val="-29"/>
          <w:sz w:val="24"/>
        </w:rPr>
        <w:t xml:space="preserve"> </w:t>
      </w:r>
      <w:r>
        <w:rPr>
          <w:rFonts w:cs="宋体" w:asciiTheme="minorEastAsia" w:hAnsiTheme="minorEastAsia"/>
          <w:sz w:val="24"/>
        </w:rPr>
        <w:t>以上。</w:t>
      </w:r>
    </w:p>
    <w:p>
      <w:pPr>
        <w:autoSpaceDE w:val="0"/>
        <w:autoSpaceDN w:val="0"/>
        <w:snapToGrid w:val="0"/>
        <w:spacing w:line="360" w:lineRule="auto"/>
        <w:rPr>
          <w:rFonts w:hint="eastAsia" w:cs="宋体" w:asciiTheme="minorEastAsia" w:hAnsiTheme="minorEastAsia"/>
          <w:sz w:val="24"/>
        </w:rPr>
      </w:pPr>
      <w:r>
        <w:rPr>
          <w:rFonts w:hint="eastAsia" w:cs="宋体" w:asciiTheme="minorEastAsia" w:hAnsiTheme="minorEastAsia"/>
          <w:sz w:val="24"/>
        </w:rPr>
        <w:t>2、水井钻孔成井资料</w:t>
      </w:r>
    </w:p>
    <w:p>
      <w:pPr>
        <w:autoSpaceDE w:val="0"/>
        <w:autoSpaceDN w:val="0"/>
        <w:snapToGrid w:val="0"/>
        <w:spacing w:line="360" w:lineRule="auto"/>
        <w:ind w:firstLine="360" w:firstLineChars="150"/>
        <w:rPr>
          <w:rFonts w:hint="eastAsia" w:cs="宋体" w:asciiTheme="minorEastAsia" w:hAnsiTheme="minorEastAsia"/>
          <w:sz w:val="24"/>
        </w:rPr>
      </w:pPr>
      <w:r>
        <w:rPr>
          <w:rFonts w:hint="eastAsia" w:cs="宋体" w:asciiTheme="minorEastAsia" w:hAnsiTheme="minorEastAsia"/>
          <w:sz w:val="24"/>
          <w:lang w:eastAsia="zh-CN"/>
        </w:rPr>
        <w:t>由于历史久远，长仑水厂</w:t>
      </w:r>
      <w:r>
        <w:rPr>
          <w:rFonts w:hint="eastAsia" w:cs="宋体" w:asciiTheme="minorEastAsia" w:hAnsiTheme="minorEastAsia"/>
          <w:sz w:val="24"/>
          <w:lang w:val="en-US" w:eastAsia="zh-CN"/>
        </w:rPr>
        <w:t>1、2号井完工报告已丢失，故此采用三号井完工报告。</w:t>
      </w:r>
      <w:r>
        <w:rPr>
          <w:rFonts w:hint="eastAsia" w:cs="宋体" w:asciiTheme="minorEastAsia" w:hAnsiTheme="minorEastAsia"/>
          <w:sz w:val="24"/>
        </w:rPr>
        <w:t>本次收集了《湘阴县</w:t>
      </w:r>
      <w:r>
        <w:rPr>
          <w:rFonts w:hint="eastAsia" w:cs="宋体" w:asciiTheme="minorEastAsia" w:hAnsiTheme="minorEastAsia"/>
          <w:sz w:val="24"/>
          <w:lang w:eastAsia="zh-CN"/>
        </w:rPr>
        <w:t>长仑</w:t>
      </w:r>
      <w:r>
        <w:rPr>
          <w:rFonts w:hint="eastAsia" w:cs="宋体" w:asciiTheme="minorEastAsia" w:hAnsiTheme="minorEastAsia"/>
          <w:sz w:val="24"/>
        </w:rPr>
        <w:t>水厂</w:t>
      </w:r>
      <w:r>
        <w:rPr>
          <w:rFonts w:hint="eastAsia" w:cs="宋体" w:asciiTheme="minorEastAsia" w:hAnsiTheme="minorEastAsia"/>
          <w:sz w:val="24"/>
          <w:lang w:eastAsia="zh-CN"/>
        </w:rPr>
        <w:t>三号水源井水文、地质</w:t>
      </w:r>
      <w:r>
        <w:rPr>
          <w:rFonts w:hint="eastAsia" w:cs="宋体" w:asciiTheme="minorEastAsia" w:hAnsiTheme="minorEastAsia"/>
          <w:sz w:val="24"/>
        </w:rPr>
        <w:t>成井</w:t>
      </w:r>
      <w:r>
        <w:rPr>
          <w:rFonts w:hint="eastAsia" w:cs="宋体" w:asciiTheme="minorEastAsia" w:hAnsiTheme="minorEastAsia"/>
          <w:sz w:val="24"/>
          <w:lang w:eastAsia="zh-CN"/>
        </w:rPr>
        <w:t>完工报告</w:t>
      </w:r>
      <w:r>
        <w:rPr>
          <w:rFonts w:hint="eastAsia" w:cs="宋体" w:asciiTheme="minorEastAsia" w:hAnsiTheme="minorEastAsia"/>
          <w:sz w:val="24"/>
        </w:rPr>
        <w:t>》</w:t>
      </w:r>
    </w:p>
    <w:p>
      <w:pPr>
        <w:autoSpaceDE w:val="0"/>
        <w:autoSpaceDN w:val="0"/>
        <w:snapToGrid w:val="0"/>
        <w:spacing w:line="360" w:lineRule="auto"/>
        <w:ind w:firstLine="360" w:firstLineChars="150"/>
        <w:rPr>
          <w:rFonts w:hint="eastAsia" w:asciiTheme="minorEastAsia" w:hAnsiTheme="minorEastAsia"/>
          <w:sz w:val="24"/>
          <w:highlight w:val="none"/>
          <w:lang w:eastAsia="zh-CN"/>
        </w:rPr>
      </w:pPr>
      <w:r>
        <w:rPr>
          <w:rFonts w:hint="eastAsia" w:cs="宋体" w:asciiTheme="minorEastAsia" w:hAnsiTheme="minorEastAsia"/>
          <w:sz w:val="24"/>
          <w:highlight w:val="none"/>
        </w:rPr>
        <w:t>水源井在湘阴县</w:t>
      </w:r>
      <w:r>
        <w:rPr>
          <w:rFonts w:hint="eastAsia" w:cs="宋体" w:asciiTheme="minorEastAsia" w:hAnsiTheme="minorEastAsia"/>
          <w:sz w:val="24"/>
          <w:highlight w:val="none"/>
          <w:lang w:eastAsia="zh-CN"/>
        </w:rPr>
        <w:t>石塘镇</w:t>
      </w:r>
      <w:r>
        <w:rPr>
          <w:rFonts w:hint="eastAsia" w:cs="宋体" w:asciiTheme="minorEastAsia" w:hAnsiTheme="minorEastAsia"/>
          <w:sz w:val="24"/>
          <w:highlight w:val="none"/>
        </w:rPr>
        <w:t>，水源地位于洞庭湖</w:t>
      </w:r>
      <w:r>
        <w:rPr>
          <w:rFonts w:hint="eastAsia" w:cs="宋体" w:asciiTheme="minorEastAsia" w:hAnsiTheme="minorEastAsia"/>
          <w:sz w:val="24"/>
          <w:highlight w:val="none"/>
          <w:lang w:eastAsia="zh-CN"/>
        </w:rPr>
        <w:t>岗地</w:t>
      </w:r>
      <w:r>
        <w:rPr>
          <w:rFonts w:hint="eastAsia" w:cs="宋体" w:asciiTheme="minorEastAsia" w:hAnsiTheme="minorEastAsia"/>
          <w:sz w:val="24"/>
          <w:highlight w:val="none"/>
        </w:rPr>
        <w:t>东南部，场地含水层主要为第四系</w:t>
      </w:r>
      <w:r>
        <w:rPr>
          <w:rFonts w:hint="eastAsia" w:cs="宋体" w:asciiTheme="minorEastAsia" w:hAnsiTheme="minorEastAsia"/>
          <w:sz w:val="24"/>
          <w:highlight w:val="none"/>
          <w:lang w:eastAsia="zh-CN"/>
        </w:rPr>
        <w:t>沉积结构</w:t>
      </w:r>
      <w:r>
        <w:rPr>
          <w:rFonts w:hint="eastAsia" w:cs="宋体" w:asciiTheme="minorEastAsia" w:hAnsiTheme="minorEastAsia"/>
          <w:sz w:val="24"/>
          <w:highlight w:val="none"/>
        </w:rPr>
        <w:t>，</w:t>
      </w:r>
      <w:r>
        <w:rPr>
          <w:rFonts w:hint="eastAsia" w:cs="宋体" w:asciiTheme="minorEastAsia" w:hAnsiTheme="minorEastAsia"/>
          <w:sz w:val="24"/>
          <w:highlight w:val="none"/>
          <w:lang w:eastAsia="zh-CN"/>
        </w:rPr>
        <w:t>砂砾石层沉积较厚，含水量十分丰富，可作为水厂取水水源，且上部具有较好的隔水层，对防止地表水和浅层地下水侵入，是个十分有利的自然条件</w:t>
      </w:r>
      <w:r>
        <w:rPr>
          <w:rFonts w:hint="eastAsia" w:cs="宋体" w:asciiTheme="minorEastAsia" w:hAnsiTheme="minorEastAsia"/>
          <w:sz w:val="24"/>
          <w:highlight w:val="none"/>
        </w:rPr>
        <w:t>。</w:t>
      </w:r>
    </w:p>
    <w:p>
      <w:pPr>
        <w:autoSpaceDE w:val="0"/>
        <w:autoSpaceDN w:val="0"/>
        <w:snapToGrid w:val="0"/>
        <w:spacing w:line="360" w:lineRule="auto"/>
        <w:ind w:firstLine="360" w:firstLineChars="150"/>
        <w:rPr>
          <w:rFonts w:hint="eastAsia" w:asciiTheme="minorEastAsia" w:hAnsiTheme="minorEastAsia"/>
          <w:sz w:val="24"/>
          <w:highlight w:val="none"/>
        </w:rPr>
      </w:pPr>
      <w:r>
        <w:rPr>
          <w:rFonts w:hint="eastAsia" w:asciiTheme="minorEastAsia" w:hAnsiTheme="minorEastAsia"/>
          <w:sz w:val="24"/>
          <w:highlight w:val="none"/>
          <w:lang w:eastAsia="zh-CN"/>
        </w:rPr>
        <w:t>取水口</w:t>
      </w:r>
      <w:r>
        <w:rPr>
          <w:rFonts w:hint="eastAsia" w:asciiTheme="minorEastAsia" w:hAnsiTheme="minorEastAsia"/>
          <w:sz w:val="24"/>
          <w:highlight w:val="none"/>
        </w:rPr>
        <w:t>（</w:t>
      </w:r>
      <w:r>
        <w:rPr>
          <w:rFonts w:hint="eastAsia" w:asciiTheme="minorEastAsia" w:hAnsiTheme="minorEastAsia"/>
          <w:sz w:val="24"/>
        </w:rPr>
        <w:t>（</w:t>
      </w:r>
      <w:r>
        <w:rPr>
          <w:rFonts w:hint="eastAsia" w:asciiTheme="minorEastAsia" w:hAnsiTheme="minorEastAsia"/>
          <w:sz w:val="24"/>
          <w:lang w:eastAsia="zh-CN"/>
        </w:rPr>
        <w:t>一号、二号水井位于</w:t>
      </w:r>
      <w:r>
        <w:rPr>
          <w:rFonts w:hint="eastAsia" w:asciiTheme="minorEastAsia" w:hAnsiTheme="minorEastAsia"/>
          <w:sz w:val="24"/>
        </w:rPr>
        <w:t>水厂</w:t>
      </w:r>
      <w:r>
        <w:rPr>
          <w:rFonts w:hint="eastAsia" w:asciiTheme="minorEastAsia" w:hAnsiTheme="minorEastAsia"/>
          <w:sz w:val="24"/>
          <w:lang w:eastAsia="zh-CN"/>
        </w:rPr>
        <w:t>内部；三号水井位于</w:t>
      </w:r>
      <w:r>
        <w:rPr>
          <w:rFonts w:hint="eastAsia" w:asciiTheme="minorEastAsia" w:hAnsiTheme="minorEastAsia"/>
          <w:sz w:val="24"/>
          <w:lang w:val="en-US" w:eastAsia="zh-CN"/>
        </w:rPr>
        <w:t>乡村公路边，</w:t>
      </w:r>
      <w:r>
        <w:rPr>
          <w:rFonts w:hint="eastAsia" w:asciiTheme="minorEastAsia" w:hAnsiTheme="minorEastAsia"/>
          <w:sz w:val="24"/>
        </w:rPr>
        <w:t>取水量</w:t>
      </w:r>
      <w:r>
        <w:rPr>
          <w:rFonts w:hint="eastAsia" w:asciiTheme="minorEastAsia" w:hAnsiTheme="minorEastAsia"/>
          <w:sz w:val="24"/>
          <w:highlight w:val="none"/>
          <w:lang w:val="en-US" w:eastAsia="zh-CN"/>
        </w:rPr>
        <w:t>760</w:t>
      </w:r>
      <w:r>
        <w:rPr>
          <w:rFonts w:hint="eastAsia" w:asciiTheme="minorEastAsia" w:hAnsiTheme="minorEastAsia"/>
          <w:sz w:val="24"/>
          <w:highlight w:val="none"/>
        </w:rPr>
        <w:t>t/d，动水</w:t>
      </w:r>
      <w:r>
        <w:rPr>
          <w:rFonts w:hint="eastAsia" w:asciiTheme="minorEastAsia" w:hAnsiTheme="minorEastAsia"/>
          <w:sz w:val="24"/>
          <w:highlight w:val="none"/>
          <w:lang w:val="en-US" w:eastAsia="zh-CN"/>
        </w:rPr>
        <w:t>9.0</w:t>
      </w:r>
      <w:r>
        <w:rPr>
          <w:rFonts w:hint="eastAsia" w:asciiTheme="minorEastAsia" w:hAnsiTheme="minorEastAsia"/>
          <w:sz w:val="24"/>
          <w:highlight w:val="none"/>
        </w:rPr>
        <w:t>m、静水</w:t>
      </w:r>
      <w:r>
        <w:rPr>
          <w:rFonts w:hint="eastAsia" w:asciiTheme="minorEastAsia" w:hAnsiTheme="minorEastAsia"/>
          <w:sz w:val="24"/>
          <w:highlight w:val="none"/>
          <w:lang w:val="en-US" w:eastAsia="zh-CN"/>
        </w:rPr>
        <w:t>5.6</w:t>
      </w:r>
      <w:r>
        <w:rPr>
          <w:rFonts w:hint="eastAsia" w:asciiTheme="minorEastAsia" w:hAnsiTheme="minorEastAsia"/>
          <w:sz w:val="24"/>
          <w:highlight w:val="none"/>
        </w:rPr>
        <w:t>m）</w:t>
      </w:r>
    </w:p>
    <w:p>
      <w:pPr>
        <w:autoSpaceDE w:val="0"/>
        <w:autoSpaceDN w:val="0"/>
        <w:snapToGrid w:val="0"/>
        <w:spacing w:line="360" w:lineRule="auto"/>
        <w:ind w:firstLine="360" w:firstLineChars="150"/>
        <w:rPr>
          <w:rFonts w:hint="eastAsia" w:asciiTheme="minorEastAsia" w:hAnsiTheme="minorEastAsia"/>
          <w:sz w:val="24"/>
          <w:highlight w:val="none"/>
        </w:rPr>
      </w:pPr>
    </w:p>
    <w:p>
      <w:pPr>
        <w:autoSpaceDE w:val="0"/>
        <w:autoSpaceDN w:val="0"/>
        <w:snapToGrid w:val="0"/>
        <w:spacing w:line="360" w:lineRule="auto"/>
        <w:ind w:firstLine="360" w:firstLineChars="150"/>
        <w:rPr>
          <w:rFonts w:hint="eastAsia" w:asciiTheme="minorEastAsia" w:hAnsiTheme="minorEastAsia"/>
          <w:sz w:val="24"/>
          <w:highlight w:val="none"/>
        </w:rPr>
      </w:pPr>
    </w:p>
    <w:p>
      <w:pPr>
        <w:autoSpaceDE w:val="0"/>
        <w:autoSpaceDN w:val="0"/>
        <w:snapToGrid w:val="0"/>
        <w:spacing w:line="360" w:lineRule="auto"/>
        <w:ind w:firstLine="360" w:firstLineChars="150"/>
        <w:rPr>
          <w:rFonts w:hint="eastAsia" w:asciiTheme="minorEastAsia" w:hAnsiTheme="minorEastAsia"/>
          <w:sz w:val="24"/>
          <w:highlight w:val="none"/>
        </w:rPr>
        <w:sectPr>
          <w:footerReference r:id="rId5" w:type="default"/>
          <w:pgSz w:w="11905" w:h="16838"/>
          <w:pgMar w:top="1134" w:right="1417" w:bottom="1134" w:left="1417" w:header="850" w:footer="992" w:gutter="0"/>
          <w:paperSrc/>
          <w:pgBorders>
            <w:top w:val="none" w:sz="0" w:space="0"/>
            <w:left w:val="none" w:sz="0" w:space="0"/>
            <w:bottom w:val="none" w:sz="0" w:space="0"/>
            <w:right w:val="none" w:sz="0" w:space="0"/>
          </w:pgBorders>
          <w:pgNumType w:fmt="decimal" w:start="1"/>
          <w:cols w:space="0" w:num="1"/>
          <w:rtlGutter w:val="0"/>
          <w:docGrid w:type="lines" w:linePitch="317" w:charSpace="0"/>
        </w:sectPr>
      </w:pPr>
    </w:p>
    <w:p>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textAlignment w:val="auto"/>
      </w:pPr>
      <w:r>
        <w:drawing>
          <wp:inline distT="0" distB="0" distL="114300" distR="114300">
            <wp:extent cx="9237980" cy="5345430"/>
            <wp:effectExtent l="0" t="0" r="1270"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1"/>
                    <a:stretch>
                      <a:fillRect/>
                    </a:stretch>
                  </pic:blipFill>
                  <pic:spPr>
                    <a:xfrm>
                      <a:off x="0" y="0"/>
                      <a:ext cx="9237980" cy="53454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160" w:beforeLines="50" w:line="360" w:lineRule="auto"/>
        <w:ind w:firstLine="422" w:firstLineChars="200"/>
        <w:jc w:val="center"/>
        <w:textAlignment w:val="auto"/>
        <w:rPr>
          <w:rFonts w:hint="eastAsia" w:ascii="宋体" w:hAnsi="宋体" w:eastAsia="宋体" w:cs="宋体"/>
          <w:b/>
          <w:szCs w:val="21"/>
          <w:lang w:bidi="ar"/>
        </w:rPr>
      </w:pPr>
      <w:r>
        <w:rPr>
          <w:rFonts w:hint="eastAsia" w:ascii="宋体" w:hAnsi="宋体" w:eastAsia="宋体" w:cs="宋体"/>
          <w:b/>
          <w:szCs w:val="21"/>
          <w:lang w:bidi="ar"/>
        </w:rPr>
        <w:t>图2-</w:t>
      </w:r>
      <w:r>
        <w:rPr>
          <w:rFonts w:hint="eastAsia" w:ascii="宋体" w:hAnsi="宋体" w:eastAsia="宋体" w:cs="宋体"/>
          <w:b/>
          <w:szCs w:val="21"/>
          <w:lang w:val="en-US" w:eastAsia="zh-CN" w:bidi="ar"/>
        </w:rPr>
        <w:t>5</w:t>
      </w:r>
      <w:r>
        <w:rPr>
          <w:rFonts w:hint="eastAsia" w:ascii="宋体" w:hAnsi="宋体" w:eastAsia="宋体" w:cs="宋体"/>
          <w:b/>
          <w:szCs w:val="21"/>
          <w:lang w:bidi="ar"/>
        </w:rPr>
        <w:t>洞庭湖区水文地质图</w:t>
      </w:r>
    </w:p>
    <w:p>
      <w:pPr>
        <w:rPr>
          <w:rFonts w:hint="eastAsia" w:asciiTheme="minorHAnsi" w:hAnsiTheme="minorHAnsi" w:eastAsiaTheme="minorEastAsia" w:cstheme="minorBidi"/>
          <w:kern w:val="2"/>
          <w:sz w:val="21"/>
          <w:szCs w:val="24"/>
          <w:lang w:val="en-US" w:eastAsia="zh-CN" w:bidi="ar-SA"/>
        </w:rPr>
        <w:sectPr>
          <w:pgSz w:w="16838" w:h="11905" w:orient="landscape"/>
          <w:pgMar w:top="1417" w:right="1134" w:bottom="1417" w:left="1134" w:header="850" w:footer="992" w:gutter="0"/>
          <w:paperSrc/>
          <w:pgBorders>
            <w:top w:val="none" w:sz="0" w:space="0"/>
            <w:left w:val="none" w:sz="0" w:space="0"/>
            <w:bottom w:val="none" w:sz="0" w:space="0"/>
            <w:right w:val="none" w:sz="0" w:space="0"/>
          </w:pgBorders>
          <w:pgNumType w:fmt="decimal"/>
          <w:cols w:space="0" w:num="1"/>
          <w:rtlGutter w:val="0"/>
          <w:docGrid w:type="lines" w:linePitch="317" w:charSpace="0"/>
        </w:sectPr>
      </w:pPr>
    </w:p>
    <w:p>
      <w:pPr>
        <w:tabs>
          <w:tab w:val="left" w:pos="4289"/>
        </w:tabs>
        <w:jc w:val="center"/>
        <w:rPr>
          <w:rFonts w:hint="eastAsia" w:asciiTheme="minorEastAsia" w:hAnsiTheme="minorEastAsia"/>
          <w:b/>
          <w:sz w:val="24"/>
          <w:highlight w:val="none"/>
        </w:rPr>
      </w:pPr>
      <w:r>
        <w:rPr>
          <w:rFonts w:hint="default" w:ascii="Times New Roman" w:hAnsi="Times New Roman" w:cs="Times New Roman"/>
        </w:rPr>
        <w:drawing>
          <wp:inline distT="0" distB="0" distL="114300" distR="114300">
            <wp:extent cx="5486400" cy="7393940"/>
            <wp:effectExtent l="0" t="0" r="0" b="1651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2"/>
                    <a:stretch>
                      <a:fillRect/>
                    </a:stretch>
                  </pic:blipFill>
                  <pic:spPr>
                    <a:xfrm>
                      <a:off x="0" y="0"/>
                      <a:ext cx="5486400" cy="7393940"/>
                    </a:xfrm>
                    <a:prstGeom prst="rect">
                      <a:avLst/>
                    </a:prstGeom>
                    <a:noFill/>
                    <a:ln w="9525">
                      <a:noFill/>
                    </a:ln>
                  </pic:spPr>
                </pic:pic>
              </a:graphicData>
            </a:graphic>
          </wp:inline>
        </w:drawing>
      </w:r>
    </w:p>
    <w:p>
      <w:pPr>
        <w:adjustRightInd w:val="0"/>
        <w:snapToGrid w:val="0"/>
        <w:spacing w:line="360" w:lineRule="auto"/>
        <w:ind w:firstLine="422" w:firstLineChars="200"/>
        <w:jc w:val="center"/>
        <w:rPr>
          <w:rFonts w:hint="eastAsia" w:ascii="宋体" w:hAnsi="宋体" w:eastAsia="宋体" w:cs="宋体"/>
          <w:b/>
          <w:szCs w:val="21"/>
          <w:lang w:bidi="ar"/>
        </w:rPr>
      </w:pPr>
      <w:r>
        <w:rPr>
          <w:rFonts w:hint="eastAsia" w:ascii="宋体" w:hAnsi="宋体" w:eastAsia="宋体" w:cs="宋体"/>
          <w:b/>
          <w:szCs w:val="21"/>
          <w:lang w:bidi="ar"/>
        </w:rPr>
        <w:t>图2-6  水井钻孔柱状图和成井工艺图</w:t>
      </w:r>
    </w:p>
    <w:p>
      <w:pPr>
        <w:autoSpaceDE w:val="0"/>
        <w:autoSpaceDN w:val="0"/>
        <w:snapToGrid w:val="0"/>
        <w:spacing w:line="360" w:lineRule="auto"/>
        <w:rPr>
          <w:rFonts w:hint="eastAsia"/>
          <w:b/>
          <w:bCs/>
          <w:sz w:val="30"/>
          <w:szCs w:val="30"/>
        </w:rPr>
      </w:pPr>
      <w:r>
        <w:rPr>
          <w:rFonts w:hint="eastAsia"/>
          <w:b/>
          <w:bCs/>
          <w:sz w:val="30"/>
          <w:szCs w:val="30"/>
        </w:rPr>
        <w:br w:type="page"/>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（二）地下水补给、径流、排泄条件分析</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1、地下水补给</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洞庭湖东、南、西部均为丘岗区，中间为洞庭湖腹地，湖盆底为相对不透水基岩，因而从整体上看区内地下水径流方向是自丘岗区至中部洞庭湖腹地。</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地下水主要的补给来源主要包括大气降水、地表水入渗、丘岗区地下水侧向入渗等。根据《江汉-洞庭平原地下水资源及其环境问题调查（湖南）报告》，在本水源地所在区域内，表层分布连续厚层粘土，渗透系数较低，一般在0.003m/d-0.06m/d。</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2、地下水径流</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本区地下水系统属洞庭湖盆汇流型径流类型。周边丘岗区为地下水径流系统的源，洞庭湖腹地为地下水径流系统的排泄区。在丘岗区，地下水呈潜水状态，水力梯度较大，一般可达 3‰以上。在洞庭湖腹地地下水力梯度下降到 0.2‰以下。</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3、地下水排泄</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地下水系统的排泄方式主要包括蒸发、向地表水越流、向洞庭湖腹地侧向径流和人口开采。</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由于本区域地下水具有承压性，在平水或枯水期，部分区域地下水承压水头要高于地表水位，此时地下水可通过地表水体底部的弱透水层向上越流补给地表水体。同时，侧向补给洞庭湖腹地地下水系统是最主要排泄渠道。</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2"/>
        <w:rPr>
          <w:rFonts w:hint="eastAsia" w:asciiTheme="minorEastAsia" w:hAnsiTheme="minorEastAsia"/>
          <w:b/>
          <w:bCs w:val="0"/>
          <w:sz w:val="30"/>
          <w:szCs w:val="30"/>
          <w:lang w:val="en-US" w:eastAsia="zh-CN"/>
        </w:rPr>
      </w:pPr>
      <w:bookmarkStart w:id="52" w:name="_Toc15556"/>
      <w:bookmarkStart w:id="53" w:name="_Toc10246"/>
      <w:r>
        <w:rPr>
          <w:rFonts w:hint="eastAsia" w:asciiTheme="minorEastAsia" w:hAnsiTheme="minorEastAsia"/>
          <w:b/>
          <w:bCs w:val="0"/>
          <w:sz w:val="30"/>
          <w:szCs w:val="30"/>
          <w:lang w:val="en-US" w:eastAsia="zh-CN"/>
        </w:rPr>
        <w:t>2.1.4地表水文概况</w:t>
      </w:r>
      <w:bookmarkEnd w:id="52"/>
      <w:bookmarkEnd w:id="53"/>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湘阴县域内河渠纵横交错，湖泊塘堰星罗棋布，湘资两水在县内流经长度达到250 公里，内江流经长度70 余公里，共有外湖81 个，内湖78 个，水库、塘坝工程总计8244 处，总蓄引水量6471 万m³，水域面积98.6 万亩，可利用率在 55%以上，为养殖、捕捞、溉灌、航运，工业用水提供了十分充裕的水源。</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境内地表水系不发育，多年平均陆地总产水量 5.94 亿 m³，年均经流深512mm，径流系数 0.37，可开采地下水为 3.29 亿 m³，全县陆地水资源总量为9.23 亿 m³，人平均占有量 1334.7 m³，年出入境水量 2991.3 亿 m³，人均 43.3 万m³，由此可见湘阴县水资源相当丰富，但以过境水量为主，从而形成西部湖区以防洪排涝为主，东部低山岗以抗旱为主的明显差异。由于地表水系不发育，地势平坦，水力资源缺乏，全县水能理论蕴藏量仅629 千瓦。</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湘江为长江流域洞庭湖水系。流经湖南省永州市、衡阳市、株洲市、湘潭市、</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长沙市，至岳阳市的湘阴县注入长江水系的洞庭湖，干流全长844 公里，流域面积94660 平方公里。湘江历史最大流量23000 立方米/秒，最小流量 120 立方米/秒。长沙综合枢纽的最小下泄流量为385m³/s。</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湘江干流自沙田乡观音阁入湘阴境内，沿铁角嘴、窑头山、躲风亭、樟树港、</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湾河至濠河口后分东、西2 条支流。东支绕城西垸东面，经老闸口、三汊河、城关镇、黄猫滩、老鼠夹至芦林潭;西支绕城西垸西面，经东港、刘家坝、新泉寺、魏家湾到临资口(旧名临泚口)与资水东支汇合，再经沅潭、杨雀潭、万家台、蛇口子至芦林潭、琴棋望至增挡进入岳阳县境，注入洞庭湖。</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区域水系见附图1。</w:t>
      </w:r>
    </w:p>
    <w:p>
      <w:pPr>
        <w:keepNext w:val="0"/>
        <w:keepLines w:val="0"/>
        <w:pageBreakBefore w:val="0"/>
        <w:widowControl w:val="0"/>
        <w:kinsoku/>
        <w:wordWrap/>
        <w:overflowPunct/>
        <w:topLinePunct w:val="0"/>
        <w:autoSpaceDE w:val="0"/>
        <w:autoSpaceDN w:val="0"/>
        <w:bidi w:val="0"/>
        <w:adjustRightInd/>
        <w:snapToGrid w:val="0"/>
        <w:spacing w:line="360" w:lineRule="auto"/>
        <w:textAlignment w:val="auto"/>
        <w:outlineLvl w:val="2"/>
        <w:rPr>
          <w:b/>
          <w:bCs/>
          <w:sz w:val="30"/>
          <w:szCs w:val="30"/>
        </w:rPr>
      </w:pPr>
      <w:bookmarkStart w:id="54" w:name="_Toc22684"/>
      <w:bookmarkStart w:id="55" w:name="_Toc14772"/>
      <w:r>
        <w:rPr>
          <w:sz w:val="24"/>
        </w:rPr>
        <mc:AlternateContent>
          <mc:Choice Requires="wps">
            <w:drawing>
              <wp:anchor distT="0" distB="0" distL="114300" distR="114300" simplePos="0" relativeHeight="252684288" behindDoc="0" locked="0" layoutInCell="1" allowOverlap="1">
                <wp:simplePos x="0" y="0"/>
                <wp:positionH relativeFrom="column">
                  <wp:posOffset>-3683000</wp:posOffset>
                </wp:positionH>
                <wp:positionV relativeFrom="paragraph">
                  <wp:posOffset>282575</wp:posOffset>
                </wp:positionV>
                <wp:extent cx="179705" cy="200025"/>
                <wp:effectExtent l="6350" t="6350" r="23495" b="22225"/>
                <wp:wrapNone/>
                <wp:docPr id="9" name="同心圆 9"/>
                <wp:cNvGraphicFramePr/>
                <a:graphic xmlns:a="http://schemas.openxmlformats.org/drawingml/2006/main">
                  <a:graphicData uri="http://schemas.microsoft.com/office/word/2010/wordprocessingShape">
                    <wps:wsp>
                      <wps:cNvSpPr/>
                      <wps:spPr>
                        <a:xfrm>
                          <a:off x="5177790" y="2358390"/>
                          <a:ext cx="179705" cy="200025"/>
                        </a:xfrm>
                        <a:prstGeom prst="donu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90pt;margin-top:22.25pt;height:15.75pt;width:14.15pt;z-index:252684288;v-text-anchor:middle;mso-width-relative:page;mso-height-relative:page;" fillcolor="#000000 [3213]" filled="t" stroked="t" coordsize="21600,21600" o:gfxdata="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fZFeHbAAAACwEAAA8AAAAAAAAAAQAgAAAAIgAAAGRycy9kb3ducmV2LnhtbFBLAQIUABQA&#10;AAAIAIdO4kCiWVcuXwIAALUEAAAOAAAAAAAAAAEAIAAAACoBAABkcnMvZTJvRG9jLnhtbFBLBQYA&#10;AAAABgAGAFkBAAD7BQAAAAA=&#10;" adj="5400">
                <v:fill on="t" focussize="0,0"/>
                <v:stroke weight="1pt" color="#000000 [3213]" miterlimit="8" joinstyle="miter"/>
                <v:imagedata o:title=""/>
                <o:lock v:ext="edit" aspectratio="f"/>
              </v:shape>
            </w:pict>
          </mc:Fallback>
        </mc:AlternateContent>
      </w:r>
      <w:r>
        <w:rPr>
          <w:sz w:val="24"/>
        </w:rPr>
        <mc:AlternateContent>
          <mc:Choice Requires="wps">
            <w:drawing>
              <wp:anchor distT="0" distB="0" distL="114300" distR="114300" simplePos="0" relativeHeight="253711360" behindDoc="0" locked="0" layoutInCell="1" allowOverlap="1">
                <wp:simplePos x="0" y="0"/>
                <wp:positionH relativeFrom="column">
                  <wp:posOffset>-1932305</wp:posOffset>
                </wp:positionH>
                <wp:positionV relativeFrom="paragraph">
                  <wp:posOffset>242570</wp:posOffset>
                </wp:positionV>
                <wp:extent cx="232410" cy="231775"/>
                <wp:effectExtent l="6350" t="6350" r="8890" b="9525"/>
                <wp:wrapNone/>
                <wp:docPr id="10" name="同心圆 10"/>
                <wp:cNvGraphicFramePr/>
                <a:graphic xmlns:a="http://schemas.openxmlformats.org/drawingml/2006/main">
                  <a:graphicData uri="http://schemas.microsoft.com/office/word/2010/wordprocessingShape">
                    <wps:wsp>
                      <wps:cNvSpPr/>
                      <wps:spPr>
                        <a:xfrm>
                          <a:off x="0" y="0"/>
                          <a:ext cx="232410" cy="231775"/>
                        </a:xfrm>
                        <a:prstGeom prst="donu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52.15pt;margin-top:19.1pt;height:18.25pt;width:18.3pt;z-index:253711360;v-text-anchor:middle;mso-width-relative:page;mso-height-relative:page;" fillcolor="#000000 [3213]" filled="t" stroked="t" coordsize="21600,21600" o:gfxdata="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77gZNsAAAAL&#10;AQAADwAAAAAAAAABACAAAAAiAAAAZHJzL2Rvd25yZXYueG1sUEsBAhQAFAAAAAgAh07iQEv9r6tS&#10;AgAAqwQAAA4AAAAAAAAAAQAgAAAAKgEAAGRycy9lMm9Eb2MueG1sUEsFBgAAAAAGAAYAWQEAAO4F&#10;AAAAAA==&#10;" adj="5385">
                <v:fill on="t" focussize="0,0"/>
                <v:stroke weight="1pt" color="#000000 [3213]" miterlimit="8" joinstyle="miter"/>
                <v:imagedata o:title=""/>
                <o:lock v:ext="edit" aspectratio="f"/>
              </v:shape>
            </w:pict>
          </mc:Fallback>
        </mc:AlternateContent>
      </w:r>
      <w:r>
        <w:rPr>
          <w:rFonts w:hint="eastAsia"/>
          <w:b/>
          <w:bCs/>
          <w:sz w:val="30"/>
          <w:szCs w:val="30"/>
        </w:rPr>
        <w:t>2.1.</w:t>
      </w:r>
      <w:r>
        <w:rPr>
          <w:rFonts w:hint="eastAsia"/>
          <w:b/>
          <w:bCs/>
          <w:sz w:val="30"/>
          <w:szCs w:val="30"/>
          <w:lang w:val="en-US" w:eastAsia="zh-CN"/>
        </w:rPr>
        <w:t>5</w:t>
      </w:r>
      <w:r>
        <w:rPr>
          <w:rFonts w:hint="eastAsia"/>
          <w:b/>
          <w:bCs/>
          <w:sz w:val="30"/>
          <w:szCs w:val="30"/>
        </w:rPr>
        <w:t>气候、气象特征</w:t>
      </w:r>
      <w:bookmarkEnd w:id="48"/>
      <w:bookmarkEnd w:id="54"/>
      <w:bookmarkEnd w:id="55"/>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湘阴位于季风湿润气候区，四季分明，光照长，降水集中在春夏暖热季节，年平均气温为17℃，全年无霜期为223-304天，年日照1399.9-2058.9小时，年均降雨量1392.62毫米，主导风向为北风、南风、西北风，年平均风速3米/  秒。境内适宜于农作物和树木的生长，特别是对喜热的水稻、棉花等作物有利。冬季气候亦适宜种植油菜、荞头、蚕豆、小麦、绿肥和蔬菜等越冬作物。温和的气候，亦有利于各种水陆动物的生长繁殖。</w:t>
      </w:r>
    </w:p>
    <w:p>
      <w:pPr>
        <w:autoSpaceDE w:val="0"/>
        <w:autoSpaceDN w:val="0"/>
        <w:snapToGrid w:val="0"/>
        <w:spacing w:line="360" w:lineRule="auto"/>
        <w:ind w:firstLine="360" w:firstLineChars="150"/>
        <w:rPr>
          <w:rFonts w:hint="eastAsia" w:cs="宋体" w:asciiTheme="minorEastAsia" w:hAnsiTheme="minorEastAsia"/>
          <w:sz w:val="24"/>
          <w:lang w:eastAsia="zh-CN"/>
        </w:rPr>
      </w:pPr>
      <w:r>
        <w:rPr>
          <w:rFonts w:hint="eastAsia" w:cs="宋体" w:asciiTheme="minorEastAsia" w:hAnsiTheme="minorEastAsia"/>
          <w:sz w:val="24"/>
          <w:lang w:eastAsia="zh-CN"/>
        </w:rPr>
        <w:t xml:space="preserve"> 主要灾害性天气有暴雨、干旱、大风、雷雹、低温、冰冻。县气象站记载，1959~1985年的27年间，共发生此类天气141次，年均5.2次。各种灾害性天气发生次数及占此类天气总数的百分比为：暴雨25次，占17.85%；干旱23次，占16.42%次，低温31次，占22.17%；大风26次，占18.57%；雷雹13次，占9.28%，冰冻23次，占15.71%。</w:t>
      </w:r>
    </w:p>
    <w:p>
      <w:pPr>
        <w:pStyle w:val="4"/>
        <w:spacing w:before="156" w:after="156"/>
      </w:pPr>
      <w:bookmarkStart w:id="56" w:name="_Toc8077"/>
      <w:bookmarkStart w:id="57" w:name="_Toc13060"/>
      <w:r>
        <w:rPr>
          <w:rFonts w:hint="eastAsia"/>
        </w:rPr>
        <w:t>2.2饮用水水源地所在区域的社会经济状况</w:t>
      </w:r>
      <w:bookmarkEnd w:id="56"/>
      <w:bookmarkEnd w:id="57"/>
      <w:bookmarkStart w:id="58" w:name="_Toc451526496"/>
    </w:p>
    <w:p>
      <w:pPr>
        <w:pStyle w:val="5"/>
        <w:spacing w:before="156" w:after="156"/>
      </w:pPr>
      <w:bookmarkStart w:id="59" w:name="_Toc18746"/>
      <w:bookmarkStart w:id="60" w:name="_Toc3191"/>
      <w:r>
        <w:rPr>
          <w:rFonts w:hint="eastAsia"/>
        </w:rPr>
        <w:t>2.2.1 行政区划</w:t>
      </w:r>
      <w:bookmarkEnd w:id="58"/>
      <w:bookmarkEnd w:id="59"/>
      <w:bookmarkEnd w:id="60"/>
    </w:p>
    <w:p>
      <w:pPr>
        <w:adjustRightInd w:val="0"/>
        <w:snapToGrid w:val="0"/>
        <w:spacing w:line="360" w:lineRule="auto"/>
        <w:ind w:firstLine="480" w:firstLineChars="200"/>
        <w:rPr>
          <w:rFonts w:ascii="Calibri" w:hAnsi="Calibri" w:eastAsia="宋体" w:cs="Times New Roman"/>
          <w:sz w:val="24"/>
          <w:szCs w:val="22"/>
          <w:highlight w:val="none"/>
          <w:lang w:bidi="ar"/>
        </w:rPr>
      </w:pPr>
      <w:r>
        <w:rPr>
          <w:rFonts w:hint="eastAsia" w:ascii="Calibri" w:hAnsi="Calibri" w:eastAsia="宋体" w:cs="Times New Roman"/>
          <w:sz w:val="24"/>
          <w:szCs w:val="22"/>
          <w:highlight w:val="none"/>
          <w:lang w:bidi="ar"/>
        </w:rPr>
        <w:t>2018年，湘阴县辖14个乡镇和2个街道办事处，</w:t>
      </w:r>
      <w:r>
        <w:rPr>
          <w:rFonts w:hint="eastAsia" w:ascii="Calibri" w:hAnsi="Calibri" w:eastAsia="宋体" w:cs="Times New Roman"/>
          <w:sz w:val="24"/>
          <w:szCs w:val="22"/>
          <w:highlight w:val="none"/>
          <w:lang w:val="en-US" w:eastAsia="zh-CN" w:bidi="ar"/>
        </w:rPr>
        <w:t>分别为文星镇、鹤龙湖镇、新泉镇、岭北镇、湘滨镇、杨林寨乡、南湖洲镇、东塘镇、六塘乡、三塘镇、玉华镇、金龙镇、静河镇、樟树镇，漕溪港街道办事处、洋沙湖街道办事处</w:t>
      </w:r>
      <w:r>
        <w:rPr>
          <w:rFonts w:hint="eastAsia" w:ascii="Calibri" w:hAnsi="Calibri" w:eastAsia="宋体" w:cs="Times New Roman"/>
          <w:sz w:val="24"/>
          <w:szCs w:val="22"/>
          <w:highlight w:val="none"/>
          <w:lang w:bidi="ar"/>
        </w:rPr>
        <w:t>。</w:t>
      </w:r>
    </w:p>
    <w:p>
      <w:pPr>
        <w:adjustRightInd w:val="0"/>
        <w:snapToGrid w:val="0"/>
        <w:spacing w:line="360" w:lineRule="auto"/>
        <w:ind w:firstLine="480" w:firstLineChars="200"/>
        <w:rPr>
          <w:rFonts w:ascii="Calibri" w:hAnsi="Calibri" w:eastAsia="宋体" w:cs="Times New Roman"/>
          <w:sz w:val="24"/>
          <w:szCs w:val="22"/>
          <w:lang w:bidi="ar"/>
        </w:rPr>
      </w:pPr>
      <w:r>
        <w:rPr>
          <w:rFonts w:hint="eastAsia" w:ascii="Calibri" w:hAnsi="Calibri" w:eastAsia="宋体" w:cs="Times New Roman"/>
          <w:sz w:val="24"/>
          <w:szCs w:val="22"/>
          <w:highlight w:val="none"/>
          <w:lang w:bidi="ar"/>
        </w:rPr>
        <w:t>石塘乡位于湘阴县城东北，距县城3公里，西与县城</w:t>
      </w:r>
      <w:r>
        <w:rPr>
          <w:rFonts w:hint="default" w:ascii="Calibri" w:hAnsi="Calibri" w:eastAsia="宋体" w:cs="Times New Roman"/>
          <w:sz w:val="24"/>
          <w:szCs w:val="22"/>
          <w:highlight w:val="none"/>
          <w:lang w:bidi="ar"/>
        </w:rPr>
        <w:fldChar w:fldCharType="begin"/>
      </w:r>
      <w:r>
        <w:rPr>
          <w:rFonts w:hint="default" w:ascii="Calibri" w:hAnsi="Calibri" w:eastAsia="宋体" w:cs="Times New Roman"/>
          <w:sz w:val="24"/>
          <w:szCs w:val="22"/>
          <w:highlight w:val="none"/>
          <w:lang w:bidi="ar"/>
        </w:rPr>
        <w:instrText xml:space="preserve"> HYPERLINK "https://baike.sogou.com/lemma/ShowInnerLink.htm?lemmaId=64550082&amp;ss_c=ssc.citiao.link" \t "https://baike.sogou.com/_blank" </w:instrText>
      </w:r>
      <w:r>
        <w:rPr>
          <w:rFonts w:hint="default" w:ascii="Calibri" w:hAnsi="Calibri" w:eastAsia="宋体" w:cs="Times New Roman"/>
          <w:sz w:val="24"/>
          <w:szCs w:val="22"/>
          <w:highlight w:val="none"/>
          <w:lang w:bidi="ar"/>
        </w:rPr>
        <w:fldChar w:fldCharType="separate"/>
      </w:r>
      <w:r>
        <w:rPr>
          <w:rFonts w:hint="default" w:ascii="Calibri" w:hAnsi="Calibri" w:eastAsia="宋体" w:cs="Times New Roman"/>
          <w:sz w:val="24"/>
          <w:szCs w:val="22"/>
          <w:highlight w:val="none"/>
          <w:lang w:bidi="ar"/>
        </w:rPr>
        <w:t>文星镇</w:t>
      </w:r>
      <w:r>
        <w:rPr>
          <w:rFonts w:hint="default" w:ascii="Calibri" w:hAnsi="Calibri" w:eastAsia="宋体" w:cs="Times New Roman"/>
          <w:sz w:val="24"/>
          <w:szCs w:val="22"/>
          <w:highlight w:val="none"/>
          <w:lang w:bidi="ar"/>
        </w:rPr>
        <w:fldChar w:fldCharType="end"/>
      </w:r>
      <w:r>
        <w:rPr>
          <w:rFonts w:hint="default" w:ascii="Calibri" w:hAnsi="Calibri" w:eastAsia="宋体" w:cs="Times New Roman"/>
          <w:sz w:val="24"/>
          <w:szCs w:val="22"/>
          <w:highlight w:val="none"/>
          <w:lang w:bidi="ar"/>
        </w:rPr>
        <w:t>、</w:t>
      </w:r>
      <w:r>
        <w:rPr>
          <w:rFonts w:hint="default" w:ascii="Calibri" w:hAnsi="Calibri" w:eastAsia="宋体" w:cs="Times New Roman"/>
          <w:sz w:val="24"/>
          <w:szCs w:val="22"/>
          <w:highlight w:val="none"/>
          <w:lang w:bidi="ar"/>
        </w:rPr>
        <w:fldChar w:fldCharType="begin"/>
      </w:r>
      <w:r>
        <w:rPr>
          <w:rFonts w:hint="default" w:ascii="Calibri" w:hAnsi="Calibri" w:eastAsia="宋体" w:cs="Times New Roman"/>
          <w:sz w:val="24"/>
          <w:szCs w:val="22"/>
          <w:highlight w:val="none"/>
          <w:lang w:bidi="ar"/>
        </w:rPr>
        <w:instrText xml:space="preserve"> HYPERLINK "https://baike.sogou.com/lemma/ShowInnerLink.htm?lemmaId=74844810&amp;ss_c=ssc.citiao.link" \t "https://baike.sogou.com/_blank" </w:instrText>
      </w:r>
      <w:r>
        <w:rPr>
          <w:rFonts w:hint="default" w:ascii="Calibri" w:hAnsi="Calibri" w:eastAsia="宋体" w:cs="Times New Roman"/>
          <w:sz w:val="24"/>
          <w:szCs w:val="22"/>
          <w:highlight w:val="none"/>
          <w:lang w:bidi="ar"/>
        </w:rPr>
        <w:fldChar w:fldCharType="separate"/>
      </w:r>
      <w:r>
        <w:rPr>
          <w:rFonts w:hint="default" w:ascii="Calibri" w:hAnsi="Calibri" w:eastAsia="宋体" w:cs="Times New Roman"/>
          <w:sz w:val="24"/>
          <w:szCs w:val="22"/>
          <w:highlight w:val="none"/>
          <w:lang w:bidi="ar"/>
        </w:rPr>
        <w:t>白泥湖乡</w:t>
      </w:r>
      <w:r>
        <w:rPr>
          <w:rFonts w:hint="default" w:ascii="Calibri" w:hAnsi="Calibri" w:eastAsia="宋体" w:cs="Times New Roman"/>
          <w:sz w:val="24"/>
          <w:szCs w:val="22"/>
          <w:highlight w:val="none"/>
          <w:lang w:bidi="ar"/>
        </w:rPr>
        <w:fldChar w:fldCharType="end"/>
      </w:r>
      <w:r>
        <w:rPr>
          <w:rFonts w:hint="default" w:ascii="Calibri" w:hAnsi="Calibri" w:eastAsia="宋体" w:cs="Times New Roman"/>
          <w:sz w:val="24"/>
          <w:szCs w:val="22"/>
          <w:highlight w:val="none"/>
          <w:lang w:bidi="ar"/>
        </w:rPr>
        <w:t>接壤，东与六塘乡和</w:t>
      </w:r>
      <w:r>
        <w:rPr>
          <w:rFonts w:hint="default" w:ascii="Calibri" w:hAnsi="Calibri" w:eastAsia="宋体" w:cs="Times New Roman"/>
          <w:sz w:val="24"/>
          <w:szCs w:val="22"/>
          <w:highlight w:val="none"/>
          <w:lang w:bidi="ar"/>
        </w:rPr>
        <w:fldChar w:fldCharType="begin"/>
      </w:r>
      <w:r>
        <w:rPr>
          <w:rFonts w:hint="default" w:ascii="Calibri" w:hAnsi="Calibri" w:eastAsia="宋体" w:cs="Times New Roman"/>
          <w:sz w:val="24"/>
          <w:szCs w:val="22"/>
          <w:highlight w:val="none"/>
          <w:lang w:bidi="ar"/>
        </w:rPr>
        <w:instrText xml:space="preserve"> HYPERLINK "https://baike.sogou.com/lemma/ShowInnerLink.htm?lemmaId=831970&amp;ss_c=ssc.citiao.link" \t "https://baike.sogou.com/_blank" </w:instrText>
      </w:r>
      <w:r>
        <w:rPr>
          <w:rFonts w:hint="default" w:ascii="Calibri" w:hAnsi="Calibri" w:eastAsia="宋体" w:cs="Times New Roman"/>
          <w:sz w:val="24"/>
          <w:szCs w:val="22"/>
          <w:highlight w:val="none"/>
          <w:lang w:bidi="ar"/>
        </w:rPr>
        <w:fldChar w:fldCharType="separate"/>
      </w:r>
      <w:r>
        <w:rPr>
          <w:rFonts w:hint="default" w:ascii="Calibri" w:hAnsi="Calibri" w:eastAsia="宋体" w:cs="Times New Roman"/>
          <w:sz w:val="24"/>
          <w:szCs w:val="22"/>
          <w:highlight w:val="none"/>
          <w:lang w:bidi="ar"/>
        </w:rPr>
        <w:t>汨罗市</w:t>
      </w:r>
      <w:r>
        <w:rPr>
          <w:rFonts w:hint="default" w:ascii="Calibri" w:hAnsi="Calibri" w:eastAsia="宋体" w:cs="Times New Roman"/>
          <w:sz w:val="24"/>
          <w:szCs w:val="22"/>
          <w:highlight w:val="none"/>
          <w:lang w:bidi="ar"/>
        </w:rPr>
        <w:fldChar w:fldCharType="end"/>
      </w:r>
      <w:r>
        <w:rPr>
          <w:rFonts w:hint="default" w:ascii="Calibri" w:hAnsi="Calibri" w:eastAsia="宋体" w:cs="Times New Roman"/>
          <w:sz w:val="24"/>
          <w:szCs w:val="22"/>
          <w:highlight w:val="none"/>
          <w:lang w:bidi="ar"/>
        </w:rPr>
        <w:t>毗邻，南临长康乡，北靠三塘、</w:t>
      </w:r>
      <w:r>
        <w:rPr>
          <w:rFonts w:hint="default" w:ascii="Calibri" w:hAnsi="Calibri" w:eastAsia="宋体" w:cs="Times New Roman"/>
          <w:sz w:val="24"/>
          <w:szCs w:val="22"/>
          <w:highlight w:val="none"/>
          <w:lang w:bidi="ar"/>
        </w:rPr>
        <w:fldChar w:fldCharType="begin"/>
      </w:r>
      <w:r>
        <w:rPr>
          <w:rFonts w:hint="default" w:ascii="Calibri" w:hAnsi="Calibri" w:eastAsia="宋体" w:cs="Times New Roman"/>
          <w:sz w:val="24"/>
          <w:szCs w:val="22"/>
          <w:highlight w:val="none"/>
          <w:lang w:bidi="ar"/>
        </w:rPr>
        <w:instrText xml:space="preserve"> HYPERLINK "https://baike.sogou.com/lemma/ShowInnerLink.htm?lemmaId=710137&amp;ss_c=ssc.citiao.link" \t "https://baike.sogou.com/_blank" </w:instrText>
      </w:r>
      <w:r>
        <w:rPr>
          <w:rFonts w:hint="default" w:ascii="Calibri" w:hAnsi="Calibri" w:eastAsia="宋体" w:cs="Times New Roman"/>
          <w:sz w:val="24"/>
          <w:szCs w:val="22"/>
          <w:highlight w:val="none"/>
          <w:lang w:bidi="ar"/>
        </w:rPr>
        <w:fldChar w:fldCharType="separate"/>
      </w:r>
      <w:r>
        <w:rPr>
          <w:rFonts w:hint="default" w:ascii="Calibri" w:hAnsi="Calibri" w:eastAsia="宋体" w:cs="Times New Roman"/>
          <w:sz w:val="24"/>
          <w:szCs w:val="22"/>
          <w:highlight w:val="none"/>
          <w:lang w:bidi="ar"/>
        </w:rPr>
        <w:t>东塘乡</w:t>
      </w:r>
      <w:r>
        <w:rPr>
          <w:rFonts w:hint="default" w:ascii="Calibri" w:hAnsi="Calibri" w:eastAsia="宋体" w:cs="Times New Roman"/>
          <w:sz w:val="24"/>
          <w:szCs w:val="22"/>
          <w:highlight w:val="none"/>
          <w:lang w:bidi="ar"/>
        </w:rPr>
        <w:fldChar w:fldCharType="end"/>
      </w:r>
      <w:r>
        <w:rPr>
          <w:rFonts w:hint="default" w:ascii="Calibri" w:hAnsi="Calibri" w:eastAsia="宋体" w:cs="Times New Roman"/>
          <w:sz w:val="24"/>
          <w:szCs w:val="22"/>
          <w:highlight w:val="none"/>
          <w:lang w:bidi="ar"/>
        </w:rPr>
        <w:t>，是湘阴县城的东北门户。</w:t>
      </w:r>
    </w:p>
    <w:p>
      <w:pPr>
        <w:pStyle w:val="5"/>
        <w:spacing w:before="156" w:after="156"/>
        <w:rPr>
          <w:b/>
        </w:rPr>
      </w:pPr>
      <w:bookmarkStart w:id="61" w:name="_Toc453061722"/>
      <w:bookmarkStart w:id="62" w:name="_Toc453061568"/>
      <w:bookmarkStart w:id="63" w:name="_Toc9957"/>
      <w:bookmarkStart w:id="64" w:name="_Toc32419"/>
      <w:r>
        <w:rPr>
          <w:rFonts w:hint="eastAsia"/>
        </w:rPr>
        <w:t>2.2.2人口</w:t>
      </w:r>
      <w:bookmarkEnd w:id="61"/>
      <w:bookmarkEnd w:id="62"/>
      <w:r>
        <w:rPr>
          <w:rFonts w:hint="eastAsia"/>
        </w:rPr>
        <w:t>状况</w:t>
      </w:r>
      <w:bookmarkEnd w:id="63"/>
      <w:bookmarkEnd w:id="64"/>
    </w:p>
    <w:p>
      <w:pPr>
        <w:adjustRightInd w:val="0"/>
        <w:snapToGrid w:val="0"/>
        <w:spacing w:line="360" w:lineRule="auto"/>
        <w:ind w:firstLine="480" w:firstLineChars="200"/>
        <w:rPr>
          <w:rFonts w:hint="eastAsia" w:ascii="Calibri" w:hAnsi="Calibri" w:eastAsia="宋体" w:cs="宋体"/>
          <w:sz w:val="24"/>
          <w:szCs w:val="22"/>
          <w:lang w:eastAsia="zh-CN" w:bidi="ar"/>
        </w:rPr>
      </w:pPr>
      <w:bookmarkStart w:id="65" w:name="_Toc451526497"/>
      <w:r>
        <w:rPr>
          <w:rFonts w:hint="eastAsia" w:ascii="Calibri" w:hAnsi="Calibri" w:eastAsia="宋体" w:cs="宋体"/>
          <w:sz w:val="24"/>
          <w:szCs w:val="22"/>
          <w:lang w:bidi="ar"/>
        </w:rPr>
        <w:t>2018年全县年末总人口为78.41万人，出生人口9188人，出生率为12.48‰；死亡人口6738人，死亡率为8.6‰；人口自然增长率为4.3‰,出生人口男女性别比为107.87:100。常住人口71.03万人，城镇化率为51.11%</w:t>
      </w:r>
      <w:r>
        <w:rPr>
          <w:rFonts w:hint="eastAsia" w:ascii="Calibri" w:hAnsi="Calibri" w:eastAsia="宋体" w:cs="宋体"/>
          <w:sz w:val="24"/>
          <w:szCs w:val="22"/>
          <w:lang w:eastAsia="zh-CN" w:bidi="ar"/>
        </w:rPr>
        <w:t>。</w:t>
      </w:r>
    </w:p>
    <w:p>
      <w:pPr>
        <w:pStyle w:val="5"/>
        <w:spacing w:before="156" w:after="156"/>
      </w:pPr>
      <w:bookmarkStart w:id="66" w:name="_Toc15169"/>
      <w:bookmarkStart w:id="67" w:name="_Toc132"/>
      <w:r>
        <w:rPr>
          <w:rFonts w:hint="eastAsia"/>
        </w:rPr>
        <w:t>2.2.3 经济现状</w:t>
      </w:r>
      <w:bookmarkEnd w:id="65"/>
      <w:bookmarkEnd w:id="66"/>
      <w:bookmarkEnd w:id="67"/>
    </w:p>
    <w:p>
      <w:pPr>
        <w:adjustRightInd w:val="0"/>
        <w:snapToGrid w:val="0"/>
        <w:spacing w:line="360" w:lineRule="auto"/>
        <w:ind w:firstLine="480" w:firstLineChars="200"/>
        <w:rPr>
          <w:rFonts w:hint="eastAsia" w:ascii="Calibri" w:hAnsi="Calibri" w:eastAsia="宋体" w:cs="Times New Roman"/>
          <w:sz w:val="24"/>
          <w:szCs w:val="22"/>
          <w:lang w:bidi="ar"/>
        </w:rPr>
      </w:pPr>
      <w:r>
        <w:rPr>
          <w:rFonts w:hint="eastAsia" w:ascii="Calibri" w:hAnsi="Calibri" w:eastAsia="宋体" w:cs="Times New Roman"/>
          <w:sz w:val="24"/>
          <w:szCs w:val="22"/>
          <w:lang w:bidi="ar"/>
        </w:rPr>
        <w:t>2018年，全县完成地区生产总值331.83亿元，同比增长5.5%,其中第一产业增加值49.28亿元，同比增长3.1%；第二产业增加值152.2亿元，同比增长1.8%；第三产业增加值130.34亿元，同比增长11%。一、二、三次产业分别拉动GDP增长0.33、0.86、3.77个百分点，三次产业对GDP增长的贡献率分别为5.94%、15.52%、68.38%，三次产业结构比为14.85：45.87：39.28。与上年比较，第一产业所占比重下降0.8个百分点，第二产业比重下降14.05个百分点，第三产业比重提升7.85个百分点。按常住人口计算，人均GDP46717元，增长4.83%。</w:t>
      </w:r>
    </w:p>
    <w:p>
      <w:pPr>
        <w:adjustRightInd w:val="0"/>
        <w:snapToGrid w:val="0"/>
        <w:spacing w:line="360" w:lineRule="auto"/>
        <w:ind w:firstLine="480" w:firstLineChars="200"/>
        <w:rPr>
          <w:rFonts w:ascii="Calibri" w:hAnsi="Calibri" w:cs="Times New Roman"/>
          <w:szCs w:val="22"/>
        </w:rPr>
      </w:pPr>
      <w:r>
        <w:rPr>
          <w:rFonts w:hint="eastAsia" w:ascii="Calibri" w:hAnsi="Calibri" w:eastAsia="宋体" w:cs="Times New Roman"/>
          <w:sz w:val="24"/>
          <w:szCs w:val="22"/>
          <w:lang w:bidi="ar"/>
        </w:rPr>
        <w:t>2018年，全县公共财政预算收入15.75亿元，同比增长5%,税收收入11.31亿元，税收占财政总收入的比重为72%。规模工业增加值增幅4.4%;固定资产投资增幅10%；社会消费品零售总额增幅6.3%；实现城镇居民人均可支配收入31115元，增长7.7%;农村人均可支配收入18400元,增长8.3%</w:t>
      </w:r>
      <w:r>
        <w:rPr>
          <w:rFonts w:hint="eastAsia" w:ascii="Calibri" w:hAnsi="Calibri" w:eastAsia="宋体" w:cs="宋体"/>
          <w:sz w:val="24"/>
          <w:szCs w:val="22"/>
          <w:lang w:bidi="ar"/>
        </w:rPr>
        <w:t>。</w:t>
      </w:r>
    </w:p>
    <w:p>
      <w:pPr>
        <w:pStyle w:val="4"/>
        <w:spacing w:before="156" w:after="156"/>
      </w:pPr>
      <w:bookmarkStart w:id="68" w:name="_Toc32196"/>
      <w:bookmarkStart w:id="69" w:name="_Toc13798"/>
      <w:r>
        <w:rPr>
          <w:rFonts w:hint="eastAsia"/>
        </w:rPr>
        <w:t>2.3 用水及供水状况</w:t>
      </w:r>
      <w:bookmarkEnd w:id="68"/>
      <w:bookmarkEnd w:id="69"/>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bidi="ar"/>
        </w:rPr>
        <w:t>湘阴县</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val="en-US" w:eastAsia="zh-CN" w:bidi="ar"/>
        </w:rPr>
        <w:t>集中供水工程位于石塘乡，水厂为石塘乡长仑水厂，供水范围为石塘片区，设计供水量为1000t/d，目前实际供水量365t/d，供水人口为10048人。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val="en-US" w:eastAsia="zh-CN" w:bidi="ar"/>
        </w:rPr>
        <w:t>长仑</w:t>
      </w:r>
      <w:r>
        <w:rPr>
          <w:rFonts w:hint="eastAsia" w:ascii="Calibri" w:hAnsi="Calibri" w:eastAsia="宋体" w:cs="宋体"/>
          <w:sz w:val="24"/>
          <w:szCs w:val="22"/>
          <w:lang w:bidi="ar"/>
        </w:rPr>
        <w:t>水厂供水工艺流程为：</w:t>
      </w:r>
    </w:p>
    <w:p>
      <w:pPr>
        <w:adjustRightInd w:val="0"/>
        <w:snapToGrid w:val="0"/>
        <w:spacing w:line="360" w:lineRule="auto"/>
        <w:ind w:firstLine="480" w:firstLineChars="200"/>
        <w:rPr>
          <w:rFonts w:hint="eastAsia" w:ascii="Times New Roman" w:hAnsi="Times New Roman" w:eastAsia="宋体" w:cs="Times New Roman"/>
          <w:sz w:val="24"/>
          <w:szCs w:val="22"/>
        </w:rPr>
      </w:pPr>
      <w:r>
        <w:rPr>
          <w:rFonts w:hint="eastAsia" w:ascii="Times New Roman" w:hAnsi="Times New Roman" w:eastAsia="宋体" w:cs="Times New Roman"/>
          <w:sz w:val="24"/>
          <w:szCs w:val="22"/>
        </w:rPr>
        <w:t>目前水厂净水工艺流程：取水→曝气→过滤→消毒→</w:t>
      </w:r>
      <w:r>
        <w:rPr>
          <w:rFonts w:hint="eastAsia" w:ascii="Times New Roman" w:hAnsi="Times New Roman" w:eastAsia="宋体" w:cs="Times New Roman"/>
          <w:sz w:val="24"/>
          <w:szCs w:val="22"/>
          <w:lang w:eastAsia="zh-CN"/>
        </w:rPr>
        <w:t>清水池</w:t>
      </w:r>
      <w:r>
        <w:rPr>
          <w:rFonts w:hint="eastAsia" w:ascii="Times New Roman" w:hAnsi="Times New Roman" w:eastAsia="宋体" w:cs="Times New Roman"/>
          <w:sz w:val="24"/>
          <w:szCs w:val="22"/>
        </w:rPr>
        <w:t>→</w:t>
      </w:r>
      <w:r>
        <w:rPr>
          <w:rFonts w:hint="eastAsia" w:ascii="Times New Roman" w:hAnsi="Times New Roman" w:eastAsia="宋体" w:cs="Times New Roman"/>
          <w:sz w:val="24"/>
          <w:szCs w:val="22"/>
          <w:lang w:eastAsia="zh-CN"/>
        </w:rPr>
        <w:t>用户</w:t>
      </w:r>
      <w:r>
        <w:rPr>
          <w:rFonts w:hint="eastAsia" w:ascii="Times New Roman" w:hAnsi="Times New Roman" w:eastAsia="宋体" w:cs="Times New Roman"/>
          <w:sz w:val="24"/>
          <w:szCs w:val="22"/>
        </w:rPr>
        <w:t>。</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现场测量照如下图2-</w:t>
      </w:r>
      <w:r>
        <w:rPr>
          <w:rFonts w:hint="eastAsia" w:ascii="Times New Roman" w:hAnsi="Times New Roman" w:eastAsia="宋体" w:cs="Times New Roman"/>
          <w:sz w:val="24"/>
          <w:szCs w:val="22"/>
          <w:lang w:val="en-US" w:eastAsia="zh-CN"/>
        </w:rPr>
        <w:t>7</w:t>
      </w:r>
      <w:r>
        <w:rPr>
          <w:rFonts w:ascii="Times New Roman" w:hAnsi="Times New Roman" w:eastAsia="宋体" w:cs="Times New Roman"/>
          <w:sz w:val="24"/>
          <w:szCs w:val="22"/>
        </w:rPr>
        <w:t>，2-</w:t>
      </w:r>
      <w:r>
        <w:rPr>
          <w:rFonts w:hint="eastAsia" w:ascii="Times New Roman" w:hAnsi="Times New Roman" w:eastAsia="宋体" w:cs="Times New Roman"/>
          <w:sz w:val="24"/>
          <w:szCs w:val="22"/>
          <w:lang w:val="en-US" w:eastAsia="zh-CN"/>
        </w:rPr>
        <w:t>8</w:t>
      </w:r>
      <w:r>
        <w:rPr>
          <w:rFonts w:ascii="Times New Roman" w:hAnsi="Times New Roman" w:eastAsia="宋体" w:cs="Times New Roman"/>
          <w:sz w:val="24"/>
          <w:szCs w:val="22"/>
        </w:rPr>
        <w:t>。</w:t>
      </w:r>
    </w:p>
    <w:p>
      <w:pPr>
        <w:adjustRightInd w:val="0"/>
        <w:snapToGrid w:val="0"/>
        <w:spacing w:line="360" w:lineRule="auto"/>
        <w:ind w:firstLine="422" w:firstLineChars="200"/>
        <w:jc w:val="center"/>
        <w:rPr>
          <w:rFonts w:hint="eastAsia" w:ascii="宋体" w:hAnsi="宋体" w:eastAsia="宋体" w:cs="宋体"/>
          <w:b/>
          <w:szCs w:val="21"/>
          <w:lang w:eastAsia="zh-CN" w:bidi="ar"/>
        </w:rPr>
      </w:pPr>
      <w:r>
        <w:rPr>
          <w:rFonts w:hint="eastAsia" w:ascii="宋体" w:hAnsi="宋体" w:eastAsia="宋体" w:cs="宋体"/>
          <w:b/>
          <w:szCs w:val="21"/>
          <w:lang w:eastAsia="zh-CN" w:bidi="ar"/>
        </w:rPr>
        <w:drawing>
          <wp:inline distT="0" distB="0" distL="114300" distR="114300">
            <wp:extent cx="3016250" cy="3046730"/>
            <wp:effectExtent l="0" t="0" r="1270" b="12700"/>
            <wp:docPr id="13" name="图片 13" descr="IMG_20190814_09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190814_090530"/>
                    <pic:cNvPicPr>
                      <a:picLocks noChangeAspect="1"/>
                    </pic:cNvPicPr>
                  </pic:nvPicPr>
                  <pic:blipFill>
                    <a:blip r:embed="rId13"/>
                    <a:srcRect l="-1070" t="-1340" r="7590" b="770"/>
                    <a:stretch>
                      <a:fillRect/>
                    </a:stretch>
                  </pic:blipFill>
                  <pic:spPr>
                    <a:xfrm rot="5400000">
                      <a:off x="0" y="0"/>
                      <a:ext cx="3016250" cy="3046730"/>
                    </a:xfrm>
                    <a:prstGeom prst="rect">
                      <a:avLst/>
                    </a:prstGeom>
                  </pic:spPr>
                </pic:pic>
              </a:graphicData>
            </a:graphic>
          </wp:inline>
        </w:drawing>
      </w:r>
    </w:p>
    <w:p>
      <w:pPr>
        <w:adjustRightInd w:val="0"/>
        <w:snapToGrid w:val="0"/>
        <w:spacing w:line="360" w:lineRule="auto"/>
        <w:ind w:firstLine="422" w:firstLineChars="200"/>
        <w:jc w:val="center"/>
        <w:rPr>
          <w:rFonts w:hint="eastAsia" w:ascii="宋体" w:hAnsi="宋体" w:eastAsia="宋体" w:cs="宋体"/>
          <w:b/>
          <w:szCs w:val="21"/>
          <w:lang w:bidi="ar"/>
        </w:rPr>
      </w:pPr>
      <w:r>
        <w:rPr>
          <w:rFonts w:hint="eastAsia" w:ascii="宋体" w:hAnsi="宋体" w:eastAsia="宋体" w:cs="宋体"/>
          <w:b/>
          <w:szCs w:val="21"/>
          <w:lang w:bidi="ar"/>
        </w:rPr>
        <w:t>图2-</w:t>
      </w:r>
      <w:r>
        <w:rPr>
          <w:rFonts w:hint="eastAsia" w:ascii="宋体" w:hAnsi="宋体" w:eastAsia="宋体" w:cs="宋体"/>
          <w:b/>
          <w:szCs w:val="21"/>
          <w:lang w:val="en-US" w:eastAsia="zh-CN" w:bidi="ar"/>
        </w:rPr>
        <w:t>7</w:t>
      </w:r>
      <w:r>
        <w:rPr>
          <w:rFonts w:hint="eastAsia" w:ascii="宋体" w:hAnsi="宋体" w:eastAsia="宋体" w:cs="宋体"/>
          <w:b/>
          <w:szCs w:val="21"/>
          <w:lang w:bidi="ar"/>
        </w:rPr>
        <w:t xml:space="preserve"> </w:t>
      </w:r>
      <w:r>
        <w:rPr>
          <w:rFonts w:hint="eastAsia" w:ascii="宋体" w:hAnsi="宋体" w:eastAsia="宋体" w:cs="宋体"/>
          <w:b/>
          <w:szCs w:val="21"/>
          <w:lang w:val="en-US" w:eastAsia="zh-CN" w:bidi="ar"/>
        </w:rPr>
        <w:t>石塘镇石塘村一号水井</w:t>
      </w:r>
      <w:r>
        <w:rPr>
          <w:rFonts w:hint="eastAsia" w:ascii="宋体" w:hAnsi="宋体" w:eastAsia="宋体" w:cs="宋体"/>
          <w:b/>
          <w:szCs w:val="21"/>
          <w:lang w:bidi="ar"/>
        </w:rPr>
        <w:t>现场图</w:t>
      </w:r>
    </w:p>
    <w:p>
      <w:pPr>
        <w:adjustRightInd w:val="0"/>
        <w:snapToGrid w:val="0"/>
        <w:spacing w:line="360" w:lineRule="auto"/>
        <w:ind w:firstLine="420" w:firstLineChars="200"/>
        <w:jc w:val="left"/>
        <w:rPr>
          <w:rFonts w:hint="eastAsia" w:ascii="Calibri" w:hAnsi="Calibri" w:cs="Times New Roman" w:eastAsiaTheme="minorEastAsia"/>
          <w:szCs w:val="22"/>
          <w:lang w:val="en-US" w:eastAsia="zh-CN"/>
        </w:rPr>
      </w:pPr>
      <w:r>
        <w:rPr>
          <w:rFonts w:hint="eastAsia"/>
          <w:vertAlign w:val="baseline"/>
          <w:lang w:val="en-US" w:eastAsia="zh-CN"/>
        </w:rPr>
        <w:drawing>
          <wp:inline distT="0" distB="0" distL="114300" distR="114300">
            <wp:extent cx="3195320" cy="2446655"/>
            <wp:effectExtent l="0" t="0" r="10795" b="5080"/>
            <wp:docPr id="20" name="图片 20" descr="IMG_20190814_09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190814_090530"/>
                    <pic:cNvPicPr>
                      <a:picLocks noChangeAspect="1"/>
                    </pic:cNvPicPr>
                  </pic:nvPicPr>
                  <pic:blipFill>
                    <a:blip r:embed="rId13"/>
                    <a:srcRect t="-1412" r="9791"/>
                    <a:stretch>
                      <a:fillRect/>
                    </a:stretch>
                  </pic:blipFill>
                  <pic:spPr>
                    <a:xfrm rot="5400000">
                      <a:off x="0" y="0"/>
                      <a:ext cx="3195320" cy="2446655"/>
                    </a:xfrm>
                    <a:prstGeom prst="rect">
                      <a:avLst/>
                    </a:prstGeom>
                  </pic:spPr>
                </pic:pic>
              </a:graphicData>
            </a:graphic>
          </wp:inline>
        </w:drawing>
      </w:r>
      <w:r>
        <w:rPr>
          <w:rFonts w:hint="eastAsia"/>
          <w:vertAlign w:val="baseline"/>
          <w:lang w:val="en-US" w:eastAsia="zh-CN"/>
        </w:rPr>
        <w:t xml:space="preserve">   </w:t>
      </w:r>
      <w:r>
        <w:rPr>
          <w:rFonts w:hint="eastAsia"/>
          <w:vertAlign w:val="baseline"/>
          <w:lang w:val="en-US" w:eastAsia="zh-CN"/>
        </w:rPr>
        <w:drawing>
          <wp:inline distT="0" distB="0" distL="114300" distR="114300">
            <wp:extent cx="3194685" cy="2452370"/>
            <wp:effectExtent l="0" t="0" r="5080" b="5715"/>
            <wp:docPr id="21" name="图片 21" descr="IMG_20190814_09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190814_091456"/>
                    <pic:cNvPicPr>
                      <a:picLocks noChangeAspect="1"/>
                    </pic:cNvPicPr>
                  </pic:nvPicPr>
                  <pic:blipFill>
                    <a:blip r:embed="rId14"/>
                    <a:srcRect l="8717" t="-21" r="7619"/>
                    <a:stretch>
                      <a:fillRect/>
                    </a:stretch>
                  </pic:blipFill>
                  <pic:spPr>
                    <a:xfrm rot="5400000">
                      <a:off x="0" y="0"/>
                      <a:ext cx="3194685" cy="2452370"/>
                    </a:xfrm>
                    <a:prstGeom prst="rect">
                      <a:avLst/>
                    </a:prstGeom>
                  </pic:spPr>
                </pic:pic>
              </a:graphicData>
            </a:graphic>
          </wp:inline>
        </w:drawing>
      </w:r>
    </w:p>
    <w:p>
      <w:pPr>
        <w:adjustRightInd w:val="0"/>
        <w:snapToGrid w:val="0"/>
        <w:spacing w:line="360" w:lineRule="auto"/>
        <w:ind w:firstLine="422" w:firstLineChars="200"/>
        <w:jc w:val="center"/>
        <w:rPr>
          <w:rFonts w:ascii="宋体" w:hAnsi="宋体" w:eastAsia="宋体" w:cs="宋体"/>
          <w:b/>
          <w:szCs w:val="21"/>
          <w:lang w:bidi="ar"/>
        </w:rPr>
      </w:pPr>
      <w:r>
        <w:rPr>
          <w:rFonts w:hint="eastAsia" w:ascii="宋体" w:hAnsi="宋体" w:eastAsia="宋体" w:cs="宋体"/>
          <w:b/>
          <w:szCs w:val="21"/>
          <w:lang w:bidi="ar"/>
        </w:rPr>
        <w:t>图2-</w:t>
      </w:r>
      <w:r>
        <w:rPr>
          <w:rFonts w:hint="eastAsia" w:ascii="宋体" w:hAnsi="宋体" w:eastAsia="宋体" w:cs="宋体"/>
          <w:b/>
          <w:szCs w:val="21"/>
          <w:lang w:val="en-US" w:eastAsia="zh-CN" w:bidi="ar"/>
        </w:rPr>
        <w:t>8</w:t>
      </w:r>
      <w:r>
        <w:rPr>
          <w:rFonts w:hint="eastAsia" w:ascii="宋体" w:hAnsi="宋体" w:eastAsia="宋体" w:cs="宋体"/>
          <w:b/>
          <w:szCs w:val="21"/>
          <w:lang w:bidi="ar"/>
        </w:rPr>
        <w:t xml:space="preserve">   </w:t>
      </w:r>
      <w:r>
        <w:rPr>
          <w:rFonts w:hint="eastAsia" w:ascii="宋体" w:hAnsi="宋体" w:eastAsia="宋体" w:cs="宋体"/>
          <w:b/>
          <w:szCs w:val="21"/>
          <w:lang w:eastAsia="zh-CN" w:bidi="ar"/>
        </w:rPr>
        <w:t>石塘镇</w:t>
      </w:r>
      <w:r>
        <w:rPr>
          <w:rFonts w:hint="eastAsia" w:ascii="宋体" w:hAnsi="宋体" w:eastAsia="宋体" w:cs="宋体"/>
          <w:b/>
          <w:szCs w:val="21"/>
          <w:lang w:val="en-US" w:eastAsia="zh-CN" w:bidi="ar"/>
        </w:rPr>
        <w:t>石塘村二号</w:t>
      </w:r>
      <w:r>
        <w:rPr>
          <w:rFonts w:hint="eastAsia" w:ascii="Calibri" w:hAnsi="Calibri" w:eastAsia="宋体" w:cs="Times New Roman"/>
          <w:sz w:val="24"/>
          <w:szCs w:val="22"/>
          <w:highlight w:val="none"/>
          <w:lang w:val="en-US" w:eastAsia="zh-CN" w:bidi="ar"/>
        </w:rPr>
        <w:t>、</w:t>
      </w:r>
      <w:r>
        <w:rPr>
          <w:rFonts w:hint="eastAsia" w:ascii="宋体" w:hAnsi="宋体" w:eastAsia="宋体" w:cs="宋体"/>
          <w:b/>
          <w:szCs w:val="21"/>
          <w:lang w:val="en-US" w:eastAsia="zh-CN" w:bidi="ar"/>
        </w:rPr>
        <w:t>三号</w:t>
      </w:r>
      <w:r>
        <w:rPr>
          <w:rFonts w:hint="eastAsia" w:ascii="宋体" w:hAnsi="宋体" w:eastAsia="宋体" w:cs="宋体"/>
          <w:b/>
          <w:szCs w:val="21"/>
          <w:lang w:bidi="ar"/>
        </w:rPr>
        <w:t>取水</w:t>
      </w:r>
      <w:r>
        <w:rPr>
          <w:rFonts w:hint="eastAsia" w:ascii="宋体" w:hAnsi="宋体" w:eastAsia="宋体" w:cs="宋体"/>
          <w:b/>
          <w:szCs w:val="21"/>
          <w:lang w:val="en-US" w:eastAsia="zh-CN" w:bidi="ar"/>
        </w:rPr>
        <w:t>井</w:t>
      </w:r>
      <w:r>
        <w:rPr>
          <w:rFonts w:hint="eastAsia" w:ascii="宋体" w:hAnsi="宋体" w:eastAsia="宋体" w:cs="宋体"/>
          <w:b/>
          <w:szCs w:val="21"/>
          <w:lang w:bidi="ar"/>
        </w:rPr>
        <w:t>现场图</w:t>
      </w:r>
    </w:p>
    <w:p>
      <w:pPr>
        <w:pStyle w:val="4"/>
        <w:spacing w:before="156" w:after="156"/>
      </w:pPr>
      <w:bookmarkStart w:id="70" w:name="_Toc24683"/>
      <w:bookmarkStart w:id="71" w:name="_Toc22558"/>
      <w:r>
        <w:rPr>
          <w:rFonts w:hint="eastAsia"/>
        </w:rPr>
        <w:t>2.4 饮用水水源地基础状况分析</w:t>
      </w:r>
      <w:bookmarkEnd w:id="70"/>
      <w:bookmarkEnd w:id="71"/>
    </w:p>
    <w:p>
      <w:pPr>
        <w:pStyle w:val="5"/>
        <w:spacing w:before="156" w:after="156"/>
      </w:pPr>
      <w:bookmarkStart w:id="72" w:name="_Toc32535"/>
      <w:bookmarkStart w:id="73" w:name="_Toc4108"/>
      <w:r>
        <w:rPr>
          <w:rFonts w:hint="eastAsia"/>
        </w:rPr>
        <w:t>2.4.1饮用水水源地基本情况</w:t>
      </w:r>
      <w:bookmarkEnd w:id="72"/>
      <w:bookmarkEnd w:id="73"/>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石塘镇</w:t>
      </w:r>
      <w:r>
        <w:rPr>
          <w:rFonts w:hint="eastAsia" w:ascii="Calibri" w:hAnsi="Calibri" w:eastAsia="宋体" w:cs="宋体"/>
          <w:sz w:val="24"/>
          <w:szCs w:val="22"/>
          <w:lang w:eastAsia="zh-CN" w:bidi="ar"/>
        </w:rPr>
        <w:t>地下水</w:t>
      </w:r>
      <w:r>
        <w:rPr>
          <w:rFonts w:hint="eastAsia" w:ascii="Calibri" w:hAnsi="Calibri" w:eastAsia="宋体" w:cs="宋体"/>
          <w:sz w:val="24"/>
          <w:szCs w:val="22"/>
          <w:lang w:bidi="ar"/>
        </w:rPr>
        <w:t>饮用水源取水口位于</w:t>
      </w:r>
      <w:r>
        <w:rPr>
          <w:rFonts w:hint="eastAsia" w:ascii="Calibri" w:hAnsi="Calibri" w:eastAsia="宋体" w:cs="宋体"/>
          <w:sz w:val="24"/>
          <w:szCs w:val="22"/>
          <w:lang w:val="en-US" w:eastAsia="zh-CN" w:bidi="ar"/>
        </w:rPr>
        <w:t>石塘镇石塘村一</w:t>
      </w:r>
      <w:r>
        <w:rPr>
          <w:rFonts w:hint="eastAsia" w:ascii="Calibri" w:hAnsi="Calibri" w:eastAsia="宋体" w:cs="宋体"/>
          <w:sz w:val="24"/>
          <w:szCs w:val="22"/>
          <w:lang w:bidi="ar"/>
        </w:rPr>
        <w:t>号水</w:t>
      </w:r>
      <w:r>
        <w:rPr>
          <w:rFonts w:hint="eastAsia" w:ascii="Calibri" w:hAnsi="Calibri" w:eastAsia="宋体" w:cs="宋体"/>
          <w:sz w:val="24"/>
          <w:szCs w:val="22"/>
          <w:lang w:val="en-US" w:eastAsia="zh-CN" w:bidi="ar"/>
        </w:rPr>
        <w:t>井、二</w:t>
      </w:r>
      <w:r>
        <w:rPr>
          <w:rFonts w:hint="eastAsia" w:ascii="Calibri" w:hAnsi="Calibri" w:eastAsia="宋体" w:cs="宋体"/>
          <w:sz w:val="24"/>
          <w:szCs w:val="22"/>
          <w:lang w:bidi="ar"/>
        </w:rPr>
        <w:t>号水井</w:t>
      </w:r>
      <w:r>
        <w:rPr>
          <w:rFonts w:hint="eastAsia" w:ascii="Calibri" w:hAnsi="Calibri" w:eastAsia="宋体" w:cs="宋体"/>
          <w:sz w:val="24"/>
          <w:szCs w:val="22"/>
          <w:lang w:val="en-US" w:eastAsia="zh-CN" w:bidi="ar"/>
        </w:rPr>
        <w:t>和三号水井</w:t>
      </w: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三</w:t>
      </w:r>
      <w:r>
        <w:rPr>
          <w:rFonts w:hint="eastAsia" w:ascii="Calibri" w:hAnsi="Calibri" w:eastAsia="宋体" w:cs="宋体"/>
          <w:sz w:val="24"/>
          <w:szCs w:val="22"/>
          <w:lang w:bidi="ar"/>
        </w:rPr>
        <w:t>个井地理坐标分别为东经112°</w:t>
      </w:r>
      <w:r>
        <w:rPr>
          <w:rFonts w:hint="eastAsia" w:ascii="Calibri" w:hAnsi="Calibri" w:eastAsia="宋体" w:cs="宋体"/>
          <w:sz w:val="24"/>
          <w:szCs w:val="22"/>
          <w:lang w:val="en-US" w:eastAsia="zh-CN" w:bidi="ar"/>
        </w:rPr>
        <w:t>55′1.96″</w:t>
      </w:r>
      <w:r>
        <w:rPr>
          <w:rFonts w:hint="eastAsia" w:ascii="Calibri" w:hAnsi="Calibri" w:eastAsia="宋体" w:cs="宋体"/>
          <w:sz w:val="24"/>
          <w:szCs w:val="22"/>
          <w:lang w:bidi="ar"/>
        </w:rPr>
        <w:t>，北纬28°</w:t>
      </w:r>
      <w:r>
        <w:rPr>
          <w:rFonts w:hint="eastAsia" w:ascii="Calibri" w:hAnsi="Calibri" w:eastAsia="宋体" w:cs="宋体"/>
          <w:sz w:val="24"/>
          <w:szCs w:val="22"/>
          <w:lang w:val="en-US" w:eastAsia="zh-CN" w:bidi="ar"/>
        </w:rPr>
        <w:t>42′43.35</w:t>
      </w:r>
      <w:r>
        <w:rPr>
          <w:rFonts w:hint="eastAsia" w:ascii="Calibri" w:hAnsi="Calibri" w:eastAsia="宋体" w:cs="宋体"/>
          <w:sz w:val="24"/>
          <w:szCs w:val="22"/>
          <w:lang w:bidi="ar"/>
        </w:rPr>
        <w:t>″,东经112°</w:t>
      </w:r>
      <w:r>
        <w:rPr>
          <w:rFonts w:hint="eastAsia" w:ascii="Calibri" w:hAnsi="Calibri" w:eastAsia="宋体" w:cs="宋体"/>
          <w:sz w:val="24"/>
          <w:szCs w:val="22"/>
          <w:lang w:val="en-US" w:eastAsia="zh-CN" w:bidi="ar"/>
        </w:rPr>
        <w:t>55′1.32″</w:t>
      </w:r>
      <w:r>
        <w:rPr>
          <w:rFonts w:hint="eastAsia" w:ascii="Calibri" w:hAnsi="Calibri" w:eastAsia="宋体" w:cs="宋体"/>
          <w:sz w:val="24"/>
          <w:szCs w:val="22"/>
          <w:lang w:bidi="ar"/>
        </w:rPr>
        <w:t>，北纬28°</w:t>
      </w:r>
      <w:r>
        <w:rPr>
          <w:rFonts w:hint="eastAsia" w:ascii="Calibri" w:hAnsi="Calibri" w:eastAsia="宋体" w:cs="宋体"/>
          <w:sz w:val="24"/>
          <w:szCs w:val="22"/>
          <w:lang w:val="en-US" w:eastAsia="zh-CN" w:bidi="ar"/>
        </w:rPr>
        <w:t>42′45.58″</w:t>
      </w:r>
      <w:r>
        <w:rPr>
          <w:rFonts w:hint="eastAsia" w:ascii="Calibri" w:hAnsi="Calibri" w:eastAsia="宋体" w:cs="宋体"/>
          <w:sz w:val="24"/>
          <w:szCs w:val="22"/>
          <w:lang w:bidi="ar"/>
        </w:rPr>
        <w:t>,和东经112°</w:t>
      </w:r>
      <w:r>
        <w:rPr>
          <w:rFonts w:hint="eastAsia" w:ascii="Calibri" w:hAnsi="Calibri" w:eastAsia="宋体" w:cs="宋体"/>
          <w:sz w:val="24"/>
          <w:szCs w:val="22"/>
          <w:lang w:val="en-US" w:eastAsia="zh-CN" w:bidi="ar"/>
        </w:rPr>
        <w:t>54′28.51″</w:t>
      </w:r>
      <w:r>
        <w:rPr>
          <w:rFonts w:hint="eastAsia" w:ascii="Calibri" w:hAnsi="Calibri" w:eastAsia="宋体" w:cs="宋体"/>
          <w:sz w:val="24"/>
          <w:szCs w:val="22"/>
          <w:lang w:bidi="ar"/>
        </w:rPr>
        <w:t>，北纬28°</w:t>
      </w:r>
      <w:r>
        <w:rPr>
          <w:rFonts w:hint="eastAsia" w:ascii="Calibri" w:hAnsi="Calibri" w:eastAsia="宋体" w:cs="宋体"/>
          <w:sz w:val="24"/>
          <w:szCs w:val="22"/>
          <w:lang w:val="en-US" w:eastAsia="zh-CN" w:bidi="ar"/>
        </w:rPr>
        <w:t>42′53.79″（坐标来源于Google Earth坐标系）</w:t>
      </w: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三个</w:t>
      </w:r>
      <w:r>
        <w:rPr>
          <w:rFonts w:hint="eastAsia" w:ascii="Calibri" w:hAnsi="Calibri" w:eastAsia="宋体" w:cs="宋体"/>
          <w:sz w:val="24"/>
          <w:szCs w:val="22"/>
          <w:lang w:bidi="ar"/>
        </w:rPr>
        <w:t>取水井周边有农户和农田，</w:t>
      </w:r>
      <w:r>
        <w:rPr>
          <w:rFonts w:hint="eastAsia" w:ascii="Calibri" w:hAnsi="Calibri" w:eastAsia="宋体" w:cs="宋体"/>
          <w:sz w:val="24"/>
          <w:szCs w:val="22"/>
          <w:lang w:val="en-US" w:eastAsia="zh-CN" w:bidi="ar"/>
        </w:rPr>
        <w:t>一号</w:t>
      </w: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二号水井位于</w:t>
      </w:r>
      <w:r>
        <w:rPr>
          <w:rFonts w:hint="eastAsia" w:ascii="Calibri" w:hAnsi="Calibri" w:eastAsia="宋体" w:cs="宋体"/>
          <w:sz w:val="24"/>
          <w:szCs w:val="22"/>
          <w:lang w:bidi="ar"/>
        </w:rPr>
        <w:t>水厂</w:t>
      </w:r>
      <w:r>
        <w:rPr>
          <w:rFonts w:hint="eastAsia" w:ascii="Calibri" w:hAnsi="Calibri" w:eastAsia="宋体" w:cs="宋体"/>
          <w:sz w:val="24"/>
          <w:szCs w:val="22"/>
          <w:lang w:val="en-US" w:eastAsia="zh-CN" w:bidi="ar"/>
        </w:rPr>
        <w:t>院内，且井口处于封闭状态。三</w:t>
      </w:r>
      <w:r>
        <w:rPr>
          <w:rFonts w:hint="eastAsia" w:ascii="Calibri" w:hAnsi="Calibri" w:eastAsia="宋体" w:cs="宋体"/>
          <w:sz w:val="24"/>
          <w:szCs w:val="22"/>
          <w:lang w:bidi="ar"/>
        </w:rPr>
        <w:t>号井位于</w:t>
      </w:r>
      <w:r>
        <w:rPr>
          <w:rFonts w:hint="eastAsia" w:ascii="Calibri" w:hAnsi="Calibri" w:eastAsia="宋体" w:cs="宋体"/>
          <w:sz w:val="24"/>
          <w:szCs w:val="22"/>
          <w:lang w:val="en-US" w:eastAsia="zh-CN" w:bidi="ar"/>
        </w:rPr>
        <w:t>石塘村乡道旁边，设有井盖。</w:t>
      </w:r>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长伦水厂</w:t>
      </w:r>
      <w:r>
        <w:rPr>
          <w:rFonts w:hint="eastAsia" w:ascii="Calibri" w:hAnsi="Calibri" w:eastAsia="宋体" w:cs="宋体"/>
          <w:sz w:val="24"/>
          <w:szCs w:val="22"/>
          <w:lang w:bidi="ar"/>
        </w:rPr>
        <w:t>担负着</w:t>
      </w:r>
      <w:r>
        <w:rPr>
          <w:rFonts w:hint="eastAsia" w:ascii="Calibri" w:hAnsi="Calibri" w:eastAsia="宋体" w:cs="宋体"/>
          <w:sz w:val="24"/>
          <w:szCs w:val="22"/>
          <w:lang w:val="en-US" w:eastAsia="zh-CN" w:bidi="ar"/>
        </w:rPr>
        <w:t>石塘镇10048</w:t>
      </w:r>
      <w:r>
        <w:rPr>
          <w:rFonts w:hint="eastAsia" w:ascii="Calibri" w:hAnsi="Calibri" w:eastAsia="宋体" w:cs="宋体"/>
          <w:sz w:val="24"/>
          <w:szCs w:val="22"/>
          <w:lang w:bidi="ar"/>
        </w:rPr>
        <w:t>人的生产、生活供水重任</w:t>
      </w:r>
      <w:r>
        <w:rPr>
          <w:rFonts w:hint="eastAsia" w:ascii="Calibri" w:hAnsi="Calibri" w:eastAsia="宋体" w:cs="宋体"/>
          <w:sz w:val="24"/>
          <w:szCs w:val="22"/>
          <w:lang w:val="en-US" w:eastAsia="zh-CN" w:bidi="ar"/>
        </w:rPr>
        <w:t>。</w:t>
      </w:r>
    </w:p>
    <w:p>
      <w:pPr>
        <w:pStyle w:val="5"/>
        <w:spacing w:beforeLines="0" w:afterLines="0" w:line="360" w:lineRule="auto"/>
        <w:rPr>
          <w:rFonts w:hint="eastAsia"/>
          <w:lang w:eastAsia="zh-CN"/>
        </w:rPr>
      </w:pPr>
      <w:bookmarkStart w:id="74" w:name="_Toc24554"/>
      <w:bookmarkStart w:id="75" w:name="_Toc16287"/>
      <w:bookmarkStart w:id="76" w:name="_Toc7022"/>
      <w:r>
        <w:rPr>
          <w:rFonts w:hint="eastAsia"/>
          <w:lang w:val="en-US" w:eastAsia="zh-CN"/>
        </w:rPr>
        <w:t>2.4.2</w:t>
      </w:r>
      <w:r>
        <w:rPr>
          <w:rFonts w:hint="eastAsia"/>
          <w:lang w:eastAsia="zh-CN"/>
        </w:rPr>
        <w:t>地表水环境功能区划及相邻水域情况</w:t>
      </w:r>
      <w:bookmarkEnd w:id="74"/>
      <w:bookmarkEnd w:id="75"/>
      <w:bookmarkEnd w:id="76"/>
    </w:p>
    <w:p>
      <w:pPr>
        <w:spacing w:line="360" w:lineRule="auto"/>
        <w:ind w:firstLine="720" w:firstLineChars="300"/>
        <w:rPr>
          <w:rFonts w:ascii="Times New Roman" w:hAnsi="Times New Roman" w:eastAsia="宋体" w:cs="Times New Roman"/>
          <w:sz w:val="24"/>
          <w:szCs w:val="22"/>
        </w:rPr>
      </w:pPr>
      <w:r>
        <w:rPr>
          <w:rFonts w:hint="eastAsia" w:ascii="Calibri" w:hAnsi="Calibri" w:eastAsia="宋体" w:cs="宋体"/>
          <w:sz w:val="24"/>
          <w:szCs w:val="22"/>
          <w:lang w:val="en-US" w:eastAsia="zh-CN" w:bidi="ar"/>
        </w:rPr>
        <w:t>根据《湖南省主要地表水系水环境功能区划》（DB43/023-2005），湘阴境内湘江樟树港至浩河口水域共7.4km为渔业用水区，该水域执行 GB3838-2002 中Ⅲ类标准；浩河口至洋沙湖上游1000m（东支）水域共5.2km 为饮用水水源保护区，该水域执行 GB3838-2002 中Ⅲ类标准；洋沙湖上游1000m 至下游 200m，共1.2km为饮用水水源保护区，该水域执行GB3838-2002 中Ⅱ类标准；洋沙湖下游200m至磊石（东支）共62.7km 为渔业用水区，该水域执行 GB3838-2002 中Ⅲ类标准。</w:t>
      </w:r>
    </w:p>
    <w:p>
      <w:pPr>
        <w:spacing w:line="360" w:lineRule="auto"/>
        <w:jc w:val="center"/>
        <w:rPr>
          <w:rFonts w:ascii="Times New Roman" w:hAnsi="Times New Roman" w:eastAsia="宋体" w:cs="Times New Roman"/>
          <w:sz w:val="24"/>
          <w:szCs w:val="22"/>
        </w:rPr>
      </w:pPr>
      <w:r>
        <w:drawing>
          <wp:inline distT="0" distB="0" distL="114300" distR="114300">
            <wp:extent cx="4120515" cy="2635250"/>
            <wp:effectExtent l="0" t="0" r="13335" b="1270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5"/>
                    <a:stretch>
                      <a:fillRect/>
                    </a:stretch>
                  </pic:blipFill>
                  <pic:spPr>
                    <a:xfrm>
                      <a:off x="0" y="0"/>
                      <a:ext cx="4120515" cy="2635250"/>
                    </a:xfrm>
                    <a:prstGeom prst="rect">
                      <a:avLst/>
                    </a:prstGeom>
                    <a:noFill/>
                    <a:ln w="9525">
                      <a:noFill/>
                    </a:ln>
                  </pic:spPr>
                </pic:pic>
              </a:graphicData>
            </a:graphic>
          </wp:inline>
        </w:drawing>
      </w:r>
    </w:p>
    <w:p>
      <w:pPr>
        <w:adjustRightInd w:val="0"/>
        <w:snapToGrid w:val="0"/>
        <w:spacing w:line="360" w:lineRule="auto"/>
        <w:ind w:firstLine="422" w:firstLineChars="200"/>
        <w:jc w:val="center"/>
        <w:rPr>
          <w:rFonts w:hint="eastAsia" w:ascii="宋体" w:hAnsi="宋体" w:eastAsia="宋体" w:cs="宋体"/>
          <w:b/>
          <w:szCs w:val="21"/>
          <w:lang w:val="en-US" w:eastAsia="zh-CN" w:bidi="ar"/>
        </w:rPr>
      </w:pPr>
      <w:r>
        <w:rPr>
          <w:rFonts w:hint="eastAsia" w:ascii="宋体" w:hAnsi="宋体" w:eastAsia="宋体" w:cs="宋体"/>
          <w:b/>
          <w:szCs w:val="21"/>
          <w:lang w:val="en-US" w:eastAsia="zh-CN" w:bidi="ar"/>
        </w:rPr>
        <w:t>图2-6 主要地表水体及水厂位置示意图</w:t>
      </w:r>
    </w:p>
    <w:p>
      <w:pPr>
        <w:pStyle w:val="5"/>
        <w:spacing w:before="156" w:after="156"/>
        <w:rPr>
          <w:highlight w:val="none"/>
        </w:rPr>
      </w:pPr>
      <w:bookmarkStart w:id="77" w:name="_Toc5907"/>
      <w:bookmarkStart w:id="78" w:name="_Toc29432"/>
      <w:r>
        <w:rPr>
          <w:rFonts w:hint="eastAsia"/>
          <w:highlight w:val="none"/>
        </w:rPr>
        <w:t>2.4.</w:t>
      </w:r>
      <w:r>
        <w:rPr>
          <w:rFonts w:hint="eastAsia"/>
          <w:highlight w:val="none"/>
          <w:lang w:val="en-US" w:eastAsia="zh-CN"/>
        </w:rPr>
        <w:t>3</w:t>
      </w:r>
      <w:r>
        <w:rPr>
          <w:rFonts w:hint="eastAsia"/>
          <w:highlight w:val="none"/>
        </w:rPr>
        <w:t>饮用水水源地水环境质量评价</w:t>
      </w:r>
      <w:bookmarkEnd w:id="77"/>
      <w:bookmarkEnd w:id="78"/>
    </w:p>
    <w:p>
      <w:pPr>
        <w:pStyle w:val="6"/>
        <w:spacing w:before="156" w:after="156"/>
      </w:pPr>
      <w:bookmarkStart w:id="79" w:name="_Toc23447"/>
      <w:bookmarkStart w:id="80" w:name="_Toc14721"/>
      <w:r>
        <w:rPr>
          <w:rFonts w:hint="eastAsia"/>
        </w:rPr>
        <w:t>2.4.</w:t>
      </w:r>
      <w:r>
        <w:rPr>
          <w:rFonts w:hint="eastAsia"/>
          <w:lang w:val="en-US" w:eastAsia="zh-CN"/>
        </w:rPr>
        <w:t>3</w:t>
      </w:r>
      <w:r>
        <w:rPr>
          <w:rFonts w:hint="eastAsia"/>
        </w:rPr>
        <w:t>.1 水质监测数据的选取</w:t>
      </w:r>
      <w:bookmarkEnd w:id="79"/>
      <w:bookmarkEnd w:id="80"/>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bidi="ar"/>
        </w:rPr>
        <w:t>湘阴县</w:t>
      </w:r>
      <w:r>
        <w:rPr>
          <w:rFonts w:hint="eastAsia" w:ascii="Calibri" w:hAnsi="Calibri" w:eastAsia="宋体" w:cs="宋体"/>
          <w:sz w:val="24"/>
          <w:szCs w:val="22"/>
          <w:lang w:val="en-US" w:eastAsia="zh-CN" w:bidi="ar"/>
        </w:rPr>
        <w:t>疾病预防控制中心</w:t>
      </w:r>
      <w:r>
        <w:rPr>
          <w:rFonts w:hint="eastAsia" w:ascii="Calibri" w:hAnsi="Calibri" w:eastAsia="宋体" w:cs="宋体"/>
          <w:sz w:val="24"/>
          <w:szCs w:val="22"/>
          <w:lang w:bidi="ar"/>
        </w:rPr>
        <w:t>定期对原水</w:t>
      </w:r>
      <w:r>
        <w:rPr>
          <w:rFonts w:hint="eastAsia" w:ascii="Calibri" w:hAnsi="Calibri" w:eastAsia="宋体" w:cs="宋体"/>
          <w:sz w:val="24"/>
          <w:szCs w:val="22"/>
          <w:lang w:eastAsia="zh-CN" w:bidi="ar"/>
        </w:rPr>
        <w:t>、</w:t>
      </w:r>
      <w:r>
        <w:rPr>
          <w:rFonts w:hint="eastAsia" w:ascii="Calibri" w:hAnsi="Calibri" w:eastAsia="宋体" w:cs="宋体"/>
          <w:sz w:val="24"/>
          <w:szCs w:val="22"/>
          <w:lang w:val="en-US" w:eastAsia="zh-CN" w:bidi="ar"/>
        </w:rPr>
        <w:t>出厂水、末梢水的</w:t>
      </w:r>
      <w:r>
        <w:rPr>
          <w:rFonts w:hint="eastAsia" w:ascii="Calibri" w:hAnsi="Calibri" w:eastAsia="宋体" w:cs="宋体"/>
          <w:sz w:val="24"/>
          <w:szCs w:val="22"/>
          <w:lang w:bidi="ar"/>
        </w:rPr>
        <w:t>水质进行了监测，监测频次为</w:t>
      </w:r>
      <w:r>
        <w:rPr>
          <w:rFonts w:hint="eastAsia" w:ascii="Calibri" w:hAnsi="Calibri" w:eastAsia="宋体" w:cs="宋体"/>
          <w:sz w:val="24"/>
          <w:szCs w:val="22"/>
          <w:lang w:val="en-US" w:eastAsia="zh-CN" w:bidi="ar"/>
        </w:rPr>
        <w:t>原水</w:t>
      </w:r>
      <w:r>
        <w:rPr>
          <w:rFonts w:hint="eastAsia" w:ascii="Calibri" w:hAnsi="Calibri" w:eastAsia="宋体" w:cs="宋体"/>
          <w:sz w:val="24"/>
          <w:szCs w:val="22"/>
          <w:lang w:bidi="ar"/>
        </w:rPr>
        <w:t>每</w:t>
      </w:r>
      <w:r>
        <w:rPr>
          <w:rFonts w:hint="eastAsia" w:ascii="Calibri" w:hAnsi="Calibri" w:eastAsia="宋体" w:cs="宋体"/>
          <w:sz w:val="24"/>
          <w:szCs w:val="22"/>
          <w:lang w:val="en-US" w:eastAsia="zh-CN" w:bidi="ar"/>
        </w:rPr>
        <w:t>年</w:t>
      </w:r>
      <w:r>
        <w:rPr>
          <w:rFonts w:hint="eastAsia" w:ascii="Calibri" w:hAnsi="Calibri" w:eastAsia="宋体" w:cs="宋体"/>
          <w:sz w:val="24"/>
          <w:szCs w:val="22"/>
          <w:lang w:bidi="ar"/>
        </w:rPr>
        <w:t>监测一次</w:t>
      </w:r>
      <w:r>
        <w:rPr>
          <w:rFonts w:hint="eastAsia" w:ascii="Calibri" w:hAnsi="Calibri" w:eastAsia="宋体" w:cs="宋体"/>
          <w:sz w:val="24"/>
          <w:szCs w:val="22"/>
          <w:lang w:eastAsia="zh-CN" w:bidi="ar"/>
        </w:rPr>
        <w:t>、</w:t>
      </w:r>
      <w:r>
        <w:rPr>
          <w:rFonts w:hint="eastAsia" w:ascii="Calibri" w:hAnsi="Calibri" w:eastAsia="宋体" w:cs="宋体"/>
          <w:sz w:val="24"/>
          <w:szCs w:val="22"/>
          <w:lang w:val="en-US" w:eastAsia="zh-CN" w:bidi="ar"/>
        </w:rPr>
        <w:t>出厂水和末梢水每年监测两次</w:t>
      </w: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原水</w:t>
      </w:r>
      <w:r>
        <w:rPr>
          <w:rFonts w:hint="eastAsia" w:ascii="Calibri" w:hAnsi="Calibri" w:eastAsia="宋体" w:cs="宋体"/>
          <w:sz w:val="24"/>
          <w:szCs w:val="22"/>
          <w:lang w:bidi="ar"/>
        </w:rPr>
        <w:t>每次监测</w:t>
      </w:r>
      <w:r>
        <w:rPr>
          <w:rFonts w:hint="eastAsia" w:ascii="Calibri" w:hAnsi="Calibri" w:eastAsia="宋体" w:cs="宋体"/>
          <w:sz w:val="24"/>
          <w:szCs w:val="22"/>
          <w:lang w:val="en-US" w:eastAsia="zh-CN" w:bidi="ar"/>
        </w:rPr>
        <w:t>色度、浊度等30</w:t>
      </w:r>
      <w:r>
        <w:rPr>
          <w:rFonts w:hint="eastAsia" w:ascii="Calibri" w:hAnsi="Calibri" w:eastAsia="宋体" w:cs="宋体"/>
          <w:sz w:val="24"/>
          <w:szCs w:val="22"/>
          <w:lang w:bidi="ar"/>
        </w:rPr>
        <w:t>个</w:t>
      </w:r>
      <w:r>
        <w:rPr>
          <w:rFonts w:hint="eastAsia" w:ascii="Calibri" w:hAnsi="Calibri" w:eastAsia="宋体" w:cs="宋体"/>
          <w:sz w:val="24"/>
          <w:szCs w:val="22"/>
          <w:lang w:val="en-US" w:eastAsia="zh-CN" w:bidi="ar"/>
        </w:rPr>
        <w:t>指标因子，出厂水和末梢水每次监测菌落总数、总大肠菌群等30个指标因子</w:t>
      </w:r>
      <w:r>
        <w:rPr>
          <w:rFonts w:hint="eastAsia" w:ascii="Calibri" w:hAnsi="Calibri" w:eastAsia="宋体" w:cs="宋体"/>
          <w:sz w:val="24"/>
          <w:szCs w:val="22"/>
          <w:lang w:bidi="ar"/>
        </w:rPr>
        <w:t>。本报告调取湘阴县疾病预防控制中心201</w:t>
      </w:r>
      <w:r>
        <w:rPr>
          <w:rFonts w:hint="eastAsia" w:ascii="Calibri" w:hAnsi="Calibri" w:eastAsia="宋体" w:cs="宋体"/>
          <w:sz w:val="24"/>
          <w:szCs w:val="22"/>
          <w:lang w:val="en-US" w:eastAsia="zh-CN" w:bidi="ar"/>
        </w:rPr>
        <w:t>8</w:t>
      </w:r>
      <w:r>
        <w:rPr>
          <w:rFonts w:hint="eastAsia" w:ascii="Calibri" w:hAnsi="Calibri" w:eastAsia="宋体" w:cs="宋体"/>
          <w:sz w:val="24"/>
          <w:szCs w:val="22"/>
          <w:lang w:bidi="ar"/>
        </w:rPr>
        <w:t>年</w:t>
      </w:r>
      <w:r>
        <w:rPr>
          <w:rFonts w:hint="eastAsia" w:ascii="Calibri" w:hAnsi="Calibri" w:eastAsia="宋体" w:cs="宋体"/>
          <w:sz w:val="24"/>
          <w:szCs w:val="22"/>
          <w:lang w:val="en-US" w:eastAsia="zh-CN" w:bidi="ar"/>
        </w:rPr>
        <w:t>以及2019年的常规监测数据来</w:t>
      </w:r>
      <w:r>
        <w:rPr>
          <w:rFonts w:hint="eastAsia" w:ascii="Calibri" w:hAnsi="Calibri" w:eastAsia="宋体" w:cs="宋体"/>
          <w:sz w:val="24"/>
          <w:szCs w:val="22"/>
          <w:lang w:bidi="ar"/>
        </w:rPr>
        <w:t>评价湘阴县</w:t>
      </w:r>
      <w:r>
        <w:rPr>
          <w:rFonts w:hint="eastAsia" w:ascii="Calibri" w:hAnsi="Calibri" w:eastAsia="宋体" w:cs="宋体"/>
          <w:sz w:val="24"/>
          <w:szCs w:val="22"/>
          <w:highlight w:val="none"/>
          <w:lang w:val="en-US" w:eastAsia="zh-CN" w:bidi="ar"/>
        </w:rPr>
        <w:t>石塘镇</w:t>
      </w:r>
      <w:r>
        <w:rPr>
          <w:rFonts w:hint="eastAsia" w:ascii="Calibri" w:hAnsi="Calibri" w:eastAsia="宋体" w:cs="宋体"/>
          <w:sz w:val="24"/>
          <w:szCs w:val="22"/>
          <w:lang w:val="en-US" w:eastAsia="zh-CN" w:bidi="ar"/>
        </w:rPr>
        <w:t>石塘村</w:t>
      </w:r>
      <w:r>
        <w:rPr>
          <w:rFonts w:hint="eastAsia" w:ascii="Calibri" w:hAnsi="Calibri" w:eastAsia="宋体" w:cs="宋体"/>
          <w:sz w:val="24"/>
          <w:szCs w:val="22"/>
          <w:lang w:bidi="ar"/>
        </w:rPr>
        <w:t>水源地的水质情况。</w:t>
      </w:r>
      <w:r>
        <w:rPr>
          <w:rFonts w:hint="eastAsia" w:ascii="Calibri" w:hAnsi="Calibri" w:eastAsia="宋体" w:cs="宋体"/>
          <w:sz w:val="24"/>
          <w:szCs w:val="22"/>
          <w:lang w:val="en-US" w:eastAsia="zh-CN" w:bidi="ar"/>
        </w:rPr>
        <w:t>同时，</w:t>
      </w:r>
      <w:r>
        <w:rPr>
          <w:rFonts w:hint="eastAsia" w:ascii="Calibri" w:hAnsi="Calibri" w:eastAsia="宋体" w:cs="宋体"/>
          <w:sz w:val="24"/>
          <w:szCs w:val="22"/>
          <w:highlight w:val="none"/>
          <w:lang w:val="en-US" w:eastAsia="zh-CN" w:bidi="ar"/>
        </w:rPr>
        <w:t>湘阴县人民政府委托岳阳市环境监测站对石塘镇石塘村一号水井的原水进行采样，按照《地下水质量标准》（GB/T14848-2017）中表1和表2的指标因子进行水质现状分析</w:t>
      </w:r>
      <w:r>
        <w:rPr>
          <w:rFonts w:hint="eastAsia" w:ascii="Calibri" w:hAnsi="Calibri" w:eastAsia="宋体" w:cs="宋体"/>
          <w:sz w:val="24"/>
          <w:szCs w:val="22"/>
          <w:lang w:val="en-US" w:eastAsia="zh-CN" w:bidi="ar"/>
        </w:rPr>
        <w:t>。</w:t>
      </w:r>
    </w:p>
    <w:p>
      <w:pPr>
        <w:pStyle w:val="6"/>
        <w:spacing w:before="156" w:after="156"/>
      </w:pPr>
      <w:bookmarkStart w:id="81" w:name="_Toc16259"/>
      <w:bookmarkStart w:id="82" w:name="_Toc15364"/>
      <w:r>
        <w:rPr>
          <w:rFonts w:hint="eastAsia"/>
        </w:rPr>
        <w:t>2.4.</w:t>
      </w:r>
      <w:r>
        <w:rPr>
          <w:rFonts w:hint="eastAsia"/>
          <w:lang w:val="en-US" w:eastAsia="zh-CN"/>
        </w:rPr>
        <w:t>3</w:t>
      </w:r>
      <w:r>
        <w:rPr>
          <w:rFonts w:hint="eastAsia"/>
        </w:rPr>
        <w:t>.2 水质评价标准及方法</w:t>
      </w:r>
      <w:bookmarkEnd w:id="81"/>
      <w:bookmarkEnd w:id="82"/>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val="en-US" w:eastAsia="zh-CN" w:bidi="ar"/>
        </w:rPr>
        <w:t>依据</w:t>
      </w:r>
      <w:r>
        <w:rPr>
          <w:rFonts w:hint="eastAsia" w:ascii="Calibri" w:hAnsi="Calibri" w:eastAsia="宋体" w:cs="宋体"/>
          <w:sz w:val="24"/>
          <w:szCs w:val="22"/>
          <w:lang w:bidi="ar"/>
        </w:rPr>
        <w:t>《地下水质量标准》（GB/T14848-</w:t>
      </w:r>
      <w:r>
        <w:rPr>
          <w:rFonts w:hint="eastAsia" w:ascii="Calibri" w:hAnsi="Calibri" w:eastAsia="宋体" w:cs="宋体"/>
          <w:sz w:val="24"/>
          <w:szCs w:val="22"/>
          <w:lang w:val="en-US" w:eastAsia="zh-CN" w:bidi="ar"/>
        </w:rPr>
        <w:t>2017</w:t>
      </w:r>
      <w:r>
        <w:rPr>
          <w:rFonts w:hint="eastAsia" w:ascii="Calibri" w:hAnsi="Calibri" w:eastAsia="宋体" w:cs="宋体"/>
          <w:sz w:val="24"/>
          <w:szCs w:val="22"/>
          <w:lang w:bidi="ar"/>
        </w:rPr>
        <w:t>）</w:t>
      </w:r>
      <w:r>
        <w:rPr>
          <w:rFonts w:hint="eastAsia" w:ascii="Calibri" w:hAnsi="Calibri" w:eastAsia="宋体" w:cs="宋体"/>
          <w:sz w:val="24"/>
          <w:szCs w:val="22"/>
          <w:lang w:eastAsia="zh-CN" w:bidi="ar"/>
        </w:rPr>
        <w:t>，</w:t>
      </w:r>
      <w:r>
        <w:rPr>
          <w:rFonts w:hint="eastAsia" w:ascii="Calibri" w:hAnsi="Calibri" w:eastAsia="宋体" w:cs="宋体"/>
          <w:sz w:val="24"/>
          <w:szCs w:val="22"/>
          <w:lang w:val="en-US" w:eastAsia="zh-CN" w:bidi="ar"/>
        </w:rPr>
        <w:t>单因子采用从优不从劣的原则，对水质</w:t>
      </w:r>
      <w:r>
        <w:rPr>
          <w:rFonts w:hint="eastAsia" w:ascii="Calibri" w:hAnsi="Calibri" w:eastAsia="宋体" w:cs="宋体"/>
          <w:sz w:val="24"/>
          <w:szCs w:val="22"/>
          <w:lang w:bidi="ar"/>
        </w:rPr>
        <w:t>进行</w:t>
      </w:r>
      <w:r>
        <w:rPr>
          <w:rFonts w:hint="eastAsia" w:ascii="Calibri" w:hAnsi="Calibri" w:eastAsia="宋体" w:cs="宋体"/>
          <w:sz w:val="24"/>
          <w:szCs w:val="22"/>
          <w:lang w:val="en-US" w:eastAsia="zh-CN" w:bidi="ar"/>
        </w:rPr>
        <w:t>综合评价</w:t>
      </w:r>
      <w:r>
        <w:rPr>
          <w:rFonts w:hint="eastAsia" w:ascii="Calibri" w:hAnsi="Calibri" w:eastAsia="宋体" w:cs="宋体"/>
          <w:sz w:val="24"/>
          <w:szCs w:val="22"/>
          <w:lang w:bidi="ar"/>
        </w:rPr>
        <w:t>。</w:t>
      </w:r>
    </w:p>
    <w:p>
      <w:pPr>
        <w:pStyle w:val="6"/>
        <w:spacing w:before="156" w:after="156"/>
      </w:pPr>
      <w:bookmarkStart w:id="83" w:name="_Toc438805279"/>
      <w:bookmarkStart w:id="84" w:name="_Toc25096"/>
      <w:bookmarkStart w:id="85" w:name="_Toc2690"/>
      <w:r>
        <w:rPr>
          <w:rFonts w:hint="eastAsia"/>
        </w:rPr>
        <w:t>2.4.</w:t>
      </w:r>
      <w:r>
        <w:rPr>
          <w:rFonts w:hint="eastAsia"/>
          <w:lang w:val="en-US" w:eastAsia="zh-CN"/>
        </w:rPr>
        <w:t>3</w:t>
      </w:r>
      <w:r>
        <w:rPr>
          <w:rFonts w:hint="eastAsia"/>
        </w:rPr>
        <w:t>.3 水质评价结果</w:t>
      </w:r>
      <w:bookmarkEnd w:id="83"/>
      <w:bookmarkEnd w:id="84"/>
      <w:bookmarkEnd w:id="85"/>
    </w:p>
    <w:p>
      <w:pPr>
        <w:spacing w:line="360" w:lineRule="auto"/>
        <w:ind w:firstLine="482" w:firstLineChars="200"/>
        <w:jc w:val="left"/>
        <w:rPr>
          <w:rFonts w:hint="eastAsia"/>
          <w:b/>
          <w:bCs/>
          <w:sz w:val="24"/>
          <w:lang w:val="en-US" w:eastAsia="zh-CN"/>
        </w:rPr>
      </w:pPr>
      <w:bookmarkStart w:id="86" w:name="OLE_LINK1"/>
      <w:r>
        <w:rPr>
          <w:rFonts w:hint="eastAsia"/>
          <w:b/>
          <w:bCs/>
          <w:sz w:val="24"/>
          <w:lang w:val="en-US" w:eastAsia="zh-CN"/>
        </w:rPr>
        <w:t>一、常规监测水质评价</w:t>
      </w:r>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监测点位：原水、出厂水、末梢水</w:t>
      </w:r>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监测频次：原水</w:t>
      </w:r>
      <w:r>
        <w:rPr>
          <w:rFonts w:hint="eastAsia" w:ascii="Calibri" w:hAnsi="Calibri" w:eastAsia="宋体" w:cs="宋体"/>
          <w:sz w:val="24"/>
          <w:szCs w:val="22"/>
          <w:lang w:bidi="ar"/>
        </w:rPr>
        <w:t>每</w:t>
      </w:r>
      <w:r>
        <w:rPr>
          <w:rFonts w:hint="eastAsia" w:ascii="Calibri" w:hAnsi="Calibri" w:eastAsia="宋体" w:cs="宋体"/>
          <w:sz w:val="24"/>
          <w:szCs w:val="22"/>
          <w:lang w:val="en-US" w:eastAsia="zh-CN" w:bidi="ar"/>
        </w:rPr>
        <w:t>年</w:t>
      </w:r>
      <w:r>
        <w:rPr>
          <w:rFonts w:hint="eastAsia" w:ascii="Calibri" w:hAnsi="Calibri" w:eastAsia="宋体" w:cs="宋体"/>
          <w:sz w:val="24"/>
          <w:szCs w:val="22"/>
          <w:lang w:bidi="ar"/>
        </w:rPr>
        <w:t>监测一次</w:t>
      </w:r>
      <w:r>
        <w:rPr>
          <w:rFonts w:hint="eastAsia" w:ascii="Calibri" w:hAnsi="Calibri" w:eastAsia="宋体" w:cs="宋体"/>
          <w:sz w:val="24"/>
          <w:szCs w:val="22"/>
          <w:lang w:eastAsia="zh-CN" w:bidi="ar"/>
        </w:rPr>
        <w:t>、</w:t>
      </w:r>
      <w:r>
        <w:rPr>
          <w:rFonts w:hint="eastAsia" w:ascii="Calibri" w:hAnsi="Calibri" w:eastAsia="宋体" w:cs="宋体"/>
          <w:sz w:val="24"/>
          <w:szCs w:val="22"/>
          <w:lang w:val="en-US" w:eastAsia="zh-CN" w:bidi="ar"/>
        </w:rPr>
        <w:t>出厂水和末梢水每年监测两次</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val="en-US" w:eastAsia="zh-CN" w:bidi="ar"/>
        </w:rPr>
        <w:t>监测指标：原水</w:t>
      </w:r>
      <w:r>
        <w:rPr>
          <w:rFonts w:hint="eastAsia" w:ascii="Calibri" w:hAnsi="Calibri" w:eastAsia="宋体" w:cs="宋体"/>
          <w:sz w:val="24"/>
          <w:szCs w:val="22"/>
          <w:lang w:bidi="ar"/>
        </w:rPr>
        <w:t>监测</w:t>
      </w:r>
      <w:r>
        <w:rPr>
          <w:rFonts w:hint="eastAsia" w:ascii="Calibri" w:hAnsi="Calibri" w:eastAsia="宋体" w:cs="宋体"/>
          <w:sz w:val="24"/>
          <w:szCs w:val="22"/>
          <w:lang w:val="en-US" w:eastAsia="zh-CN" w:bidi="ar"/>
        </w:rPr>
        <w:t>色度、浊度等30</w:t>
      </w:r>
      <w:r>
        <w:rPr>
          <w:rFonts w:hint="eastAsia" w:ascii="Calibri" w:hAnsi="Calibri" w:eastAsia="宋体" w:cs="宋体"/>
          <w:sz w:val="24"/>
          <w:szCs w:val="22"/>
          <w:lang w:bidi="ar"/>
        </w:rPr>
        <w:t>个</w:t>
      </w:r>
      <w:r>
        <w:rPr>
          <w:rFonts w:hint="eastAsia" w:ascii="Calibri" w:hAnsi="Calibri" w:eastAsia="宋体" w:cs="宋体"/>
          <w:sz w:val="24"/>
          <w:szCs w:val="22"/>
          <w:lang w:val="en-US" w:eastAsia="zh-CN" w:bidi="ar"/>
        </w:rPr>
        <w:t>指标因子，出厂水、末梢水监测菌落总数、总大肠菌群等30个指标因子</w:t>
      </w:r>
      <w:r>
        <w:rPr>
          <w:rFonts w:hint="eastAsia" w:ascii="Calibri" w:hAnsi="Calibri" w:eastAsia="宋体" w:cs="宋体"/>
          <w:sz w:val="24"/>
          <w:szCs w:val="22"/>
          <w:lang w:bidi="ar"/>
        </w:rPr>
        <w:t>。</w:t>
      </w:r>
    </w:p>
    <w:p>
      <w:pPr>
        <w:snapToGrid w:val="0"/>
        <w:jc w:val="center"/>
        <w:rPr>
          <w:rFonts w:hint="default" w:ascii="Times New Roman" w:hAnsi="Times New Roman" w:cs="Times New Roman"/>
          <w:b/>
          <w:color w:val="auto"/>
          <w:szCs w:val="21"/>
        </w:rPr>
      </w:pPr>
    </w:p>
    <w:p>
      <w:pPr>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表2-4-</w:t>
      </w:r>
      <w:r>
        <w:rPr>
          <w:rFonts w:hint="default" w:ascii="Times New Roman" w:hAnsi="Times New Roman" w:cs="Times New Roman"/>
          <w:b/>
          <w:color w:val="auto"/>
          <w:szCs w:val="21"/>
          <w:lang w:val="en-US" w:eastAsia="zh-CN"/>
        </w:rPr>
        <w:t>1</w:t>
      </w:r>
      <w:r>
        <w:rPr>
          <w:rFonts w:hint="default" w:ascii="Times New Roman" w:hAnsi="Times New Roman" w:cs="Times New Roman"/>
          <w:b/>
          <w:color w:val="auto"/>
          <w:szCs w:val="21"/>
        </w:rPr>
        <w:t xml:space="preserve">    201</w:t>
      </w:r>
      <w:r>
        <w:rPr>
          <w:rFonts w:hint="default" w:ascii="Times New Roman" w:hAnsi="Times New Roman" w:cs="Times New Roman"/>
          <w:b/>
          <w:color w:val="auto"/>
          <w:szCs w:val="21"/>
          <w:lang w:val="en-US" w:eastAsia="zh-CN"/>
        </w:rPr>
        <w:t>8</w:t>
      </w:r>
      <w:r>
        <w:rPr>
          <w:rFonts w:hint="default" w:ascii="Times New Roman" w:hAnsi="Times New Roman" w:cs="Times New Roman"/>
          <w:b/>
          <w:color w:val="auto"/>
          <w:szCs w:val="21"/>
        </w:rPr>
        <w:t>年湘阴县</w:t>
      </w:r>
      <w:r>
        <w:rPr>
          <w:rFonts w:hint="eastAsia" w:ascii="Times New Roman" w:hAnsi="Times New Roman" w:cs="Times New Roman"/>
          <w:b/>
          <w:color w:val="auto"/>
          <w:szCs w:val="21"/>
          <w:lang w:val="en-US" w:eastAsia="zh-CN"/>
        </w:rPr>
        <w:t>石塘镇长仑</w:t>
      </w:r>
      <w:r>
        <w:rPr>
          <w:rFonts w:hint="default" w:ascii="Times New Roman" w:hAnsi="Times New Roman" w:cs="Times New Roman"/>
          <w:b/>
          <w:color w:val="auto"/>
          <w:szCs w:val="21"/>
          <w:lang w:val="en-US" w:eastAsia="zh-CN"/>
        </w:rPr>
        <w:t>水厂原水</w:t>
      </w:r>
      <w:r>
        <w:rPr>
          <w:rFonts w:hint="default" w:ascii="Times New Roman" w:hAnsi="Times New Roman" w:cs="Times New Roman"/>
          <w:b/>
          <w:color w:val="auto"/>
          <w:szCs w:val="21"/>
        </w:rPr>
        <w:t>水质</w:t>
      </w:r>
      <w:r>
        <w:rPr>
          <w:rFonts w:hint="default" w:ascii="Times New Roman" w:hAnsi="Times New Roman" w:cs="Times New Roman"/>
          <w:b/>
          <w:color w:val="auto"/>
          <w:szCs w:val="21"/>
          <w:lang w:val="en-US" w:eastAsia="zh-CN"/>
        </w:rPr>
        <w:t>常规</w:t>
      </w:r>
      <w:r>
        <w:rPr>
          <w:rFonts w:hint="default" w:ascii="Times New Roman" w:hAnsi="Times New Roman" w:cs="Times New Roman"/>
          <w:b/>
          <w:color w:val="auto"/>
          <w:szCs w:val="21"/>
        </w:rPr>
        <w:t>检测明细表</w:t>
      </w:r>
    </w:p>
    <w:tbl>
      <w:tblPr>
        <w:tblStyle w:val="19"/>
        <w:tblW w:w="8852" w:type="dxa"/>
        <w:jc w:val="center"/>
        <w:tblLayout w:type="fixed"/>
        <w:tblCellMar>
          <w:top w:w="0" w:type="dxa"/>
          <w:left w:w="108" w:type="dxa"/>
          <w:bottom w:w="0" w:type="dxa"/>
          <w:right w:w="108" w:type="dxa"/>
        </w:tblCellMar>
      </w:tblPr>
      <w:tblGrid>
        <w:gridCol w:w="779"/>
        <w:gridCol w:w="2295"/>
        <w:gridCol w:w="943"/>
        <w:gridCol w:w="1511"/>
        <w:gridCol w:w="3324"/>
      </w:tblGrid>
      <w:tr>
        <w:tblPrEx>
          <w:tblCellMar>
            <w:top w:w="0" w:type="dxa"/>
            <w:left w:w="108" w:type="dxa"/>
            <w:bottom w:w="0" w:type="dxa"/>
            <w:right w:w="108" w:type="dxa"/>
          </w:tblCellMar>
        </w:tblPrEx>
        <w:trPr>
          <w:trHeight w:val="0" w:hRule="atLeast"/>
          <w:jc w:val="center"/>
        </w:trPr>
        <w:tc>
          <w:tcPr>
            <w:tcW w:w="77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序号</w:t>
            </w:r>
          </w:p>
        </w:tc>
        <w:tc>
          <w:tcPr>
            <w:tcW w:w="2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检验项目名称</w:t>
            </w:r>
          </w:p>
        </w:tc>
        <w:tc>
          <w:tcPr>
            <w:tcW w:w="94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单位</w:t>
            </w: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检测结果</w:t>
            </w:r>
          </w:p>
        </w:tc>
        <w:tc>
          <w:tcPr>
            <w:tcW w:w="332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评价标准值</w:t>
            </w:r>
          </w:p>
        </w:tc>
      </w:tr>
      <w:tr>
        <w:tblPrEx>
          <w:tblCellMar>
            <w:top w:w="0" w:type="dxa"/>
            <w:left w:w="108" w:type="dxa"/>
            <w:bottom w:w="0" w:type="dxa"/>
            <w:right w:w="108" w:type="dxa"/>
          </w:tblCellMar>
        </w:tblPrEx>
        <w:trPr>
          <w:trHeight w:val="0" w:hRule="atLeast"/>
          <w:jc w:val="center"/>
        </w:trPr>
        <w:tc>
          <w:tcPr>
            <w:tcW w:w="77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229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94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1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2018年</w:t>
            </w:r>
          </w:p>
        </w:tc>
        <w:tc>
          <w:tcPr>
            <w:tcW w:w="332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rPr>
              <w:t>《地下水质量标准》（GB/T14848-2017）</w:t>
            </w:r>
            <w:r>
              <w:rPr>
                <w:rFonts w:hint="default" w:ascii="Times New Roman" w:hAnsi="Times New Roman" w:eastAsia="微软雅黑" w:cs="Times New Roman"/>
                <w:kern w:val="0"/>
                <w:szCs w:val="21"/>
              </w:rPr>
              <w:t>Ⅲ</w:t>
            </w:r>
            <w:r>
              <w:rPr>
                <w:rFonts w:hint="default" w:ascii="Times New Roman" w:hAnsi="Times New Roman" w:eastAsia="宋体" w:cs="Times New Roman"/>
                <w:kern w:val="0"/>
                <w:szCs w:val="21"/>
                <w:lang w:val="en-US" w:eastAsia="zh-CN"/>
              </w:rPr>
              <w:t>类标准</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色度</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val="en-US" w:eastAsia="zh-CN"/>
              </w:rPr>
              <w:t>度</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≤15</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浊度</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val="en-US" w:eastAsia="zh-CN"/>
              </w:rPr>
              <w:t>NTU</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臭和味</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无异臭异味</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肉眼可见物</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val="en-US" w:eastAsia="zh-CN"/>
              </w:rPr>
              <w:t>/</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无肉眼可见物</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铬（六价）</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＜0.004</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rPr>
              <w:t>PH值</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PH单位</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6.6</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6.5≤PH≤8.5</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铁</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0.07</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≤0.3</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锰</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氯化物</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20.9</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硫酸盐</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18.7</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rPr>
              <w:t>总硬度</w:t>
            </w:r>
            <w:r>
              <w:rPr>
                <w:rFonts w:hint="default" w:ascii="Times New Roman" w:hAnsi="Times New Roman" w:eastAsia="宋体" w:cs="Times New Roman"/>
                <w:kern w:val="0"/>
                <w:szCs w:val="21"/>
                <w:lang w:eastAsia="zh-CN"/>
              </w:rPr>
              <w:t>（</w:t>
            </w:r>
            <w:r>
              <w:rPr>
                <w:rFonts w:hint="default" w:ascii="Times New Roman" w:hAnsi="Times New Roman" w:eastAsia="宋体" w:cs="Times New Roman"/>
                <w:kern w:val="0"/>
                <w:szCs w:val="21"/>
                <w:lang w:val="en-US" w:eastAsia="zh-CN"/>
              </w:rPr>
              <w:t>以CaCO</w:t>
            </w:r>
            <w:r>
              <w:rPr>
                <w:rFonts w:hint="default" w:ascii="Times New Roman" w:hAnsi="Times New Roman" w:eastAsia="宋体" w:cs="Times New Roman"/>
                <w:kern w:val="0"/>
                <w:szCs w:val="21"/>
                <w:vertAlign w:val="subscript"/>
                <w:lang w:val="en-US" w:eastAsia="zh-CN"/>
              </w:rPr>
              <w:t>3</w:t>
            </w:r>
            <w:r>
              <w:rPr>
                <w:rFonts w:hint="default" w:ascii="Times New Roman" w:hAnsi="Times New Roman" w:eastAsia="宋体" w:cs="Times New Roman"/>
                <w:kern w:val="0"/>
                <w:szCs w:val="21"/>
                <w:lang w:val="en-US" w:eastAsia="zh-CN"/>
              </w:rPr>
              <w:t>计</w:t>
            </w:r>
            <w:r>
              <w:rPr>
                <w:rFonts w:hint="default" w:ascii="Times New Roman" w:hAnsi="Times New Roman" w:eastAsia="宋体" w:cs="Times New Roman"/>
                <w:kern w:val="0"/>
                <w:szCs w:val="21"/>
                <w:lang w:eastAsia="zh-CN"/>
              </w:rPr>
              <w:t>）</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57.</w:t>
            </w:r>
            <w:r>
              <w:rPr>
                <w:rFonts w:hint="eastAsia" w:ascii="Times New Roman" w:hAnsi="Times New Roman" w:eastAsia="宋体" w:cs="Times New Roman"/>
                <w:kern w:val="0"/>
                <w:szCs w:val="21"/>
                <w:lang w:val="en-US" w:eastAsia="zh-CN"/>
              </w:rPr>
              <w:t>4</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≤450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耗氧量</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1.04</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13</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氨氮</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0.09</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14</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氟化物</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砷</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＜0.001</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16</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汞</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＜0.0001</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≤0.001</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17</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硝酸盐</w:t>
            </w:r>
            <w:r>
              <w:rPr>
                <w:rFonts w:hint="default" w:ascii="Times New Roman" w:hAnsi="Times New Roman" w:eastAsia="宋体" w:cs="Times New Roman"/>
                <w:kern w:val="0"/>
                <w:szCs w:val="21"/>
                <w:lang w:eastAsia="zh-CN"/>
              </w:rPr>
              <w:t>（</w:t>
            </w:r>
            <w:r>
              <w:rPr>
                <w:rFonts w:hint="default" w:ascii="Times New Roman" w:hAnsi="Times New Roman" w:eastAsia="宋体" w:cs="Times New Roman"/>
                <w:kern w:val="0"/>
                <w:szCs w:val="21"/>
                <w:lang w:val="en-US" w:eastAsia="zh-CN"/>
              </w:rPr>
              <w:t>以N计</w:t>
            </w:r>
            <w:r>
              <w:rPr>
                <w:rFonts w:hint="default" w:ascii="Times New Roman" w:hAnsi="Times New Roman" w:eastAsia="宋体" w:cs="Times New Roman"/>
                <w:kern w:val="0"/>
                <w:szCs w:val="21"/>
                <w:lang w:eastAsia="zh-CN"/>
              </w:rPr>
              <w:t>）</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86</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18</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铅</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＜0.0025</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19</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镉</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＜0.0005</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≤0.005</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铜</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＜0.10</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21</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rPr>
              <w:t>锌</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＜0.10</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22</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溶解性总固体</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r>
              <w:rPr>
                <w:rFonts w:hint="eastAsia" w:ascii="Times New Roman" w:hAnsi="Times New Roman" w:eastAsia="宋体" w:cs="Times New Roman"/>
                <w:kern w:val="0"/>
                <w:szCs w:val="21"/>
                <w:lang w:val="en-US" w:eastAsia="zh-CN"/>
              </w:rPr>
              <w:t>40</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≤1000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23</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铝</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＜0.008</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≤0.2</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24</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挥发酚类（以苯酚计）</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rPr>
              <w:t>氰化物</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26</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阴离子合成洗涤剂</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＜0.05</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≤0.3</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27</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硒</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＜0.0005</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28</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三氯甲烷</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＜0.0002</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≤60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29</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四氯化碳</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＜0.0001</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w:t>
            </w:r>
          </w:p>
        </w:tc>
      </w:tr>
      <w:tr>
        <w:tblPrEx>
          <w:tblCellMar>
            <w:top w:w="0" w:type="dxa"/>
            <w:left w:w="108" w:type="dxa"/>
            <w:bottom w:w="0" w:type="dxa"/>
            <w:right w:w="108" w:type="dxa"/>
          </w:tblCellMar>
        </w:tblPrEx>
        <w:trPr>
          <w:trHeight w:val="0" w:hRule="atLeast"/>
          <w:jc w:val="center"/>
        </w:trPr>
        <w:tc>
          <w:tcPr>
            <w:tcW w:w="779"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30</w:t>
            </w:r>
          </w:p>
        </w:tc>
        <w:tc>
          <w:tcPr>
            <w:tcW w:w="2295"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亚</w:t>
            </w:r>
            <w:r>
              <w:rPr>
                <w:rFonts w:hint="default" w:ascii="Times New Roman" w:hAnsi="Times New Roman" w:eastAsia="宋体" w:cs="Times New Roman"/>
                <w:kern w:val="0"/>
                <w:szCs w:val="21"/>
                <w:lang w:val="en-US" w:eastAsia="zh-CN"/>
              </w:rPr>
              <w:t>氯</w:t>
            </w:r>
            <w:r>
              <w:rPr>
                <w:rFonts w:hint="default" w:ascii="Times New Roman" w:hAnsi="Times New Roman" w:eastAsia="宋体" w:cs="Times New Roman"/>
                <w:kern w:val="0"/>
                <w:szCs w:val="21"/>
              </w:rPr>
              <w:t>酸盐</w:t>
            </w:r>
          </w:p>
        </w:tc>
        <w:tc>
          <w:tcPr>
            <w:tcW w:w="943"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51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＜0.001</w:t>
            </w:r>
          </w:p>
        </w:tc>
        <w:tc>
          <w:tcPr>
            <w:tcW w:w="332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bl>
    <w:p>
      <w:pPr>
        <w:snapToGrid w:val="0"/>
        <w:jc w:val="center"/>
        <w:rPr>
          <w:rFonts w:hint="eastAsia"/>
          <w:b/>
          <w:szCs w:val="21"/>
        </w:rPr>
        <w:sectPr>
          <w:pgSz w:w="11905" w:h="16838"/>
          <w:pgMar w:top="1134" w:right="1417" w:bottom="1134" w:left="1417" w:header="850" w:footer="992" w:gutter="0"/>
          <w:paperSrc/>
          <w:pgBorders>
            <w:top w:val="none" w:sz="0" w:space="0"/>
            <w:left w:val="none" w:sz="0" w:space="0"/>
            <w:bottom w:val="none" w:sz="0" w:space="0"/>
            <w:right w:val="none" w:sz="0" w:space="0"/>
          </w:pgBorders>
          <w:pgNumType w:fmt="decimal"/>
          <w:cols w:space="0" w:num="1"/>
          <w:rtlGutter w:val="0"/>
          <w:docGrid w:type="lines" w:linePitch="317" w:charSpace="0"/>
        </w:sectPr>
      </w:pPr>
    </w:p>
    <w:p>
      <w:pPr>
        <w:snapToGrid w:val="0"/>
        <w:jc w:val="center"/>
        <w:rPr>
          <w:rFonts w:ascii="宋体" w:hAnsi="宋体" w:eastAsia="宋体" w:cs="Times New Roman"/>
          <w:b/>
          <w:color w:val="auto"/>
        </w:rPr>
      </w:pPr>
      <w:r>
        <w:rPr>
          <w:rFonts w:hint="eastAsia"/>
          <w:b/>
          <w:color w:val="auto"/>
          <w:szCs w:val="21"/>
        </w:rPr>
        <w:t>表2-4-</w:t>
      </w:r>
      <w:r>
        <w:rPr>
          <w:rFonts w:hint="eastAsia"/>
          <w:b/>
          <w:color w:val="auto"/>
          <w:szCs w:val="21"/>
          <w:lang w:val="en-US" w:eastAsia="zh-CN"/>
        </w:rPr>
        <w:t>2</w:t>
      </w:r>
      <w:r>
        <w:rPr>
          <w:rFonts w:hint="eastAsia"/>
          <w:b/>
          <w:color w:val="auto"/>
          <w:szCs w:val="21"/>
        </w:rPr>
        <w:t xml:space="preserve">    201</w:t>
      </w:r>
      <w:r>
        <w:rPr>
          <w:rFonts w:hint="eastAsia"/>
          <w:b/>
          <w:color w:val="auto"/>
          <w:szCs w:val="21"/>
          <w:lang w:val="en-US" w:eastAsia="zh-CN"/>
        </w:rPr>
        <w:t>8</w:t>
      </w:r>
      <w:r>
        <w:rPr>
          <w:rFonts w:hint="eastAsia"/>
          <w:b/>
          <w:color w:val="auto"/>
          <w:szCs w:val="21"/>
        </w:rPr>
        <w:t>年以及2019年湘阴县</w:t>
      </w:r>
      <w:r>
        <w:rPr>
          <w:rFonts w:hint="eastAsia"/>
          <w:b/>
          <w:color w:val="auto"/>
          <w:szCs w:val="21"/>
          <w:lang w:eastAsia="zh-CN"/>
        </w:rPr>
        <w:t>石塘镇</w:t>
      </w:r>
      <w:r>
        <w:rPr>
          <w:rFonts w:hint="eastAsia"/>
          <w:b/>
          <w:color w:val="auto"/>
          <w:szCs w:val="21"/>
          <w:lang w:val="en-US" w:eastAsia="zh-CN"/>
        </w:rPr>
        <w:t>长仑水厂出厂水</w:t>
      </w:r>
      <w:r>
        <w:rPr>
          <w:rFonts w:hint="eastAsia"/>
          <w:b/>
          <w:color w:val="auto"/>
          <w:szCs w:val="21"/>
        </w:rPr>
        <w:t>水质</w:t>
      </w:r>
      <w:r>
        <w:rPr>
          <w:rFonts w:hint="eastAsia"/>
          <w:b/>
          <w:color w:val="auto"/>
          <w:szCs w:val="21"/>
          <w:lang w:val="en-US" w:eastAsia="zh-CN"/>
        </w:rPr>
        <w:t>常规</w:t>
      </w:r>
      <w:r>
        <w:rPr>
          <w:rFonts w:hint="eastAsia"/>
          <w:b/>
          <w:color w:val="auto"/>
          <w:szCs w:val="21"/>
        </w:rPr>
        <w:t>检测明细表</w:t>
      </w:r>
    </w:p>
    <w:tbl>
      <w:tblPr>
        <w:tblStyle w:val="19"/>
        <w:tblW w:w="13363" w:type="dxa"/>
        <w:jc w:val="center"/>
        <w:tblLayout w:type="fixed"/>
        <w:tblCellMar>
          <w:top w:w="0" w:type="dxa"/>
          <w:left w:w="108" w:type="dxa"/>
          <w:bottom w:w="0" w:type="dxa"/>
          <w:right w:w="108" w:type="dxa"/>
        </w:tblCellMar>
      </w:tblPr>
      <w:tblGrid>
        <w:gridCol w:w="762"/>
        <w:gridCol w:w="2234"/>
        <w:gridCol w:w="1061"/>
        <w:gridCol w:w="1617"/>
        <w:gridCol w:w="1618"/>
        <w:gridCol w:w="1586"/>
        <w:gridCol w:w="1564"/>
        <w:gridCol w:w="2921"/>
      </w:tblGrid>
      <w:tr>
        <w:tblPrEx>
          <w:tblCellMar>
            <w:top w:w="0" w:type="dxa"/>
            <w:left w:w="108" w:type="dxa"/>
            <w:bottom w:w="0" w:type="dxa"/>
            <w:right w:w="108" w:type="dxa"/>
          </w:tblCellMar>
        </w:tblPrEx>
        <w:trPr>
          <w:trHeight w:val="0" w:hRule="atLeast"/>
          <w:jc w:val="center"/>
        </w:trPr>
        <w:tc>
          <w:tcPr>
            <w:tcW w:w="7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序号</w:t>
            </w:r>
          </w:p>
        </w:tc>
        <w:tc>
          <w:tcPr>
            <w:tcW w:w="223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检验项目名称</w:t>
            </w:r>
          </w:p>
        </w:tc>
        <w:tc>
          <w:tcPr>
            <w:tcW w:w="106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单位</w:t>
            </w:r>
          </w:p>
        </w:tc>
        <w:tc>
          <w:tcPr>
            <w:tcW w:w="6385"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检测结果</w:t>
            </w:r>
          </w:p>
        </w:tc>
        <w:tc>
          <w:tcPr>
            <w:tcW w:w="292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评价标准值</w:t>
            </w:r>
          </w:p>
        </w:tc>
      </w:tr>
      <w:tr>
        <w:tblPrEx>
          <w:tblCellMar>
            <w:top w:w="0" w:type="dxa"/>
            <w:left w:w="108" w:type="dxa"/>
            <w:bottom w:w="0" w:type="dxa"/>
            <w:right w:w="108" w:type="dxa"/>
          </w:tblCellMar>
        </w:tblPrEx>
        <w:trPr>
          <w:trHeight w:val="0" w:hRule="atLeast"/>
          <w:jc w:val="center"/>
        </w:trPr>
        <w:tc>
          <w:tcPr>
            <w:tcW w:w="76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2234"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106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16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2018年丰水期</w:t>
            </w:r>
          </w:p>
        </w:tc>
        <w:tc>
          <w:tcPr>
            <w:tcW w:w="16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2018年枯水期</w:t>
            </w:r>
          </w:p>
        </w:tc>
        <w:tc>
          <w:tcPr>
            <w:tcW w:w="15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2019年3月</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2019年5月</w:t>
            </w:r>
          </w:p>
        </w:tc>
        <w:tc>
          <w:tcPr>
            <w:tcW w:w="292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rPr>
              <w:t>《</w:t>
            </w:r>
            <w:r>
              <w:rPr>
                <w:rFonts w:hint="default" w:ascii="Times New Roman" w:hAnsi="Times New Roman" w:eastAsia="宋体" w:cs="Times New Roman"/>
                <w:kern w:val="0"/>
                <w:szCs w:val="21"/>
                <w:lang w:val="en-US" w:eastAsia="zh-CN"/>
              </w:rPr>
              <w:t>生活饮用水卫生标准</w:t>
            </w:r>
            <w:r>
              <w:rPr>
                <w:rFonts w:hint="default" w:ascii="Times New Roman" w:hAnsi="Times New Roman" w:eastAsia="宋体" w:cs="Times New Roman"/>
                <w:kern w:val="0"/>
                <w:szCs w:val="21"/>
              </w:rPr>
              <w:t>》（GB</w:t>
            </w:r>
            <w:r>
              <w:rPr>
                <w:rFonts w:hint="default" w:ascii="Times New Roman" w:hAnsi="Times New Roman" w:eastAsia="宋体" w:cs="Times New Roman"/>
                <w:kern w:val="0"/>
                <w:szCs w:val="21"/>
                <w:lang w:val="en-US" w:eastAsia="zh-CN"/>
              </w:rPr>
              <w:t>5749</w:t>
            </w:r>
            <w:r>
              <w:rPr>
                <w:rFonts w:hint="default" w:ascii="Times New Roman" w:hAnsi="Times New Roman" w:eastAsia="宋体" w:cs="Times New Roman"/>
                <w:kern w:val="0"/>
                <w:szCs w:val="21"/>
              </w:rPr>
              <w:t>-20</w:t>
            </w:r>
            <w:r>
              <w:rPr>
                <w:rFonts w:hint="default" w:ascii="Times New Roman" w:hAnsi="Times New Roman" w:eastAsia="宋体" w:cs="Times New Roman"/>
                <w:kern w:val="0"/>
                <w:szCs w:val="21"/>
                <w:lang w:val="en-US" w:eastAsia="zh-CN"/>
              </w:rPr>
              <w:t>06</w:t>
            </w:r>
            <w:r>
              <w:rPr>
                <w:rFonts w:hint="default" w:ascii="Times New Roman" w:hAnsi="Times New Roman" w:eastAsia="宋体" w:cs="Times New Roman"/>
                <w:kern w:val="0"/>
                <w:szCs w:val="21"/>
              </w:rPr>
              <w:t>）</w:t>
            </w:r>
            <w:r>
              <w:rPr>
                <w:rFonts w:hint="default" w:ascii="Times New Roman" w:hAnsi="Times New Roman" w:eastAsia="宋体" w:cs="Times New Roman"/>
                <w:kern w:val="0"/>
                <w:szCs w:val="21"/>
                <w:lang w:val="en-US" w:eastAsia="zh-CN"/>
              </w:rPr>
              <w:t>标准限值</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色度</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度</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浊度</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NTU</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臭和味</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无异臭异味</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无异臭异味</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无异臭异味</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无异臭异味</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无异臭异味</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肉眼可见物</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无肉眼可见物</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无肉眼可见物</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无肉眼可见物</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无肉眼可见物</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铬（六价）</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＜0.004</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＜0.004</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＜0.004</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＜0.004</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PH值</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PH单位</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6.5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6.7</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6.57</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6.</w:t>
            </w:r>
            <w:r>
              <w:rPr>
                <w:rFonts w:hint="eastAsia" w:ascii="Times New Roman" w:hAnsi="Times New Roman" w:eastAsia="宋体" w:cs="Times New Roman"/>
                <w:kern w:val="0"/>
                <w:szCs w:val="21"/>
                <w:lang w:val="en-US" w:eastAsia="zh-CN"/>
              </w:rPr>
              <w:t>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不小于6.5不大于8.5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铁</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0.1</w:t>
            </w:r>
            <w:r>
              <w:rPr>
                <w:rFonts w:hint="eastAsia" w:ascii="Times New Roman" w:hAnsi="Times New Roman" w:eastAsia="宋体" w:cs="Times New Roman"/>
                <w:kern w:val="0"/>
                <w:szCs w:val="21"/>
                <w:lang w:val="en-US" w:eastAsia="zh-CN"/>
              </w:rPr>
              <w:t>8</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0.02</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2</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0.3</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锰</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0.02</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6</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r>
      <w:tr>
        <w:tblPrEx>
          <w:tblCellMar>
            <w:top w:w="0" w:type="dxa"/>
            <w:left w:w="108" w:type="dxa"/>
            <w:bottom w:w="0" w:type="dxa"/>
            <w:right w:w="108" w:type="dxa"/>
          </w:tblCellMar>
        </w:tblPrEx>
        <w:trPr>
          <w:trHeight w:val="9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氯化物</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w:t>
            </w:r>
            <w:r>
              <w:rPr>
                <w:rFonts w:hint="eastAsia" w:ascii="Times New Roman" w:hAnsi="Times New Roman" w:eastAsia="宋体" w:cs="Times New Roman"/>
                <w:kern w:val="0"/>
                <w:szCs w:val="21"/>
                <w:lang w:val="en-US" w:eastAsia="zh-CN"/>
              </w:rPr>
              <w:t>1</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20.8</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25.9</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0.81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硫酸盐</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1.41</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18.5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1.58</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1.63</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总硬度</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57.</w:t>
            </w:r>
            <w:r>
              <w:rPr>
                <w:rFonts w:hint="eastAsia" w:ascii="Times New Roman" w:hAnsi="Times New Roman" w:eastAsia="宋体" w:cs="Times New Roman"/>
                <w:kern w:val="0"/>
                <w:szCs w:val="21"/>
                <w:lang w:val="en-US" w:eastAsia="zh-CN"/>
              </w:rPr>
              <w:t>9</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57.</w:t>
            </w:r>
            <w:r>
              <w:rPr>
                <w:rFonts w:hint="eastAsia" w:ascii="Times New Roman" w:hAnsi="Times New Roman" w:eastAsia="宋体" w:cs="Times New Roman"/>
                <w:kern w:val="0"/>
                <w:szCs w:val="21"/>
                <w:lang w:val="en-US" w:eastAsia="zh-CN"/>
              </w:rPr>
              <w:t>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57.</w:t>
            </w:r>
            <w:r>
              <w:rPr>
                <w:rFonts w:hint="eastAsia" w:ascii="Times New Roman" w:hAnsi="Times New Roman" w:eastAsia="宋体" w:cs="Times New Roman"/>
                <w:kern w:val="0"/>
                <w:szCs w:val="21"/>
                <w:lang w:val="en-US" w:eastAsia="zh-CN"/>
              </w:rPr>
              <w:t>2</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5</w:t>
            </w:r>
            <w:r>
              <w:rPr>
                <w:rFonts w:hint="eastAsia" w:ascii="Times New Roman" w:hAnsi="Times New Roman" w:eastAsia="宋体" w:cs="Times New Roman"/>
                <w:kern w:val="0"/>
                <w:szCs w:val="21"/>
                <w:lang w:val="en-US" w:eastAsia="zh-CN"/>
              </w:rPr>
              <w:t>8.1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450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耗氧量</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1.01</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1.03</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98</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91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13</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氨氮</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08</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08</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7</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8</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14</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氟化物</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砷</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w:t>
            </w:r>
            <w:r>
              <w:rPr>
                <w:rFonts w:hint="eastAsia" w:ascii="Times New Roman" w:hAnsi="Times New Roman" w:eastAsia="宋体" w:cs="Times New Roman"/>
                <w:kern w:val="0"/>
                <w:szCs w:val="21"/>
                <w:lang w:val="en-US" w:eastAsia="zh-CN"/>
              </w:rPr>
              <w:t>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w:t>
            </w:r>
            <w:r>
              <w:rPr>
                <w:rFonts w:hint="eastAsia" w:ascii="Times New Roman" w:hAnsi="Times New Roman" w:eastAsia="宋体" w:cs="Times New Roman"/>
                <w:kern w:val="0"/>
                <w:szCs w:val="21"/>
                <w:lang w:val="en-US" w:eastAsia="zh-CN"/>
              </w:rPr>
              <w:t>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16</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汞</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0.0007</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w:t>
            </w:r>
            <w:r>
              <w:rPr>
                <w:rFonts w:hint="eastAsia" w:ascii="Times New Roman" w:hAnsi="Times New Roman" w:eastAsia="宋体" w:cs="Times New Roman"/>
                <w:kern w:val="0"/>
                <w:szCs w:val="21"/>
                <w:lang w:val="en-US" w:eastAsia="zh-CN"/>
              </w:rPr>
              <w:t>2</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w:t>
            </w:r>
            <w:r>
              <w:rPr>
                <w:rFonts w:hint="eastAsia" w:ascii="Times New Roman" w:hAnsi="Times New Roman" w:eastAsia="宋体" w:cs="Times New Roman"/>
                <w:kern w:val="0"/>
                <w:szCs w:val="21"/>
                <w:lang w:val="en-US" w:eastAsia="zh-CN"/>
              </w:rPr>
              <w:t>4</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17</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硝酸盐</w:t>
            </w:r>
            <w:r>
              <w:rPr>
                <w:rFonts w:hint="default" w:ascii="Times New Roman" w:hAnsi="Times New Roman" w:eastAsia="宋体" w:cs="Times New Roman"/>
                <w:kern w:val="0"/>
                <w:szCs w:val="21"/>
                <w:lang w:eastAsia="zh-CN"/>
              </w:rPr>
              <w:t>（</w:t>
            </w:r>
            <w:r>
              <w:rPr>
                <w:rFonts w:hint="default" w:ascii="Times New Roman" w:hAnsi="Times New Roman" w:eastAsia="宋体" w:cs="Times New Roman"/>
                <w:kern w:val="0"/>
                <w:szCs w:val="21"/>
                <w:lang w:val="en-US" w:eastAsia="zh-CN"/>
              </w:rPr>
              <w:t>以N计</w:t>
            </w:r>
            <w:r>
              <w:rPr>
                <w:rFonts w:hint="default" w:ascii="Times New Roman" w:hAnsi="Times New Roman" w:eastAsia="宋体" w:cs="Times New Roman"/>
                <w:kern w:val="0"/>
                <w:szCs w:val="21"/>
                <w:lang w:eastAsia="zh-CN"/>
              </w:rPr>
              <w:t>）</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27</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85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0.34</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29</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18</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铅</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19</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镉</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0.005</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铜</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21</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锌</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＜0.10</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22</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溶解性总固体</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w:t>
            </w:r>
            <w:r>
              <w:rPr>
                <w:rFonts w:hint="eastAsia" w:ascii="Times New Roman" w:hAnsi="Times New Roman" w:eastAsia="宋体" w:cs="Times New Roman"/>
                <w:kern w:val="0"/>
                <w:szCs w:val="21"/>
                <w:lang w:val="en-US" w:eastAsia="zh-CN"/>
              </w:rPr>
              <w:t>38</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w:t>
            </w:r>
            <w:r>
              <w:rPr>
                <w:rFonts w:hint="eastAsia" w:ascii="Times New Roman" w:hAnsi="Times New Roman" w:eastAsia="宋体" w:cs="Times New Roman"/>
                <w:kern w:val="0"/>
                <w:szCs w:val="21"/>
                <w:lang w:val="en-US" w:eastAsia="zh-CN"/>
              </w:rPr>
              <w:t>39</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w:t>
            </w:r>
            <w:r>
              <w:rPr>
                <w:rFonts w:hint="eastAsia" w:ascii="Times New Roman" w:hAnsi="Times New Roman" w:eastAsia="宋体" w:cs="Times New Roman"/>
                <w:kern w:val="0"/>
                <w:szCs w:val="21"/>
                <w:lang w:val="en-US" w:eastAsia="zh-CN"/>
              </w:rPr>
              <w:t>35</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14</w:t>
            </w:r>
            <w:r>
              <w:rPr>
                <w:rFonts w:hint="eastAsia" w:ascii="Times New Roman" w:hAnsi="Times New Roman" w:eastAsia="宋体" w:cs="Times New Roman"/>
                <w:kern w:val="0"/>
                <w:szCs w:val="21"/>
                <w:lang w:val="en-US" w:eastAsia="zh-CN"/>
              </w:rPr>
              <w:t>1</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1000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23</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菌落总数</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cfu/mL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15</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w:t>
            </w:r>
            <w:r>
              <w:rPr>
                <w:rFonts w:hint="eastAsia" w:ascii="Times New Roman" w:hAnsi="Times New Roman" w:eastAsia="宋体" w:cs="Times New Roman"/>
                <w:kern w:val="0"/>
                <w:szCs w:val="21"/>
                <w:lang w:val="en-US" w:eastAsia="zh-CN"/>
              </w:rPr>
              <w:t>0</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64</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24</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总大肠菌群</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MPN/100mL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不得检出</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铝</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＜0.008</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＜0.008</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＜0.008</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＜0.008</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0.2</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26</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挥发酚类（以苯酚计）</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27</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氰化物</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r>
      <w:tr>
        <w:tblPrEx>
          <w:tblCellMar>
            <w:top w:w="0" w:type="dxa"/>
            <w:left w:w="108" w:type="dxa"/>
            <w:bottom w:w="0" w:type="dxa"/>
            <w:right w:w="108" w:type="dxa"/>
          </w:tblCellMar>
        </w:tblPrEx>
        <w:trPr>
          <w:trHeight w:val="9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28</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阴离子合成洗涤剂</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＜0.05</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＜0.05</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＜0.05</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＜0.05</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0.3</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29</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硒</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＜0.0005</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30</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三氯甲烷</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0.06</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31</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四氯化碳</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＜0.0001</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＜0.0001</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＜0.0001</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＜0.0001</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32</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亚</w:t>
            </w:r>
            <w:r>
              <w:rPr>
                <w:rFonts w:hint="default" w:ascii="Times New Roman" w:hAnsi="Times New Roman" w:eastAsia="宋体" w:cs="Times New Roman"/>
                <w:kern w:val="0"/>
                <w:szCs w:val="21"/>
                <w:lang w:val="en-US" w:eastAsia="zh-CN"/>
              </w:rPr>
              <w:t>氯</w:t>
            </w:r>
            <w:r>
              <w:rPr>
                <w:rFonts w:hint="default" w:ascii="Times New Roman" w:hAnsi="Times New Roman" w:eastAsia="宋体" w:cs="Times New Roman"/>
                <w:kern w:val="0"/>
                <w:szCs w:val="21"/>
              </w:rPr>
              <w:t>酸盐</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05</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＜0.001</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eastAsia="zh-CN"/>
              </w:rPr>
              <w:t>——</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0.7</w:t>
            </w:r>
          </w:p>
        </w:tc>
      </w:tr>
    </w:tbl>
    <w:p>
      <w:pPr>
        <w:spacing w:line="360" w:lineRule="auto"/>
        <w:ind w:firstLine="480" w:firstLineChars="200"/>
        <w:jc w:val="left"/>
        <w:rPr>
          <w:rFonts w:hint="eastAsia"/>
          <w:sz w:val="24"/>
        </w:rPr>
      </w:pPr>
    </w:p>
    <w:p>
      <w:pPr>
        <w:snapToGrid w:val="0"/>
        <w:jc w:val="center"/>
        <w:rPr>
          <w:rFonts w:hint="eastAsia"/>
          <w:b/>
          <w:color w:val="auto"/>
          <w:szCs w:val="21"/>
        </w:rPr>
      </w:pPr>
    </w:p>
    <w:p>
      <w:pPr>
        <w:snapToGrid w:val="0"/>
        <w:jc w:val="center"/>
        <w:rPr>
          <w:rFonts w:hint="eastAsia"/>
          <w:b/>
          <w:color w:val="auto"/>
          <w:szCs w:val="21"/>
        </w:rPr>
      </w:pPr>
    </w:p>
    <w:p>
      <w:pPr>
        <w:snapToGrid w:val="0"/>
        <w:jc w:val="center"/>
        <w:rPr>
          <w:rFonts w:hint="eastAsia"/>
          <w:b/>
          <w:color w:val="auto"/>
          <w:szCs w:val="21"/>
        </w:rPr>
      </w:pPr>
    </w:p>
    <w:p>
      <w:pPr>
        <w:pStyle w:val="2"/>
        <w:rPr>
          <w:rFonts w:hint="eastAsia"/>
        </w:rPr>
      </w:pPr>
    </w:p>
    <w:p>
      <w:pPr>
        <w:snapToGrid w:val="0"/>
        <w:jc w:val="center"/>
        <w:rPr>
          <w:rFonts w:hint="eastAsia"/>
          <w:b/>
          <w:color w:val="auto"/>
          <w:szCs w:val="21"/>
        </w:rPr>
      </w:pPr>
    </w:p>
    <w:p>
      <w:pPr>
        <w:snapToGrid w:val="0"/>
        <w:jc w:val="center"/>
        <w:rPr>
          <w:rFonts w:hint="eastAsia"/>
          <w:b/>
          <w:color w:val="auto"/>
          <w:szCs w:val="21"/>
        </w:rPr>
      </w:pPr>
    </w:p>
    <w:p>
      <w:pPr>
        <w:snapToGrid w:val="0"/>
        <w:jc w:val="center"/>
        <w:rPr>
          <w:rFonts w:hint="eastAsia"/>
          <w:b/>
          <w:color w:val="auto"/>
          <w:szCs w:val="21"/>
        </w:rPr>
      </w:pPr>
    </w:p>
    <w:p>
      <w:pPr>
        <w:snapToGrid w:val="0"/>
        <w:jc w:val="center"/>
        <w:rPr>
          <w:rFonts w:ascii="宋体" w:hAnsi="宋体" w:eastAsia="宋体" w:cs="Times New Roman"/>
          <w:b/>
          <w:color w:val="auto"/>
        </w:rPr>
      </w:pPr>
      <w:r>
        <w:rPr>
          <w:rFonts w:hint="eastAsia"/>
          <w:b/>
          <w:color w:val="auto"/>
          <w:szCs w:val="21"/>
        </w:rPr>
        <w:t>表2-4-</w:t>
      </w:r>
      <w:r>
        <w:rPr>
          <w:rFonts w:hint="eastAsia"/>
          <w:b/>
          <w:color w:val="auto"/>
          <w:szCs w:val="21"/>
          <w:lang w:val="en-US" w:eastAsia="zh-CN"/>
        </w:rPr>
        <w:t>3</w:t>
      </w:r>
      <w:r>
        <w:rPr>
          <w:rFonts w:hint="eastAsia"/>
          <w:b/>
          <w:color w:val="auto"/>
          <w:szCs w:val="21"/>
        </w:rPr>
        <w:t xml:space="preserve">   201</w:t>
      </w:r>
      <w:r>
        <w:rPr>
          <w:rFonts w:hint="eastAsia"/>
          <w:b/>
          <w:color w:val="auto"/>
          <w:szCs w:val="21"/>
          <w:lang w:val="en-US" w:eastAsia="zh-CN"/>
        </w:rPr>
        <w:t>8</w:t>
      </w:r>
      <w:r>
        <w:rPr>
          <w:rFonts w:hint="eastAsia"/>
          <w:b/>
          <w:color w:val="auto"/>
          <w:szCs w:val="21"/>
        </w:rPr>
        <w:t>年以及2019年湘阴县</w:t>
      </w:r>
      <w:r>
        <w:rPr>
          <w:rFonts w:hint="eastAsia"/>
          <w:b/>
          <w:color w:val="auto"/>
          <w:szCs w:val="21"/>
          <w:lang w:eastAsia="zh-CN"/>
        </w:rPr>
        <w:t>石塘镇</w:t>
      </w:r>
      <w:r>
        <w:rPr>
          <w:rFonts w:hint="eastAsia"/>
          <w:b/>
          <w:color w:val="auto"/>
          <w:szCs w:val="21"/>
          <w:lang w:val="en-US" w:eastAsia="zh-CN"/>
        </w:rPr>
        <w:t>长仑水厂末梢水</w:t>
      </w:r>
      <w:r>
        <w:rPr>
          <w:rFonts w:hint="eastAsia"/>
          <w:b/>
          <w:color w:val="auto"/>
          <w:szCs w:val="21"/>
        </w:rPr>
        <w:t>水质</w:t>
      </w:r>
      <w:r>
        <w:rPr>
          <w:rFonts w:hint="eastAsia"/>
          <w:b/>
          <w:color w:val="auto"/>
          <w:szCs w:val="21"/>
          <w:lang w:val="en-US" w:eastAsia="zh-CN"/>
        </w:rPr>
        <w:t>常规</w:t>
      </w:r>
      <w:r>
        <w:rPr>
          <w:rFonts w:hint="eastAsia"/>
          <w:b/>
          <w:color w:val="auto"/>
          <w:szCs w:val="21"/>
        </w:rPr>
        <w:t>检测明细表</w:t>
      </w:r>
    </w:p>
    <w:tbl>
      <w:tblPr>
        <w:tblStyle w:val="19"/>
        <w:tblW w:w="13363" w:type="dxa"/>
        <w:jc w:val="center"/>
        <w:tblLayout w:type="fixed"/>
        <w:tblCellMar>
          <w:top w:w="0" w:type="dxa"/>
          <w:left w:w="108" w:type="dxa"/>
          <w:bottom w:w="0" w:type="dxa"/>
          <w:right w:w="108" w:type="dxa"/>
        </w:tblCellMar>
      </w:tblPr>
      <w:tblGrid>
        <w:gridCol w:w="762"/>
        <w:gridCol w:w="2234"/>
        <w:gridCol w:w="1061"/>
        <w:gridCol w:w="1617"/>
        <w:gridCol w:w="1618"/>
        <w:gridCol w:w="1586"/>
        <w:gridCol w:w="1564"/>
        <w:gridCol w:w="2921"/>
      </w:tblGrid>
      <w:tr>
        <w:tblPrEx>
          <w:tblCellMar>
            <w:top w:w="0" w:type="dxa"/>
            <w:left w:w="108" w:type="dxa"/>
            <w:bottom w:w="0" w:type="dxa"/>
            <w:right w:w="108" w:type="dxa"/>
          </w:tblCellMar>
        </w:tblPrEx>
        <w:trPr>
          <w:trHeight w:val="0" w:hRule="atLeast"/>
          <w:jc w:val="center"/>
        </w:trPr>
        <w:tc>
          <w:tcPr>
            <w:tcW w:w="7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序号</w:t>
            </w:r>
          </w:p>
        </w:tc>
        <w:tc>
          <w:tcPr>
            <w:tcW w:w="223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检验项目名称</w:t>
            </w:r>
          </w:p>
        </w:tc>
        <w:tc>
          <w:tcPr>
            <w:tcW w:w="106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单位</w:t>
            </w:r>
          </w:p>
        </w:tc>
        <w:tc>
          <w:tcPr>
            <w:tcW w:w="6385"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检测结果</w:t>
            </w:r>
          </w:p>
        </w:tc>
        <w:tc>
          <w:tcPr>
            <w:tcW w:w="292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评价标准值</w:t>
            </w:r>
          </w:p>
        </w:tc>
      </w:tr>
      <w:tr>
        <w:tblPrEx>
          <w:tblCellMar>
            <w:top w:w="0" w:type="dxa"/>
            <w:left w:w="108" w:type="dxa"/>
            <w:bottom w:w="0" w:type="dxa"/>
            <w:right w:w="108" w:type="dxa"/>
          </w:tblCellMar>
        </w:tblPrEx>
        <w:trPr>
          <w:trHeight w:val="0" w:hRule="atLeast"/>
          <w:jc w:val="center"/>
        </w:trPr>
        <w:tc>
          <w:tcPr>
            <w:tcW w:w="76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2234"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rPr>
            </w:pPr>
          </w:p>
        </w:tc>
        <w:tc>
          <w:tcPr>
            <w:tcW w:w="106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宋体" w:cs="Times New Roman"/>
                <w:kern w:val="0"/>
                <w:szCs w:val="21"/>
                <w:lang w:val="en-US" w:eastAsia="zh-CN"/>
              </w:rPr>
            </w:pPr>
          </w:p>
        </w:tc>
        <w:tc>
          <w:tcPr>
            <w:tcW w:w="16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2018年丰水期</w:t>
            </w:r>
          </w:p>
        </w:tc>
        <w:tc>
          <w:tcPr>
            <w:tcW w:w="16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2018年枯水期</w:t>
            </w:r>
          </w:p>
        </w:tc>
        <w:tc>
          <w:tcPr>
            <w:tcW w:w="15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2019年3月</w:t>
            </w:r>
          </w:p>
        </w:tc>
        <w:tc>
          <w:tcPr>
            <w:tcW w:w="156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color w:val="FF0000"/>
                <w:kern w:val="0"/>
                <w:szCs w:val="21"/>
                <w:lang w:val="en-US" w:eastAsia="zh-CN"/>
              </w:rPr>
            </w:pPr>
            <w:r>
              <w:rPr>
                <w:rFonts w:hint="default" w:ascii="Times New Roman" w:hAnsi="Times New Roman" w:eastAsia="宋体" w:cs="Times New Roman"/>
                <w:color w:val="auto"/>
                <w:kern w:val="0"/>
                <w:szCs w:val="21"/>
                <w:lang w:val="en-US" w:eastAsia="zh-CN"/>
              </w:rPr>
              <w:t>2019年5月</w:t>
            </w:r>
          </w:p>
        </w:tc>
        <w:tc>
          <w:tcPr>
            <w:tcW w:w="292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《生活饮用水卫生标准》（GB5749-2006）标准限值</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色度</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度</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15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浊度</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NTU</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臭和味</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无异臭异味</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无异臭异味</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无异臭异味</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无异臭异味</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无异臭异味</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肉眼可见物</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无肉眼可见物</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无肉眼可见物</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无肉眼可见物</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无肉眼可见物</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无</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铬（六价）</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＜0.004</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＜0.004</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＜0.004</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＜0.004</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PH值</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PH单位</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6.5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6.7</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6.9</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6.5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不小于6.5不大于8.5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铁</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r>
              <w:rPr>
                <w:rFonts w:hint="eastAsia" w:ascii="Times New Roman" w:hAnsi="Times New Roman" w:eastAsia="宋体" w:cs="Times New Roman"/>
                <w:kern w:val="0"/>
                <w:szCs w:val="21"/>
                <w:lang w:val="en-US" w:eastAsia="zh-CN"/>
              </w:rPr>
              <w:t>9</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8</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4</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0.3</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锰</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0.02</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氯化物</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w:t>
            </w:r>
            <w:r>
              <w:rPr>
                <w:rFonts w:hint="eastAsia" w:ascii="Times New Roman" w:hAnsi="Times New Roman" w:eastAsia="宋体" w:cs="Times New Roman"/>
                <w:kern w:val="0"/>
                <w:szCs w:val="21"/>
                <w:lang w:val="en-US" w:eastAsia="zh-CN"/>
              </w:rPr>
              <w:t>1.0</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w:t>
            </w:r>
            <w:r>
              <w:rPr>
                <w:rFonts w:hint="eastAsia" w:ascii="Times New Roman" w:hAnsi="Times New Roman" w:eastAsia="宋体" w:cs="Times New Roman"/>
                <w:kern w:val="0"/>
                <w:szCs w:val="21"/>
                <w:lang w:val="en-US" w:eastAsia="zh-CN"/>
              </w:rPr>
              <w:t>7</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7.4</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0.83</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硫酸盐</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1.33</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18.4</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7.01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1.66</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总硬度</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r>
              <w:rPr>
                <w:rFonts w:hint="eastAsia" w:ascii="Times New Roman" w:hAnsi="Times New Roman" w:eastAsia="宋体" w:cs="Times New Roman"/>
                <w:kern w:val="0"/>
                <w:szCs w:val="21"/>
                <w:lang w:val="en-US" w:eastAsia="zh-CN"/>
              </w:rPr>
              <w:t>8.2</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56.</w:t>
            </w:r>
            <w:r>
              <w:rPr>
                <w:rFonts w:hint="eastAsia" w:ascii="Times New Roman" w:hAnsi="Times New Roman" w:eastAsia="宋体" w:cs="Times New Roman"/>
                <w:kern w:val="0"/>
                <w:szCs w:val="21"/>
                <w:lang w:val="en-US" w:eastAsia="zh-CN"/>
              </w:rPr>
              <w:t>9</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57.3</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58.4</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450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耗氧量</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1.00</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0.84</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0.89</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13</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氨氮</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09</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7</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0.08</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0.07</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0.5</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14</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氟化物</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砷</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＜0.001</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16</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汞</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0.0007</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＜0.0001</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w:t>
            </w:r>
            <w:r>
              <w:rPr>
                <w:rFonts w:hint="eastAsia" w:ascii="Times New Roman" w:hAnsi="Times New Roman" w:eastAsia="宋体" w:cs="Times New Roman"/>
                <w:kern w:val="0"/>
                <w:szCs w:val="21"/>
                <w:lang w:val="en-US" w:eastAsia="zh-CN"/>
              </w:rPr>
              <w:t>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17</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硝酸盐</w:t>
            </w:r>
            <w:r>
              <w:rPr>
                <w:rFonts w:hint="default" w:ascii="Times New Roman" w:hAnsi="Times New Roman" w:eastAsia="宋体" w:cs="Times New Roman"/>
                <w:kern w:val="0"/>
                <w:szCs w:val="21"/>
                <w:lang w:eastAsia="zh-CN"/>
              </w:rPr>
              <w:t>（</w:t>
            </w:r>
            <w:r>
              <w:rPr>
                <w:rFonts w:hint="default" w:ascii="Times New Roman" w:hAnsi="Times New Roman" w:eastAsia="宋体" w:cs="Times New Roman"/>
                <w:kern w:val="0"/>
                <w:szCs w:val="21"/>
                <w:lang w:val="en-US" w:eastAsia="zh-CN"/>
              </w:rPr>
              <w:t>以N计</w:t>
            </w:r>
            <w:r>
              <w:rPr>
                <w:rFonts w:hint="default" w:ascii="Times New Roman" w:hAnsi="Times New Roman" w:eastAsia="宋体" w:cs="Times New Roman"/>
                <w:kern w:val="0"/>
                <w:szCs w:val="21"/>
                <w:lang w:eastAsia="zh-CN"/>
              </w:rPr>
              <w:t>）</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28</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84</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1.01</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lang w:val="en-US" w:eastAsia="zh-CN"/>
              </w:rPr>
              <w:t>30</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20</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18</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铅</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62"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19</w:t>
            </w:r>
          </w:p>
        </w:tc>
        <w:tc>
          <w:tcPr>
            <w:tcW w:w="223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镉</w:t>
            </w:r>
          </w:p>
        </w:tc>
        <w:tc>
          <w:tcPr>
            <w:tcW w:w="106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＜0.0005</w:t>
            </w:r>
          </w:p>
        </w:tc>
        <w:tc>
          <w:tcPr>
            <w:tcW w:w="1618"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＜0.0005</w:t>
            </w:r>
          </w:p>
        </w:tc>
        <w:tc>
          <w:tcPr>
            <w:tcW w:w="1586"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＜0.0005</w:t>
            </w:r>
          </w:p>
        </w:tc>
        <w:tc>
          <w:tcPr>
            <w:tcW w:w="1564"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＜0.0005</w:t>
            </w:r>
          </w:p>
        </w:tc>
        <w:tc>
          <w:tcPr>
            <w:tcW w:w="2921" w:type="dxa"/>
            <w:tcBorders>
              <w:top w:val="nil"/>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0.005</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铜</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21</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锌</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＜0.10</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22</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溶解性总固体</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136</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w:t>
            </w:r>
            <w:r>
              <w:rPr>
                <w:rFonts w:hint="eastAsia" w:ascii="Times New Roman" w:hAnsi="Times New Roman" w:eastAsia="宋体" w:cs="Times New Roman"/>
                <w:kern w:val="0"/>
                <w:szCs w:val="21"/>
                <w:lang w:val="en-US" w:eastAsia="zh-CN"/>
              </w:rPr>
              <w:t>38</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150</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14</w:t>
            </w:r>
            <w:r>
              <w:rPr>
                <w:rFonts w:hint="eastAsia" w:ascii="Times New Roman" w:hAnsi="Times New Roman" w:eastAsia="宋体" w:cs="Times New Roman"/>
                <w:kern w:val="0"/>
                <w:szCs w:val="21"/>
                <w:lang w:val="en-US" w:eastAsia="zh-CN"/>
              </w:rPr>
              <w:t>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1000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23</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菌落总数</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cfu/mL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18</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4</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28</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30</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100</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24</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总大肠菌群</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MPN/100mL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不得检出</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25</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铝</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＜0.008</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0.05</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＜0.008</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＜0.008</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0.2</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26</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挥发酚类（以苯酚计）</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27</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氰化物</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0.05</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28</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阴离子合成洗涤剂</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＜0.05</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＜0.05</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＜0.05</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＜0.05</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0.3</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29</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硒</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＜0.0005</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kern w:val="0"/>
                <w:szCs w:val="21"/>
                <w:lang w:val="en-US" w:eastAsia="zh-CN"/>
              </w:rPr>
              <w:t>——</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0.01</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30</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三氯甲烷</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＜0.0002</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＜0.0002</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＜0.0002</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＜0.0002</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0.06</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31</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四氯化碳</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＜0.0001</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＜0.0001</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＜0.0001</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＜0.0001</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0.002</w:t>
            </w:r>
          </w:p>
        </w:tc>
      </w:tr>
      <w:tr>
        <w:tblPrEx>
          <w:tblCellMar>
            <w:top w:w="0" w:type="dxa"/>
            <w:left w:w="108" w:type="dxa"/>
            <w:bottom w:w="0" w:type="dxa"/>
            <w:right w:w="108" w:type="dxa"/>
          </w:tblCellMar>
        </w:tblPrEx>
        <w:trPr>
          <w:trHeight w:val="0" w:hRule="atLeast"/>
          <w:jc w:val="center"/>
        </w:trPr>
        <w:tc>
          <w:tcPr>
            <w:tcW w:w="76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32</w:t>
            </w:r>
          </w:p>
        </w:tc>
        <w:tc>
          <w:tcPr>
            <w:tcW w:w="223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亚</w:t>
            </w:r>
            <w:r>
              <w:rPr>
                <w:rFonts w:hint="default" w:ascii="Times New Roman" w:hAnsi="Times New Roman" w:eastAsia="宋体" w:cs="Times New Roman"/>
                <w:kern w:val="0"/>
                <w:szCs w:val="21"/>
                <w:lang w:val="en-US" w:eastAsia="zh-CN"/>
              </w:rPr>
              <w:t>氯</w:t>
            </w:r>
            <w:r>
              <w:rPr>
                <w:rFonts w:hint="default" w:ascii="Times New Roman" w:hAnsi="Times New Roman" w:eastAsia="宋体" w:cs="Times New Roman"/>
                <w:kern w:val="0"/>
                <w:szCs w:val="21"/>
              </w:rPr>
              <w:t>酸盐</w:t>
            </w:r>
          </w:p>
        </w:tc>
        <w:tc>
          <w:tcPr>
            <w:tcW w:w="106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mg/L</w:t>
            </w:r>
          </w:p>
        </w:tc>
        <w:tc>
          <w:tcPr>
            <w:tcW w:w="1617"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w:t>
            </w:r>
            <w:r>
              <w:rPr>
                <w:rFonts w:hint="eastAsia" w:ascii="Times New Roman" w:hAnsi="Times New Roman" w:eastAsia="宋体" w:cs="Times New Roman"/>
                <w:kern w:val="0"/>
                <w:szCs w:val="21"/>
                <w:lang w:val="en-US" w:eastAsia="zh-CN"/>
              </w:rPr>
              <w:t>5</w:t>
            </w:r>
          </w:p>
        </w:tc>
        <w:tc>
          <w:tcPr>
            <w:tcW w:w="1618"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＜0.001</w:t>
            </w:r>
          </w:p>
        </w:tc>
        <w:tc>
          <w:tcPr>
            <w:tcW w:w="1586"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w:t>
            </w:r>
          </w:p>
        </w:tc>
        <w:tc>
          <w:tcPr>
            <w:tcW w:w="1564"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w:t>
            </w:r>
          </w:p>
        </w:tc>
        <w:tc>
          <w:tcPr>
            <w:tcW w:w="2921"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0.7</w:t>
            </w:r>
          </w:p>
        </w:tc>
      </w:tr>
    </w:tbl>
    <w:p>
      <w:pPr>
        <w:spacing w:line="360" w:lineRule="auto"/>
        <w:ind w:firstLine="480" w:firstLineChars="200"/>
        <w:jc w:val="left"/>
        <w:rPr>
          <w:rFonts w:hint="eastAsia"/>
          <w:sz w:val="24"/>
        </w:rPr>
      </w:pPr>
    </w:p>
    <w:bookmarkEnd w:id="86"/>
    <w:p>
      <w:pPr>
        <w:spacing w:line="360" w:lineRule="auto"/>
        <w:ind w:firstLine="480" w:firstLineChars="200"/>
        <w:jc w:val="left"/>
        <w:rPr>
          <w:rFonts w:hint="eastAsia"/>
          <w:sz w:val="24"/>
        </w:rPr>
      </w:pPr>
    </w:p>
    <w:p>
      <w:pPr>
        <w:spacing w:line="360" w:lineRule="auto"/>
        <w:ind w:firstLine="480" w:firstLineChars="200"/>
        <w:jc w:val="left"/>
        <w:rPr>
          <w:rFonts w:hint="eastAsia"/>
          <w:sz w:val="24"/>
        </w:rPr>
      </w:pPr>
    </w:p>
    <w:p>
      <w:pPr>
        <w:spacing w:line="360" w:lineRule="auto"/>
        <w:ind w:firstLine="480" w:firstLineChars="200"/>
        <w:jc w:val="left"/>
        <w:rPr>
          <w:rFonts w:hint="eastAsia"/>
          <w:sz w:val="24"/>
        </w:rPr>
        <w:sectPr>
          <w:pgSz w:w="16838" w:h="11905" w:orient="landscape"/>
          <w:pgMar w:top="1417" w:right="1134" w:bottom="1417" w:left="1134" w:header="850" w:footer="992" w:gutter="0"/>
          <w:paperSrc/>
          <w:pgBorders>
            <w:top w:val="none" w:sz="0" w:space="0"/>
            <w:left w:val="none" w:sz="0" w:space="0"/>
            <w:bottom w:val="none" w:sz="0" w:space="0"/>
            <w:right w:val="none" w:sz="0" w:space="0"/>
          </w:pgBorders>
          <w:pgNumType w:fmt="decimal"/>
          <w:cols w:space="0" w:num="1"/>
          <w:rtlGutter w:val="0"/>
          <w:docGrid w:type="lines" w:linePitch="317" w:charSpace="0"/>
        </w:sectPr>
      </w:pPr>
    </w:p>
    <w:p>
      <w:pPr>
        <w:spacing w:line="360" w:lineRule="auto"/>
        <w:ind w:firstLine="480" w:firstLineChars="200"/>
        <w:jc w:val="left"/>
        <w:rPr>
          <w:rFonts w:hint="eastAsia"/>
          <w:sz w:val="24"/>
          <w:lang w:eastAsia="zh-CN"/>
        </w:rPr>
      </w:pPr>
      <w:r>
        <w:rPr>
          <w:rFonts w:hint="eastAsia"/>
          <w:sz w:val="24"/>
        </w:rPr>
        <w:t>从表2-4-</w:t>
      </w:r>
      <w:r>
        <w:rPr>
          <w:rFonts w:hint="eastAsia"/>
          <w:sz w:val="24"/>
          <w:lang w:val="en-US" w:eastAsia="zh-CN"/>
        </w:rPr>
        <w:t>1分析</w:t>
      </w:r>
      <w:r>
        <w:rPr>
          <w:rFonts w:hint="eastAsia"/>
          <w:sz w:val="24"/>
        </w:rPr>
        <w:t>可知，</w:t>
      </w:r>
      <w:r>
        <w:rPr>
          <w:rFonts w:hint="eastAsia"/>
          <w:sz w:val="24"/>
          <w:lang w:val="en-US" w:eastAsia="zh-CN"/>
        </w:rPr>
        <w:t>长仑水厂</w:t>
      </w:r>
      <w:r>
        <w:rPr>
          <w:rFonts w:hint="eastAsia"/>
          <w:sz w:val="24"/>
        </w:rPr>
        <w:t>地下水</w:t>
      </w:r>
      <w:r>
        <w:rPr>
          <w:rFonts w:hint="eastAsia"/>
          <w:sz w:val="24"/>
          <w:lang w:val="en-US" w:eastAsia="zh-CN"/>
        </w:rPr>
        <w:t>原水</w:t>
      </w:r>
      <w:r>
        <w:rPr>
          <w:rFonts w:hint="eastAsia"/>
          <w:sz w:val="24"/>
        </w:rPr>
        <w:t>水质</w:t>
      </w:r>
      <w:r>
        <w:rPr>
          <w:rFonts w:hint="eastAsia"/>
          <w:sz w:val="24"/>
          <w:lang w:val="en-US" w:eastAsia="zh-CN"/>
        </w:rPr>
        <w:t>常规监测30项指标因子全部满足</w:t>
      </w:r>
      <w:r>
        <w:rPr>
          <w:rFonts w:hint="eastAsia"/>
          <w:sz w:val="24"/>
        </w:rPr>
        <w:t>《地下水质量标准》（GB/T14848-2017）Ⅲ类标准</w:t>
      </w:r>
      <w:r>
        <w:rPr>
          <w:rFonts w:hint="eastAsia"/>
          <w:sz w:val="24"/>
          <w:lang w:eastAsia="zh-CN"/>
        </w:rPr>
        <w:t>，从表2-4-</w:t>
      </w:r>
      <w:r>
        <w:rPr>
          <w:rFonts w:hint="eastAsia"/>
          <w:sz w:val="24"/>
          <w:lang w:val="en-US" w:eastAsia="zh-CN"/>
        </w:rPr>
        <w:t>2、表2-4-3</w:t>
      </w:r>
      <w:r>
        <w:rPr>
          <w:rFonts w:hint="eastAsia"/>
          <w:sz w:val="24"/>
          <w:lang w:eastAsia="zh-CN"/>
        </w:rPr>
        <w:t>分析可知，2018年以及2019年湘阴县</w:t>
      </w:r>
      <w:r>
        <w:rPr>
          <w:rFonts w:hint="eastAsia" w:ascii="Calibri" w:hAnsi="Calibri" w:eastAsia="宋体" w:cs="宋体"/>
          <w:sz w:val="24"/>
          <w:szCs w:val="22"/>
          <w:highlight w:val="none"/>
          <w:lang w:val="en-US" w:eastAsia="zh-CN" w:bidi="ar"/>
        </w:rPr>
        <w:t>石塘镇</w:t>
      </w:r>
      <w:r>
        <w:rPr>
          <w:rFonts w:hint="eastAsia"/>
          <w:sz w:val="24"/>
          <w:lang w:val="en-US" w:eastAsia="zh-CN"/>
        </w:rPr>
        <w:t>长仑</w:t>
      </w:r>
      <w:r>
        <w:rPr>
          <w:rFonts w:hint="eastAsia"/>
          <w:sz w:val="24"/>
          <w:lang w:eastAsia="zh-CN"/>
        </w:rPr>
        <w:t>水厂末梢水水质常规监测3</w:t>
      </w:r>
      <w:r>
        <w:rPr>
          <w:rFonts w:hint="eastAsia"/>
          <w:sz w:val="24"/>
          <w:lang w:val="en-US" w:eastAsia="zh-CN"/>
        </w:rPr>
        <w:t>2</w:t>
      </w:r>
      <w:r>
        <w:rPr>
          <w:rFonts w:hint="eastAsia"/>
          <w:sz w:val="24"/>
          <w:lang w:eastAsia="zh-CN"/>
        </w:rPr>
        <w:t>项指标因子</w:t>
      </w:r>
      <w:r>
        <w:rPr>
          <w:rFonts w:hint="eastAsia"/>
          <w:sz w:val="24"/>
          <w:lang w:val="en-US" w:eastAsia="zh-CN"/>
        </w:rPr>
        <w:t>除总大肠菌群外，其余31项指标因子</w:t>
      </w:r>
      <w:r>
        <w:rPr>
          <w:rFonts w:hint="eastAsia"/>
          <w:sz w:val="24"/>
          <w:lang w:eastAsia="zh-CN"/>
        </w:rPr>
        <w:t>全部满足《生活饮用水卫生标准》（GB5749-2006）标准限值。</w:t>
      </w:r>
    </w:p>
    <w:p>
      <w:pPr>
        <w:spacing w:line="360" w:lineRule="auto"/>
        <w:ind w:firstLine="480" w:firstLineChars="200"/>
        <w:jc w:val="left"/>
        <w:rPr>
          <w:rFonts w:hint="eastAsia"/>
          <w:sz w:val="24"/>
          <w:lang w:eastAsia="zh-CN"/>
        </w:rPr>
      </w:pPr>
      <w:r>
        <w:rPr>
          <w:rFonts w:hint="eastAsia"/>
          <w:sz w:val="24"/>
          <w:lang w:eastAsia="zh-CN"/>
        </w:rPr>
        <w:t>为</w:t>
      </w:r>
      <w:r>
        <w:rPr>
          <w:rFonts w:hint="eastAsia"/>
          <w:sz w:val="24"/>
          <w:lang w:val="en-US" w:eastAsia="zh-CN"/>
        </w:rPr>
        <w:t>保证饮水安全，</w:t>
      </w:r>
      <w:r>
        <w:rPr>
          <w:rFonts w:hint="eastAsia"/>
          <w:sz w:val="24"/>
          <w:lang w:eastAsia="zh-CN"/>
        </w:rPr>
        <w:t>使此水源地的水质符合标准，在原水中加入次氯酸钠，保证游离性余氯0.3-0.5mg/L。30分钟，可以基本消毒去除大肠菌群。</w:t>
      </w:r>
      <w:r>
        <w:rPr>
          <w:rFonts w:hint="eastAsia"/>
          <w:sz w:val="24"/>
          <w:lang w:val="en-US" w:eastAsia="zh-CN"/>
        </w:rPr>
        <w:t>如此</w:t>
      </w:r>
      <w:r>
        <w:rPr>
          <w:rFonts w:hint="eastAsia"/>
          <w:sz w:val="24"/>
          <w:lang w:eastAsia="zh-CN"/>
        </w:rPr>
        <w:t>复测3天，</w:t>
      </w:r>
      <w:r>
        <w:rPr>
          <w:rFonts w:hint="eastAsia"/>
          <w:sz w:val="24"/>
          <w:lang w:val="en-US" w:eastAsia="zh-CN"/>
        </w:rPr>
        <w:t>若总大肠菌群达到《生活饮用水卫生标准》（GB5749-2006）标准限值</w:t>
      </w:r>
      <w:r>
        <w:rPr>
          <w:rFonts w:hint="eastAsia"/>
          <w:sz w:val="24"/>
          <w:lang w:eastAsia="zh-CN"/>
        </w:rPr>
        <w:t>，</w:t>
      </w:r>
      <w:r>
        <w:rPr>
          <w:rFonts w:hint="eastAsia"/>
          <w:sz w:val="24"/>
          <w:lang w:val="en-US" w:eastAsia="zh-CN"/>
        </w:rPr>
        <w:t>可持续</w:t>
      </w:r>
      <w:r>
        <w:rPr>
          <w:rFonts w:hint="eastAsia"/>
          <w:sz w:val="24"/>
          <w:lang w:eastAsia="zh-CN"/>
        </w:rPr>
        <w:t>供水，</w:t>
      </w:r>
      <w:r>
        <w:rPr>
          <w:rFonts w:hint="eastAsia"/>
          <w:sz w:val="24"/>
          <w:lang w:val="en-US" w:eastAsia="zh-CN"/>
        </w:rPr>
        <w:t>长仑</w:t>
      </w:r>
      <w:r>
        <w:rPr>
          <w:rFonts w:hint="eastAsia"/>
          <w:sz w:val="24"/>
          <w:lang w:eastAsia="zh-CN"/>
        </w:rPr>
        <w:t>水厂每日常规监测</w:t>
      </w:r>
      <w:r>
        <w:rPr>
          <w:rFonts w:hint="eastAsia"/>
          <w:sz w:val="24"/>
          <w:lang w:val="en-US" w:eastAsia="zh-CN"/>
        </w:rPr>
        <w:t>中持续监测总大肠菌群指标因子</w:t>
      </w:r>
      <w:r>
        <w:rPr>
          <w:rFonts w:hint="eastAsia"/>
          <w:sz w:val="24"/>
          <w:lang w:eastAsia="zh-CN"/>
        </w:rPr>
        <w:t>。</w:t>
      </w:r>
    </w:p>
    <w:p>
      <w:pPr>
        <w:adjustRightInd w:val="0"/>
        <w:snapToGrid w:val="0"/>
        <w:spacing w:line="360" w:lineRule="auto"/>
        <w:ind w:firstLine="482" w:firstLineChars="200"/>
        <w:rPr>
          <w:rFonts w:hint="eastAsia" w:ascii="Calibri" w:hAnsi="Calibri" w:eastAsia="宋体" w:cs="宋体"/>
          <w:b/>
          <w:bCs/>
          <w:sz w:val="24"/>
          <w:szCs w:val="22"/>
          <w:lang w:val="en-US" w:eastAsia="zh-CN" w:bidi="ar"/>
        </w:rPr>
      </w:pPr>
      <w:r>
        <w:rPr>
          <w:rFonts w:hint="eastAsia" w:ascii="Calibri" w:hAnsi="Calibri" w:eastAsia="宋体" w:cs="宋体"/>
          <w:b/>
          <w:bCs/>
          <w:sz w:val="24"/>
          <w:szCs w:val="22"/>
          <w:lang w:val="en-US" w:eastAsia="zh-CN" w:bidi="ar"/>
        </w:rPr>
        <w:t>二、现状监测水质评价</w:t>
      </w:r>
    </w:p>
    <w:p>
      <w:pPr>
        <w:adjustRightInd w:val="0"/>
        <w:snapToGrid w:val="0"/>
        <w:spacing w:line="360" w:lineRule="auto"/>
        <w:ind w:firstLine="480" w:firstLineChars="200"/>
        <w:rPr>
          <w:rFonts w:hint="eastAsia" w:ascii="Calibri" w:hAnsi="Calibri" w:eastAsia="宋体" w:cs="宋体"/>
          <w:sz w:val="24"/>
          <w:szCs w:val="22"/>
          <w:lang w:val="en-US" w:eastAsia="zh-CN" w:bidi="ar"/>
        </w:rPr>
      </w:pPr>
      <w:r>
        <w:rPr>
          <w:rFonts w:hint="eastAsia" w:ascii="Calibri" w:hAnsi="Calibri" w:eastAsia="宋体" w:cs="宋体"/>
          <w:sz w:val="24"/>
          <w:szCs w:val="22"/>
          <w:lang w:bidi="ar"/>
        </w:rPr>
        <w:t>监测点位：</w:t>
      </w:r>
      <w:r>
        <w:rPr>
          <w:rFonts w:hint="eastAsia" w:ascii="Calibri" w:hAnsi="Calibri" w:eastAsia="宋体" w:cs="宋体"/>
          <w:sz w:val="24"/>
          <w:szCs w:val="22"/>
          <w:highlight w:val="none"/>
          <w:lang w:val="en-US" w:eastAsia="zh-CN" w:bidi="ar"/>
        </w:rPr>
        <w:t>一号水井原水</w:t>
      </w:r>
    </w:p>
    <w:p>
      <w:pPr>
        <w:adjustRightInd w:val="0"/>
        <w:snapToGrid w:val="0"/>
        <w:spacing w:line="360" w:lineRule="auto"/>
        <w:ind w:firstLine="480" w:firstLineChars="200"/>
        <w:rPr>
          <w:rFonts w:ascii="Calibri" w:hAnsi="Calibri" w:eastAsia="宋体" w:cs="宋体"/>
          <w:sz w:val="24"/>
          <w:szCs w:val="22"/>
        </w:rPr>
      </w:pPr>
      <w:r>
        <w:rPr>
          <w:rFonts w:hint="eastAsia" w:ascii="Calibri" w:hAnsi="Calibri" w:eastAsia="宋体" w:cs="宋体"/>
          <w:sz w:val="24"/>
          <w:szCs w:val="22"/>
        </w:rPr>
        <w:t>监测频次：监测一次</w:t>
      </w:r>
    </w:p>
    <w:p>
      <w:pPr>
        <w:adjustRightInd w:val="0"/>
        <w:snapToGrid w:val="0"/>
        <w:spacing w:line="360" w:lineRule="auto"/>
        <w:ind w:firstLine="480" w:firstLineChars="200"/>
        <w:rPr>
          <w:rFonts w:ascii="Calibri" w:hAnsi="Calibri" w:eastAsia="宋体" w:cs="宋体"/>
          <w:sz w:val="24"/>
          <w:szCs w:val="22"/>
        </w:rPr>
      </w:pPr>
      <w:r>
        <w:rPr>
          <w:rFonts w:hint="eastAsia" w:ascii="Calibri" w:hAnsi="Calibri" w:eastAsia="宋体" w:cs="宋体"/>
          <w:sz w:val="24"/>
          <w:szCs w:val="22"/>
        </w:rPr>
        <w:t>监测指标：《地下水质量标准》（GB/T14848-2017）中表1中的指标因子（碘化物、放射性指标除外），共36项。</w:t>
      </w:r>
    </w:p>
    <w:p>
      <w:pPr>
        <w:snapToGrid w:val="0"/>
        <w:spacing w:line="360" w:lineRule="auto"/>
        <w:jc w:val="center"/>
        <w:rPr>
          <w:b/>
          <w:szCs w:val="21"/>
        </w:rPr>
      </w:pPr>
      <w:r>
        <w:rPr>
          <w:rFonts w:hint="eastAsia"/>
          <w:b/>
          <w:szCs w:val="21"/>
        </w:rPr>
        <w:t>表2-4-4    2019年湘阴县</w:t>
      </w:r>
      <w:r>
        <w:rPr>
          <w:rFonts w:hint="eastAsia"/>
          <w:b/>
          <w:szCs w:val="21"/>
          <w:lang w:eastAsia="zh-CN"/>
        </w:rPr>
        <w:t>石塘镇长伦</w:t>
      </w:r>
      <w:r>
        <w:rPr>
          <w:rFonts w:hint="eastAsia"/>
          <w:b/>
          <w:szCs w:val="21"/>
        </w:rPr>
        <w:t>水厂原水水质检测明细表</w:t>
      </w:r>
    </w:p>
    <w:tbl>
      <w:tblPr>
        <w:tblStyle w:val="19"/>
        <w:tblW w:w="8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2169"/>
        <w:gridCol w:w="1375"/>
        <w:gridCol w:w="1226"/>
        <w:gridCol w:w="674"/>
        <w:gridCol w:w="2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vMerge w:val="restart"/>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序号</w:t>
            </w:r>
          </w:p>
        </w:tc>
        <w:tc>
          <w:tcPr>
            <w:tcW w:w="2169" w:type="dxa"/>
            <w:vMerge w:val="restart"/>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检验项目名称</w:t>
            </w:r>
          </w:p>
        </w:tc>
        <w:tc>
          <w:tcPr>
            <w:tcW w:w="1375" w:type="dxa"/>
            <w:vMerge w:val="restart"/>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单位</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检测结果</w:t>
            </w:r>
          </w:p>
        </w:tc>
        <w:tc>
          <w:tcPr>
            <w:tcW w:w="674"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评价标准</w:t>
            </w:r>
          </w:p>
        </w:tc>
        <w:tc>
          <w:tcPr>
            <w:tcW w:w="2117"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《地下水质量标准》（GB/T14848-2017）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vMerge w:val="continue"/>
            <w:tcBorders>
              <w:tl2br w:val="nil"/>
              <w:tr2bl w:val="nil"/>
            </w:tcBorders>
            <w:vAlign w:val="center"/>
          </w:tcPr>
          <w:p>
            <w:pPr>
              <w:widowControl/>
              <w:spacing w:line="360" w:lineRule="auto"/>
              <w:jc w:val="center"/>
              <w:rPr>
                <w:rFonts w:ascii="Times New Roman" w:hAnsi="Times New Roman" w:eastAsia="宋体" w:cs="Times New Roman"/>
                <w:kern w:val="0"/>
                <w:szCs w:val="21"/>
              </w:rPr>
            </w:pPr>
          </w:p>
        </w:tc>
        <w:tc>
          <w:tcPr>
            <w:tcW w:w="2169" w:type="dxa"/>
            <w:vMerge w:val="continue"/>
            <w:tcBorders>
              <w:tl2br w:val="nil"/>
              <w:tr2bl w:val="nil"/>
            </w:tcBorders>
            <w:vAlign w:val="center"/>
          </w:tcPr>
          <w:p>
            <w:pPr>
              <w:widowControl/>
              <w:spacing w:line="360" w:lineRule="auto"/>
              <w:jc w:val="center"/>
              <w:rPr>
                <w:rFonts w:ascii="Times New Roman" w:hAnsi="Times New Roman" w:eastAsia="宋体" w:cs="Times New Roman"/>
                <w:kern w:val="0"/>
                <w:szCs w:val="21"/>
              </w:rPr>
            </w:pPr>
          </w:p>
        </w:tc>
        <w:tc>
          <w:tcPr>
            <w:tcW w:w="1375" w:type="dxa"/>
            <w:vMerge w:val="continue"/>
            <w:tcBorders>
              <w:tl2br w:val="nil"/>
              <w:tr2bl w:val="nil"/>
            </w:tcBorders>
            <w:vAlign w:val="center"/>
          </w:tcPr>
          <w:p>
            <w:pPr>
              <w:widowControl/>
              <w:spacing w:line="360" w:lineRule="auto"/>
              <w:jc w:val="center"/>
              <w:rPr>
                <w:rFonts w:ascii="Times New Roman" w:hAnsi="Times New Roman" w:eastAsia="宋体" w:cs="Times New Roman"/>
                <w:kern w:val="0"/>
                <w:szCs w:val="21"/>
              </w:rPr>
            </w:pP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201</w:t>
            </w:r>
            <w:r>
              <w:rPr>
                <w:rFonts w:hint="eastAsia" w:ascii="Times New Roman" w:hAnsi="Times New Roman" w:eastAsia="宋体" w:cs="Times New Roman"/>
                <w:kern w:val="0"/>
                <w:szCs w:val="21"/>
              </w:rPr>
              <w:t>9</w:t>
            </w:r>
            <w:r>
              <w:rPr>
                <w:rFonts w:ascii="Times New Roman" w:hAnsi="Times New Roman" w:eastAsia="宋体" w:cs="Times New Roman"/>
                <w:kern w:val="0"/>
                <w:szCs w:val="21"/>
              </w:rPr>
              <w:t>年</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评价类别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色度</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度</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臭和味</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无</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浊度</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NTU</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r>
              <w:rPr>
                <w:rFonts w:hint="eastAsia" w:ascii="Times New Roman" w:hAnsi="Times New Roman" w:eastAsia="宋体" w:cs="Times New Roman"/>
                <w:kern w:val="0"/>
                <w:szCs w:val="21"/>
                <w:lang w:val="en-US" w:eastAsia="zh-CN"/>
              </w:rPr>
              <w:t>8</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肉眼可见物</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无</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PH值</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PH单位</w:t>
            </w:r>
          </w:p>
        </w:tc>
        <w:tc>
          <w:tcPr>
            <w:tcW w:w="1226" w:type="dxa"/>
            <w:tcBorders>
              <w:tl2br w:val="nil"/>
              <w:tr2bl w:val="nil"/>
            </w:tcBorders>
            <w:shd w:val="clear" w:color="auto" w:fill="auto"/>
            <w:vAlign w:val="center"/>
          </w:tcPr>
          <w:p>
            <w:pPr>
              <w:widowControl/>
              <w:spacing w:line="360" w:lineRule="auto"/>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6.78</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总硬度（以CaCO</w:t>
            </w:r>
            <w:r>
              <w:rPr>
                <w:rFonts w:ascii="Times New Roman" w:hAnsi="Times New Roman" w:eastAsia="宋体" w:cs="Times New Roman"/>
                <w:kern w:val="0"/>
                <w:szCs w:val="21"/>
                <w:vertAlign w:val="subscript"/>
              </w:rPr>
              <w:t>3</w:t>
            </w:r>
            <w:r>
              <w:rPr>
                <w:rFonts w:ascii="Times New Roman" w:hAnsi="Times New Roman" w:eastAsia="宋体" w:cs="Times New Roman"/>
                <w:kern w:val="0"/>
                <w:szCs w:val="21"/>
              </w:rPr>
              <w:t>计）</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w:t>
            </w:r>
            <w:r>
              <w:rPr>
                <w:rFonts w:hint="eastAsia" w:ascii="Times New Roman" w:hAnsi="Times New Roman" w:eastAsia="宋体" w:cs="Times New Roman"/>
                <w:kern w:val="0"/>
                <w:szCs w:val="21"/>
                <w:lang w:val="en-US" w:eastAsia="zh-CN"/>
              </w:rPr>
              <w:t>41</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溶解性总固体</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w:t>
            </w:r>
            <w:r>
              <w:rPr>
                <w:rFonts w:hint="eastAsia" w:ascii="Times New Roman" w:hAnsi="Times New Roman" w:eastAsia="宋体" w:cs="Times New Roman"/>
                <w:kern w:val="0"/>
                <w:szCs w:val="21"/>
                <w:lang w:val="en-US" w:eastAsia="zh-CN"/>
              </w:rPr>
              <w:t>35</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8</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硫酸盐</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w:t>
            </w:r>
            <w:r>
              <w:rPr>
                <w:rFonts w:hint="eastAsia" w:ascii="Times New Roman" w:hAnsi="Times New Roman" w:eastAsia="宋体" w:cs="Times New Roman"/>
                <w:kern w:val="0"/>
                <w:szCs w:val="21"/>
                <w:lang w:val="en-US" w:eastAsia="zh-CN"/>
              </w:rPr>
              <w:t>8.8</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9</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氯化物</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56.0</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铁</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r>
              <w:rPr>
                <w:rFonts w:hint="eastAsia" w:ascii="Times New Roman" w:hAnsi="Times New Roman" w:eastAsia="宋体" w:cs="Times New Roman"/>
                <w:kern w:val="0"/>
                <w:szCs w:val="21"/>
                <w:lang w:val="en-US" w:eastAsia="zh-CN"/>
              </w:rPr>
              <w:t>125</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锰</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铜</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13</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锌</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14</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铝</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挥发酚类（以苯酚计）</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16</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阴离子</w:t>
            </w:r>
            <w:r>
              <w:rPr>
                <w:rFonts w:hint="eastAsia" w:ascii="Times New Roman" w:hAnsi="Times New Roman" w:eastAsia="宋体" w:cs="Times New Roman"/>
                <w:kern w:val="0"/>
                <w:szCs w:val="21"/>
              </w:rPr>
              <w:t>表面活性剂</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17</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耗氧量</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r>
              <w:rPr>
                <w:rFonts w:hint="eastAsia" w:ascii="Times New Roman" w:hAnsi="Times New Roman" w:eastAsia="宋体" w:cs="Times New Roman"/>
                <w:kern w:val="0"/>
                <w:szCs w:val="21"/>
                <w:lang w:val="en-US" w:eastAsia="zh-CN"/>
              </w:rPr>
              <w:t>44</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18</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氨氮</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r>
              <w:rPr>
                <w:rFonts w:hint="eastAsia" w:ascii="Times New Roman" w:hAnsi="Times New Roman" w:eastAsia="宋体" w:cs="Times New Roman"/>
                <w:kern w:val="0"/>
                <w:szCs w:val="21"/>
                <w:lang w:val="en-US" w:eastAsia="zh-CN"/>
              </w:rPr>
              <w:t>22</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19</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硫化物</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钠</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w:t>
            </w:r>
            <w:r>
              <w:rPr>
                <w:rFonts w:hint="eastAsia" w:ascii="Times New Roman" w:hAnsi="Times New Roman" w:eastAsia="宋体" w:cs="Times New Roman"/>
                <w:kern w:val="0"/>
                <w:szCs w:val="21"/>
                <w:lang w:val="en-US" w:eastAsia="zh-CN"/>
              </w:rPr>
              <w:t>6.7</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21</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总大肠菌群</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MPN/100mL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未检出（＜2）</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22</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菌落总数</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CFU/mL</w:t>
            </w:r>
          </w:p>
        </w:tc>
        <w:tc>
          <w:tcPr>
            <w:tcW w:w="1226" w:type="dxa"/>
            <w:tcBorders>
              <w:tl2br w:val="nil"/>
              <w:tr2bl w:val="nil"/>
            </w:tcBorders>
            <w:shd w:val="clear" w:color="auto" w:fill="auto"/>
            <w:vAlign w:val="center"/>
          </w:tcPr>
          <w:p>
            <w:pPr>
              <w:widowControl/>
              <w:spacing w:line="360" w:lineRule="auto"/>
              <w:jc w:val="center"/>
              <w:rPr>
                <w:rFonts w:hint="eastAsia"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30</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23</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亚</w:t>
            </w:r>
            <w:r>
              <w:rPr>
                <w:rFonts w:ascii="Times New Roman" w:hAnsi="Times New Roman" w:eastAsia="宋体" w:cs="Times New Roman"/>
                <w:kern w:val="0"/>
                <w:szCs w:val="21"/>
              </w:rPr>
              <w:t>硝酸盐（以N计）</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24</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硝酸盐（以N计）</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w:t>
            </w:r>
            <w:r>
              <w:rPr>
                <w:rFonts w:hint="eastAsia" w:ascii="Times New Roman" w:hAnsi="Times New Roman" w:eastAsia="宋体" w:cs="Times New Roman"/>
                <w:kern w:val="0"/>
                <w:szCs w:val="21"/>
                <w:lang w:val="en-US" w:eastAsia="zh-CN"/>
              </w:rPr>
              <w:t>54</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25</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氰化物</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26</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氟化物</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0.0</w:t>
            </w:r>
            <w:r>
              <w:rPr>
                <w:rFonts w:hint="eastAsia" w:ascii="Times New Roman" w:hAnsi="Times New Roman" w:eastAsia="宋体" w:cs="Times New Roman"/>
                <w:kern w:val="0"/>
                <w:szCs w:val="21"/>
                <w:lang w:val="en-US" w:eastAsia="zh-CN"/>
              </w:rPr>
              <w:t>56</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27</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汞</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28</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砷</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29</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硒</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30</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镉</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31</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铬（六价）</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32</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铅</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mg/L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33</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三氯甲烷</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u</w:t>
            </w:r>
            <w:r>
              <w:rPr>
                <w:rFonts w:ascii="Times New Roman" w:hAnsi="Times New Roman" w:eastAsia="宋体" w:cs="Times New Roman"/>
                <w:kern w:val="0"/>
                <w:szCs w:val="21"/>
              </w:rPr>
              <w:t>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34</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ascii="Times New Roman" w:hAnsi="Times New Roman" w:eastAsia="宋体" w:cs="Times New Roman"/>
                <w:kern w:val="0"/>
                <w:szCs w:val="21"/>
              </w:rPr>
              <w:t>四氯化碳</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u</w:t>
            </w:r>
            <w:r>
              <w:rPr>
                <w:rFonts w:ascii="Times New Roman" w:hAnsi="Times New Roman" w:eastAsia="宋体" w:cs="Times New Roman"/>
                <w:kern w:val="0"/>
                <w:szCs w:val="21"/>
              </w:rPr>
              <w:t>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35</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苯</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u</w:t>
            </w:r>
            <w:r>
              <w:rPr>
                <w:rFonts w:ascii="Times New Roman" w:hAnsi="Times New Roman" w:eastAsia="宋体" w:cs="Times New Roman"/>
                <w:kern w:val="0"/>
                <w:szCs w:val="21"/>
              </w:rPr>
              <w:t>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36</w:t>
            </w:r>
          </w:p>
        </w:tc>
        <w:tc>
          <w:tcPr>
            <w:tcW w:w="2169"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甲苯</w:t>
            </w:r>
          </w:p>
        </w:tc>
        <w:tc>
          <w:tcPr>
            <w:tcW w:w="1375"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u</w:t>
            </w:r>
            <w:r>
              <w:rPr>
                <w:rFonts w:ascii="Times New Roman" w:hAnsi="Times New Roman" w:eastAsia="宋体" w:cs="Times New Roman"/>
                <w:kern w:val="0"/>
                <w:szCs w:val="21"/>
              </w:rPr>
              <w:t>g/L</w:t>
            </w:r>
          </w:p>
        </w:tc>
        <w:tc>
          <w:tcPr>
            <w:tcW w:w="1226" w:type="dxa"/>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ND</w:t>
            </w:r>
          </w:p>
        </w:tc>
        <w:tc>
          <w:tcPr>
            <w:tcW w:w="2791" w:type="dxa"/>
            <w:gridSpan w:val="2"/>
            <w:tcBorders>
              <w:tl2br w:val="nil"/>
              <w:tr2bl w:val="nil"/>
            </w:tcBorders>
            <w:shd w:val="clear" w:color="auto" w:fill="auto"/>
            <w:vAlign w:val="center"/>
          </w:tcPr>
          <w:p>
            <w:pPr>
              <w:widowControl/>
              <w:spacing w:line="360" w:lineRule="auto"/>
              <w:jc w:val="center"/>
              <w:rPr>
                <w:rFonts w:ascii="Times New Roman" w:hAnsi="Times New Roman" w:eastAsia="宋体" w:cs="Times New Roman"/>
                <w:kern w:val="0"/>
                <w:szCs w:val="21"/>
              </w:rPr>
            </w:pPr>
            <w:r>
              <w:rPr>
                <w:rFonts w:hint="eastAsia" w:ascii="宋体" w:hAnsi="宋体" w:eastAsia="宋体" w:cs="宋体"/>
                <w:kern w:val="0"/>
                <w:szCs w:val="21"/>
              </w:rPr>
              <w:t>Ⅰ</w:t>
            </w:r>
          </w:p>
        </w:tc>
      </w:tr>
    </w:tbl>
    <w:p>
      <w:pPr>
        <w:adjustRightInd w:val="0"/>
        <w:snapToGrid w:val="0"/>
        <w:spacing w:line="360" w:lineRule="auto"/>
        <w:ind w:firstLine="480" w:firstLineChars="200"/>
        <w:rPr>
          <w:rFonts w:hint="eastAsia" w:ascii="Calibri" w:hAnsi="Calibri" w:eastAsia="宋体" w:cs="宋体"/>
          <w:sz w:val="24"/>
          <w:szCs w:val="22"/>
          <w:lang w:bidi="ar"/>
        </w:rPr>
      </w:pPr>
      <w:r>
        <w:rPr>
          <w:rFonts w:hint="eastAsia" w:ascii="Calibri" w:hAnsi="Calibri" w:eastAsia="宋体" w:cs="宋体"/>
          <w:sz w:val="24"/>
          <w:szCs w:val="22"/>
        </w:rPr>
        <w:t>从表2-4-4分析可知，依据《地下水质量标准》（GB/T14848-2017），</w:t>
      </w:r>
      <w:r>
        <w:rPr>
          <w:rFonts w:hint="eastAsia" w:ascii="Calibri" w:hAnsi="Calibri" w:eastAsia="宋体" w:cs="宋体"/>
          <w:sz w:val="24"/>
          <w:szCs w:val="22"/>
          <w:lang w:eastAsia="zh-CN"/>
        </w:rPr>
        <w:t>长伦</w:t>
      </w:r>
      <w:r>
        <w:rPr>
          <w:rFonts w:hint="eastAsia" w:ascii="Calibri" w:hAnsi="Calibri" w:eastAsia="宋体" w:cs="宋体"/>
          <w:sz w:val="24"/>
          <w:szCs w:val="22"/>
        </w:rPr>
        <w:t>水厂地下水原水水质为Ⅲ类。</w:t>
      </w:r>
    </w:p>
    <w:p>
      <w:pPr>
        <w:pStyle w:val="5"/>
        <w:spacing w:before="156" w:after="156"/>
        <w:rPr>
          <w:rFonts w:hint="eastAsia"/>
        </w:rPr>
      </w:pPr>
      <w:bookmarkStart w:id="87" w:name="_Toc8871"/>
      <w:bookmarkStart w:id="88" w:name="_Toc1469"/>
      <w:r>
        <w:rPr>
          <w:rFonts w:hint="eastAsia"/>
        </w:rPr>
        <w:t>2.4.</w:t>
      </w:r>
      <w:r>
        <w:rPr>
          <w:rFonts w:hint="eastAsia"/>
          <w:lang w:val="en-US" w:eastAsia="zh-CN"/>
        </w:rPr>
        <w:t>4</w:t>
      </w:r>
      <w:r>
        <w:rPr>
          <w:rFonts w:hint="eastAsia"/>
        </w:rPr>
        <w:t>饮用水水源地污染状况分析</w:t>
      </w:r>
      <w:bookmarkEnd w:id="87"/>
      <w:bookmarkEnd w:id="88"/>
    </w:p>
    <w:p>
      <w:pPr>
        <w:spacing w:line="360" w:lineRule="auto"/>
        <w:ind w:firstLine="480" w:firstLineChars="200"/>
        <w:jc w:val="left"/>
        <w:rPr>
          <w:rFonts w:hint="eastAsia"/>
          <w:sz w:val="24"/>
        </w:rPr>
      </w:pPr>
      <w:r>
        <w:rPr>
          <w:rFonts w:hint="eastAsia"/>
          <w:sz w:val="24"/>
        </w:rPr>
        <w:t>根据《饮用水水源保护区划分技术规范》（HJ338-2018），污染调查范围分为两方面：一是调查水源地的补给区、径流区、排泄区。本水源地的重要补给区位于洞庭湖周边的山岗地，离本水源距离较远，不便于环境管理，水源地所在的洞庭湖盆地为主要排泄区。因此，结合水源地的水文地质条件，本次重点调查：取水井周边30m及1km范围内的区域。调查对象主要为取水井周边30m范围内的点源、农业面源和潜在风险源，30m以外、1km以内重大污染源和潜在风险源。主要污染源位置分布见附图3。</w:t>
      </w:r>
    </w:p>
    <w:p>
      <w:pPr>
        <w:pStyle w:val="5"/>
        <w:spacing w:before="156" w:after="156"/>
        <w:rPr>
          <w:rFonts w:hint="eastAsia" w:ascii="Times New Roman" w:hAnsi="Times New Roman" w:cs="Times New Roman"/>
        </w:rPr>
      </w:pPr>
      <w:bookmarkStart w:id="89" w:name="_Toc32331"/>
      <w:bookmarkStart w:id="90" w:name="_Toc11765"/>
      <w:r>
        <w:rPr>
          <w:rFonts w:hint="eastAsia" w:ascii="Times New Roman" w:hAnsi="Times New Roman" w:cs="Times New Roman"/>
        </w:rPr>
        <w:t>2.4.</w:t>
      </w:r>
      <w:r>
        <w:rPr>
          <w:rFonts w:hint="eastAsia" w:ascii="Times New Roman" w:hAnsi="Times New Roman" w:cs="Times New Roman"/>
          <w:lang w:val="en-US" w:eastAsia="zh-CN"/>
        </w:rPr>
        <w:t>5</w:t>
      </w:r>
      <w:r>
        <w:rPr>
          <w:rFonts w:hint="eastAsia" w:ascii="Times New Roman" w:hAnsi="Times New Roman" w:cs="Times New Roman"/>
        </w:rPr>
        <w:t>保护区范围内</w:t>
      </w:r>
      <w:bookmarkEnd w:id="89"/>
      <w:bookmarkEnd w:id="90"/>
    </w:p>
    <w:p>
      <w:pPr>
        <w:spacing w:line="360" w:lineRule="auto"/>
        <w:ind w:firstLine="480" w:firstLineChars="200"/>
        <w:jc w:val="left"/>
        <w:rPr>
          <w:rFonts w:hint="eastAsia"/>
          <w:sz w:val="24"/>
        </w:rPr>
      </w:pPr>
      <w:r>
        <w:rPr>
          <w:rFonts w:hint="eastAsia"/>
          <w:sz w:val="24"/>
        </w:rPr>
        <w:t>根据现场调查核实，一级保护区范围内的主要环境问题如下：</w:t>
      </w:r>
    </w:p>
    <w:p>
      <w:pPr>
        <w:spacing w:line="360" w:lineRule="auto"/>
        <w:ind w:firstLine="482" w:firstLineChars="200"/>
        <w:jc w:val="left"/>
        <w:rPr>
          <w:rFonts w:hint="eastAsia"/>
          <w:b/>
          <w:bCs/>
          <w:sz w:val="24"/>
          <w:lang w:eastAsia="zh-CN"/>
        </w:rPr>
      </w:pPr>
      <w:r>
        <w:rPr>
          <w:rFonts w:hint="eastAsia"/>
          <w:b/>
          <w:bCs/>
          <w:sz w:val="24"/>
        </w:rPr>
        <w:t>一、</w:t>
      </w:r>
      <w:r>
        <w:rPr>
          <w:rFonts w:hint="eastAsia"/>
          <w:b/>
          <w:bCs/>
          <w:sz w:val="24"/>
          <w:lang w:eastAsia="zh-CN"/>
        </w:rPr>
        <w:t>面源</w:t>
      </w:r>
    </w:p>
    <w:p>
      <w:pPr>
        <w:spacing w:line="360" w:lineRule="auto"/>
        <w:ind w:firstLine="480" w:firstLineChars="200"/>
        <w:jc w:val="left"/>
        <w:rPr>
          <w:rFonts w:hint="eastAsia"/>
          <w:sz w:val="24"/>
          <w:lang w:val="en-US" w:eastAsia="zh-CN"/>
        </w:rPr>
      </w:pPr>
      <w:r>
        <w:rPr>
          <w:rFonts w:hint="eastAsia"/>
          <w:sz w:val="24"/>
          <w:lang w:val="en-US" w:eastAsia="zh-CN"/>
        </w:rPr>
        <w:t>一号水井水厂工作人员；二号水井周边1户居民及东面居民房；三号水井周边0.5亩农田。</w:t>
      </w:r>
    </w:p>
    <w:p>
      <w:pPr>
        <w:spacing w:line="360" w:lineRule="auto"/>
        <w:ind w:firstLine="482" w:firstLineChars="200"/>
        <w:jc w:val="left"/>
        <w:rPr>
          <w:rFonts w:hint="eastAsia"/>
          <w:b/>
          <w:bCs/>
          <w:sz w:val="24"/>
          <w:lang w:eastAsia="zh-CN"/>
        </w:rPr>
      </w:pPr>
      <w:r>
        <w:rPr>
          <w:rFonts w:hint="eastAsia"/>
          <w:b/>
          <w:bCs/>
          <w:sz w:val="24"/>
          <w:lang w:eastAsia="zh-CN"/>
        </w:rPr>
        <w:t>二、点源</w:t>
      </w:r>
    </w:p>
    <w:p>
      <w:pPr>
        <w:spacing w:line="360" w:lineRule="auto"/>
        <w:ind w:firstLine="480" w:firstLineChars="200"/>
        <w:jc w:val="left"/>
        <w:rPr>
          <w:rFonts w:hint="eastAsia"/>
          <w:sz w:val="24"/>
        </w:rPr>
      </w:pPr>
      <w:r>
        <w:rPr>
          <w:rFonts w:hint="eastAsia"/>
          <w:sz w:val="24"/>
          <w:lang w:eastAsia="zh-CN"/>
        </w:rPr>
        <w:t>无</w:t>
      </w:r>
      <w:r>
        <w:rPr>
          <w:rFonts w:hint="eastAsia"/>
          <w:sz w:val="24"/>
        </w:rPr>
        <w:t>工业企业排污口、污水处理厂排污口、货运码头、畜禽养殖场（小区）、养殖专业户</w:t>
      </w:r>
      <w:r>
        <w:rPr>
          <w:rFonts w:hint="eastAsia"/>
          <w:sz w:val="24"/>
          <w:lang w:eastAsia="zh-CN"/>
        </w:rPr>
        <w:t>等点</w:t>
      </w:r>
      <w:r>
        <w:rPr>
          <w:rFonts w:hint="eastAsia"/>
          <w:sz w:val="24"/>
        </w:rPr>
        <w:t>源污染。</w:t>
      </w:r>
    </w:p>
    <w:p>
      <w:pPr>
        <w:spacing w:line="360" w:lineRule="auto"/>
        <w:ind w:firstLine="482" w:firstLineChars="200"/>
        <w:jc w:val="left"/>
        <w:rPr>
          <w:rFonts w:hint="eastAsia"/>
          <w:b/>
          <w:bCs/>
          <w:sz w:val="24"/>
        </w:rPr>
      </w:pPr>
      <w:r>
        <w:rPr>
          <w:rFonts w:hint="eastAsia"/>
          <w:b/>
          <w:bCs/>
          <w:sz w:val="24"/>
          <w:lang w:eastAsia="zh-CN"/>
        </w:rPr>
        <w:t>三、</w:t>
      </w:r>
      <w:r>
        <w:rPr>
          <w:rFonts w:hint="eastAsia"/>
          <w:b/>
          <w:bCs/>
          <w:sz w:val="24"/>
        </w:rPr>
        <w:t>流动源</w:t>
      </w:r>
    </w:p>
    <w:p>
      <w:pPr>
        <w:spacing w:line="360" w:lineRule="auto"/>
        <w:ind w:firstLine="480" w:firstLineChars="200"/>
        <w:jc w:val="left"/>
        <w:rPr>
          <w:rFonts w:hint="eastAsia"/>
          <w:sz w:val="24"/>
          <w:lang w:val="en-US" w:eastAsia="zh-CN"/>
        </w:rPr>
      </w:pPr>
      <w:r>
        <w:rPr>
          <w:rFonts w:hint="eastAsia"/>
          <w:sz w:val="24"/>
          <w:lang w:val="en-US" w:eastAsia="zh-CN"/>
        </w:rPr>
        <w:t xml:space="preserve">   一号水井西面为132乡道。3号水井东北面为村道。</w:t>
      </w:r>
    </w:p>
    <w:p>
      <w:pPr>
        <w:spacing w:line="360" w:lineRule="auto"/>
        <w:ind w:firstLine="482" w:firstLineChars="200"/>
        <w:jc w:val="left"/>
        <w:rPr>
          <w:rFonts w:hint="eastAsia"/>
          <w:b/>
          <w:bCs/>
          <w:sz w:val="24"/>
        </w:rPr>
      </w:pPr>
      <w:r>
        <w:rPr>
          <w:rFonts w:hint="eastAsia"/>
          <w:b/>
          <w:bCs/>
          <w:sz w:val="24"/>
          <w:lang w:eastAsia="zh-CN"/>
        </w:rPr>
        <w:t>四</w:t>
      </w:r>
      <w:r>
        <w:rPr>
          <w:rFonts w:hint="eastAsia"/>
          <w:b/>
          <w:bCs/>
          <w:sz w:val="24"/>
        </w:rPr>
        <w:t>、潜在风险源</w:t>
      </w:r>
    </w:p>
    <w:p>
      <w:pPr>
        <w:spacing w:line="360" w:lineRule="auto"/>
        <w:ind w:firstLine="480" w:firstLineChars="200"/>
        <w:jc w:val="left"/>
        <w:rPr>
          <w:rFonts w:hint="eastAsia"/>
          <w:sz w:val="24"/>
        </w:rPr>
      </w:pPr>
      <w:r>
        <w:rPr>
          <w:rFonts w:hint="eastAsia"/>
          <w:sz w:val="24"/>
        </w:rPr>
        <w:t>一级保护区范围内无石油化工行业、垃圾填埋场、危险废弃物填埋场、加油站、污水处理设施、危险品仓储设施、尾矿库等固定潜在风险源。</w:t>
      </w:r>
    </w:p>
    <w:p>
      <w:pPr>
        <w:pStyle w:val="5"/>
        <w:spacing w:before="156" w:after="156"/>
        <w:rPr>
          <w:rFonts w:hint="eastAsia" w:ascii="Times New Roman" w:hAnsi="Times New Roman" w:cs="Times New Roman"/>
        </w:rPr>
      </w:pPr>
      <w:bookmarkStart w:id="91" w:name="_Toc12885"/>
      <w:bookmarkStart w:id="92" w:name="_Toc19883"/>
      <w:r>
        <w:rPr>
          <w:rFonts w:hint="eastAsia" w:ascii="Times New Roman" w:hAnsi="Times New Roman" w:cs="Times New Roman"/>
        </w:rPr>
        <w:t>2.4.</w:t>
      </w:r>
      <w:r>
        <w:rPr>
          <w:rFonts w:hint="eastAsia" w:ascii="Times New Roman" w:hAnsi="Times New Roman" w:cs="Times New Roman"/>
          <w:lang w:val="en-US" w:eastAsia="zh-CN"/>
        </w:rPr>
        <w:t>6</w:t>
      </w:r>
      <w:r>
        <w:rPr>
          <w:rFonts w:hint="eastAsia" w:ascii="Times New Roman" w:hAnsi="Times New Roman" w:cs="Times New Roman"/>
        </w:rPr>
        <w:t xml:space="preserve"> 1km范围内的其他情况</w:t>
      </w:r>
      <w:bookmarkEnd w:id="91"/>
      <w:bookmarkEnd w:id="92"/>
    </w:p>
    <w:p>
      <w:pPr>
        <w:spacing w:line="360" w:lineRule="auto"/>
        <w:ind w:firstLine="480" w:firstLineChars="200"/>
        <w:jc w:val="left"/>
        <w:rPr>
          <w:rFonts w:hint="eastAsia"/>
          <w:sz w:val="24"/>
        </w:rPr>
      </w:pPr>
      <w:r>
        <w:rPr>
          <w:rFonts w:hint="eastAsia"/>
          <w:sz w:val="24"/>
        </w:rPr>
        <w:t>根据现场调查，本保护区外1km 以内无工业源及排污口</w:t>
      </w:r>
      <w:r>
        <w:rPr>
          <w:rFonts w:hint="eastAsia"/>
          <w:sz w:val="24"/>
          <w:lang w:eastAsia="zh-CN"/>
        </w:rPr>
        <w:t>，</w:t>
      </w:r>
      <w:r>
        <w:rPr>
          <w:rFonts w:hint="eastAsia"/>
          <w:sz w:val="24"/>
        </w:rPr>
        <w:t>生活源</w:t>
      </w:r>
      <w:r>
        <w:rPr>
          <w:rFonts w:hint="eastAsia"/>
          <w:sz w:val="24"/>
          <w:lang w:eastAsia="zh-CN"/>
        </w:rPr>
        <w:t>为居民</w:t>
      </w:r>
      <w:r>
        <w:rPr>
          <w:rFonts w:hint="eastAsia"/>
          <w:sz w:val="24"/>
        </w:rPr>
        <w:t xml:space="preserve"> 集中镇区、</w:t>
      </w:r>
      <w:r>
        <w:rPr>
          <w:rFonts w:hint="eastAsia"/>
          <w:sz w:val="24"/>
          <w:lang w:eastAsia="zh-CN"/>
        </w:rPr>
        <w:t>农田。距离</w:t>
      </w:r>
      <w:r>
        <w:rPr>
          <w:rFonts w:hint="eastAsia"/>
          <w:sz w:val="24"/>
          <w:lang w:val="en-US" w:eastAsia="zh-CN"/>
        </w:rPr>
        <w:t>1号水井400米处为长仑信用社，</w:t>
      </w:r>
      <w:r>
        <w:rPr>
          <w:rFonts w:hint="eastAsia"/>
          <w:sz w:val="24"/>
          <w:lang w:eastAsia="zh-CN"/>
        </w:rPr>
        <w:t>无其他</w:t>
      </w:r>
      <w:r>
        <w:rPr>
          <w:rFonts w:hint="eastAsia"/>
          <w:sz w:val="24"/>
        </w:rPr>
        <w:t>重大污染点源。</w:t>
      </w:r>
    </w:p>
    <w:p>
      <w:pPr>
        <w:spacing w:line="360" w:lineRule="auto"/>
        <w:ind w:firstLine="480" w:firstLineChars="200"/>
        <w:jc w:val="left"/>
        <w:rPr>
          <w:rFonts w:hint="eastAsia"/>
          <w:sz w:val="24"/>
        </w:rPr>
      </w:pPr>
      <w:r>
        <w:rPr>
          <w:rFonts w:hint="eastAsia"/>
          <w:sz w:val="24"/>
        </w:rPr>
        <w:t>无石油化工行业、垃圾填埋场、危险废弃物填埋场、污水处理设施、危险品仓储设施、尾矿库等固定潜在风险源。</w:t>
      </w:r>
    </w:p>
    <w:p>
      <w:pPr>
        <w:spacing w:line="360" w:lineRule="auto"/>
        <w:ind w:firstLine="480" w:firstLineChars="200"/>
        <w:jc w:val="left"/>
        <w:rPr>
          <w:rFonts w:hint="eastAsia"/>
          <w:sz w:val="24"/>
        </w:rPr>
      </w:pPr>
      <w:r>
        <w:rPr>
          <w:rFonts w:hint="eastAsia"/>
          <w:sz w:val="24"/>
        </w:rPr>
        <w:t>主要的污染源为</w:t>
      </w:r>
      <w:r>
        <w:rPr>
          <w:rFonts w:hint="eastAsia"/>
          <w:sz w:val="24"/>
          <w:lang w:eastAsia="zh-CN"/>
        </w:rPr>
        <w:t>、居民生活源及信用社点源</w:t>
      </w:r>
      <w:r>
        <w:rPr>
          <w:rFonts w:hint="eastAsia"/>
          <w:sz w:val="24"/>
        </w:rPr>
        <w:t>，农业种植源</w:t>
      </w:r>
      <w:r>
        <w:rPr>
          <w:rFonts w:hint="eastAsia"/>
          <w:sz w:val="24"/>
          <w:lang w:eastAsia="zh-CN"/>
        </w:rPr>
        <w:t>、</w:t>
      </w:r>
      <w:r>
        <w:rPr>
          <w:rFonts w:hint="eastAsia"/>
          <w:sz w:val="24"/>
        </w:rPr>
        <w:t>水井</w:t>
      </w:r>
      <w:r>
        <w:rPr>
          <w:rFonts w:hint="eastAsia"/>
          <w:sz w:val="24"/>
          <w:lang w:eastAsia="zh-CN"/>
        </w:rPr>
        <w:t>周</w:t>
      </w:r>
      <w:r>
        <w:rPr>
          <w:rFonts w:hint="eastAsia"/>
          <w:sz w:val="24"/>
        </w:rPr>
        <w:t>边的农田退水。</w:t>
      </w:r>
    </w:p>
    <w:p>
      <w:pPr>
        <w:pStyle w:val="5"/>
        <w:spacing w:before="156" w:after="156"/>
      </w:pPr>
      <w:bookmarkStart w:id="93" w:name="_Toc26562"/>
      <w:bookmarkStart w:id="94" w:name="_Toc14235"/>
      <w:r>
        <w:rPr>
          <w:rFonts w:hint="eastAsia"/>
        </w:rPr>
        <w:t>2.4.</w:t>
      </w:r>
      <w:r>
        <w:rPr>
          <w:rFonts w:hint="eastAsia"/>
          <w:lang w:val="en-US" w:eastAsia="zh-CN"/>
        </w:rPr>
        <w:t>7</w:t>
      </w:r>
      <w:r>
        <w:rPr>
          <w:rFonts w:hint="eastAsia"/>
        </w:rPr>
        <w:t>饮用水水源地生态环境分析</w:t>
      </w:r>
      <w:bookmarkEnd w:id="93"/>
      <w:bookmarkEnd w:id="94"/>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湘阴县生态环境优良，农业生物资源极为丰富，包括11种粮食作物， 15种经济作物，10多余种水生经济作物，以及228个树种，114个鱼类品种，9个畜禽种类。全县山林24万多亩，林业用地占陆地面积的16%，森林覆盖率为12.5%，该水源地流域水源涵养林、护岸林和自然湿地的面积等统计情况详见附表6。 </w:t>
      </w:r>
    </w:p>
    <w:p>
      <w:pPr>
        <w:pStyle w:val="5"/>
        <w:spacing w:before="156" w:after="156"/>
      </w:pPr>
      <w:bookmarkStart w:id="95" w:name="_Toc8074"/>
      <w:bookmarkStart w:id="96" w:name="_Toc10241"/>
      <w:r>
        <w:rPr>
          <w:rFonts w:hint="eastAsia"/>
        </w:rPr>
        <w:t>2.4.</w:t>
      </w:r>
      <w:r>
        <w:rPr>
          <w:rFonts w:hint="eastAsia"/>
          <w:lang w:val="en-US" w:eastAsia="zh-CN"/>
        </w:rPr>
        <w:t>8</w:t>
      </w:r>
      <w:r>
        <w:rPr>
          <w:rFonts w:hint="eastAsia"/>
        </w:rPr>
        <w:t>饮用水水源地环境管理现状分析</w:t>
      </w:r>
      <w:bookmarkEnd w:id="95"/>
      <w:bookmarkEnd w:id="96"/>
    </w:p>
    <w:p>
      <w:pPr>
        <w:pStyle w:val="6"/>
        <w:spacing w:before="156" w:after="156"/>
      </w:pPr>
      <w:bookmarkStart w:id="97" w:name="_Toc453061737"/>
      <w:bookmarkStart w:id="98" w:name="_Toc453061583"/>
      <w:bookmarkStart w:id="99" w:name="_Toc18938"/>
      <w:r>
        <w:rPr>
          <w:rFonts w:hint="eastAsia"/>
        </w:rPr>
        <w:t>2.4.</w:t>
      </w:r>
      <w:r>
        <w:rPr>
          <w:rFonts w:hint="eastAsia"/>
          <w:lang w:val="en-US" w:eastAsia="zh-CN"/>
        </w:rPr>
        <w:t>8</w:t>
      </w:r>
      <w:r>
        <w:rPr>
          <w:rFonts w:hint="eastAsia"/>
        </w:rPr>
        <w:t>.1饮用水水源地管理机制</w:t>
      </w:r>
      <w:bookmarkEnd w:id="97"/>
      <w:bookmarkEnd w:id="98"/>
      <w:bookmarkEnd w:id="99"/>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val="en-US" w:eastAsia="zh-CN" w:bidi="ar"/>
        </w:rPr>
        <w:t>石塘镇</w:t>
      </w:r>
      <w:r>
        <w:rPr>
          <w:rFonts w:hint="eastAsia" w:ascii="Calibri" w:hAnsi="Calibri" w:eastAsia="宋体" w:cs="宋体"/>
          <w:sz w:val="24"/>
          <w:szCs w:val="22"/>
          <w:lang w:eastAsia="zh-CN" w:bidi="ar"/>
        </w:rPr>
        <w:t>地下水</w:t>
      </w:r>
      <w:r>
        <w:rPr>
          <w:rFonts w:hint="eastAsia" w:ascii="Calibri" w:hAnsi="Calibri" w:eastAsia="宋体" w:cs="宋体"/>
          <w:sz w:val="24"/>
          <w:szCs w:val="22"/>
          <w:lang w:bidi="ar"/>
        </w:rPr>
        <w:t>饮用水源地现由湘阴县</w:t>
      </w:r>
      <w:r>
        <w:rPr>
          <w:rFonts w:hint="eastAsia" w:ascii="Calibri" w:hAnsi="Calibri" w:eastAsia="宋体" w:cs="宋体"/>
          <w:sz w:val="24"/>
          <w:szCs w:val="22"/>
          <w:lang w:val="en-US" w:eastAsia="zh-CN" w:bidi="ar"/>
        </w:rPr>
        <w:t>水利局</w:t>
      </w:r>
      <w:r>
        <w:rPr>
          <w:rFonts w:hint="eastAsia" w:ascii="Calibri" w:hAnsi="Calibri" w:eastAsia="宋体" w:cs="宋体"/>
          <w:sz w:val="24"/>
          <w:szCs w:val="22"/>
          <w:lang w:bidi="ar"/>
        </w:rPr>
        <w:t>直接管理，湘阴县环保局监督管理，</w:t>
      </w:r>
      <w:r>
        <w:rPr>
          <w:rFonts w:hint="eastAsia" w:ascii="Calibri" w:hAnsi="Calibri" w:eastAsia="宋体" w:cs="宋体"/>
          <w:sz w:val="24"/>
          <w:szCs w:val="22"/>
          <w:lang w:val="en-US" w:eastAsia="zh-CN" w:bidi="ar"/>
        </w:rPr>
        <w:t>三号水井位于石塘村乡道旁边</w:t>
      </w:r>
      <w:r>
        <w:rPr>
          <w:rFonts w:hint="eastAsia" w:ascii="Calibri" w:hAnsi="Calibri" w:eastAsia="宋体" w:cs="宋体"/>
          <w:sz w:val="24"/>
          <w:szCs w:val="22"/>
          <w:lang w:bidi="ar"/>
        </w:rPr>
        <w:t>，周边有农田与居民居住，易受污染。水厂外围是公路，有</w:t>
      </w:r>
      <w:r>
        <w:rPr>
          <w:rFonts w:hint="eastAsia" w:ascii="Calibri" w:hAnsi="Calibri" w:eastAsia="宋体" w:cs="宋体"/>
          <w:sz w:val="24"/>
          <w:szCs w:val="22"/>
          <w:lang w:eastAsia="zh-CN" w:bidi="ar"/>
        </w:rPr>
        <w:t>社会车辆通行，不涉及</w:t>
      </w:r>
      <w:r>
        <w:rPr>
          <w:rFonts w:hint="eastAsia" w:ascii="Calibri" w:hAnsi="Calibri" w:eastAsia="宋体" w:cs="宋体"/>
          <w:sz w:val="24"/>
          <w:szCs w:val="22"/>
          <w:lang w:bidi="ar"/>
        </w:rPr>
        <w:t>危险物品的</w:t>
      </w:r>
      <w:r>
        <w:rPr>
          <w:rFonts w:hint="eastAsia" w:ascii="Calibri" w:hAnsi="Calibri" w:eastAsia="宋体" w:cs="宋体"/>
          <w:sz w:val="24"/>
          <w:szCs w:val="22"/>
          <w:lang w:eastAsia="zh-CN" w:bidi="ar"/>
        </w:rPr>
        <w:t>运输</w:t>
      </w:r>
      <w:r>
        <w:rPr>
          <w:rFonts w:hint="eastAsia" w:ascii="Calibri" w:hAnsi="Calibri" w:eastAsia="宋体" w:cs="宋体"/>
          <w:sz w:val="24"/>
          <w:szCs w:val="22"/>
          <w:lang w:bidi="ar"/>
        </w:rPr>
        <w:t>。</w:t>
      </w:r>
    </w:p>
    <w:p>
      <w:pPr>
        <w:pStyle w:val="6"/>
        <w:spacing w:before="156" w:after="156"/>
      </w:pPr>
      <w:bookmarkStart w:id="100" w:name="_Toc453061584"/>
      <w:bookmarkStart w:id="101" w:name="_Toc453061738"/>
      <w:bookmarkStart w:id="102" w:name="_Toc1923"/>
      <w:r>
        <w:rPr>
          <w:rFonts w:hint="eastAsia"/>
        </w:rPr>
        <w:t>2.4.</w:t>
      </w:r>
      <w:r>
        <w:rPr>
          <w:rFonts w:hint="eastAsia"/>
          <w:lang w:val="en-US" w:eastAsia="zh-CN"/>
        </w:rPr>
        <w:t>8</w:t>
      </w:r>
      <w:r>
        <w:rPr>
          <w:rFonts w:hint="eastAsia"/>
        </w:rPr>
        <w:t>.2饮用水水源地保护现状</w:t>
      </w:r>
      <w:bookmarkEnd w:id="100"/>
      <w:bookmarkEnd w:id="101"/>
      <w:bookmarkEnd w:id="102"/>
    </w:p>
    <w:p>
      <w:pPr>
        <w:spacing w:line="360" w:lineRule="auto"/>
        <w:ind w:firstLine="480" w:firstLineChars="200"/>
        <w:jc w:val="left"/>
        <w:rPr>
          <w:rFonts w:hint="eastAsia"/>
          <w:sz w:val="24"/>
        </w:rPr>
      </w:pPr>
      <w:r>
        <w:rPr>
          <w:rFonts w:hint="eastAsia"/>
          <w:sz w:val="24"/>
        </w:rPr>
        <w:t>湘阴县人民政府已于2013 年 8 月制定出台了《湘阴县饮用水水源保护区管理暂行办法》，并以规范性文件形式（湘阴政办发【2013】39号）下发到各乡、镇人民政府及县直有关单位遵照执行。目前</w:t>
      </w:r>
      <w:r>
        <w:rPr>
          <w:rFonts w:hint="eastAsia"/>
          <w:sz w:val="24"/>
          <w:lang w:eastAsia="zh-CN"/>
        </w:rPr>
        <w:t>石塘镇长仑</w:t>
      </w:r>
      <w:r>
        <w:rPr>
          <w:rFonts w:hint="eastAsia"/>
          <w:sz w:val="24"/>
        </w:rPr>
        <w:t>水厂地下水饮用水水源地的保护现状如下：</w:t>
      </w:r>
    </w:p>
    <w:p>
      <w:pPr>
        <w:spacing w:line="360" w:lineRule="auto"/>
        <w:ind w:firstLine="480" w:firstLineChars="200"/>
        <w:jc w:val="left"/>
        <w:rPr>
          <w:rFonts w:hint="eastAsia"/>
          <w:sz w:val="24"/>
        </w:rPr>
      </w:pPr>
      <w:r>
        <w:rPr>
          <w:rFonts w:hint="eastAsia"/>
          <w:sz w:val="24"/>
        </w:rPr>
        <w:t>（一）保护区划分情况：正在进行保护区的划分工作。</w:t>
      </w:r>
    </w:p>
    <w:p>
      <w:pPr>
        <w:spacing w:line="360" w:lineRule="auto"/>
        <w:ind w:firstLine="480" w:firstLineChars="200"/>
        <w:jc w:val="left"/>
        <w:rPr>
          <w:rFonts w:hint="eastAsia"/>
          <w:sz w:val="24"/>
        </w:rPr>
      </w:pPr>
      <w:r>
        <w:rPr>
          <w:rFonts w:hint="eastAsia"/>
          <w:sz w:val="24"/>
        </w:rPr>
        <w:t>（二）标志标牌的设置情况：一级保护区边界的界标设置不完善。</w:t>
      </w:r>
    </w:p>
    <w:p>
      <w:pPr>
        <w:spacing w:line="360" w:lineRule="auto"/>
        <w:ind w:firstLine="480" w:firstLineChars="200"/>
        <w:jc w:val="left"/>
        <w:rPr>
          <w:rFonts w:hint="eastAsia"/>
          <w:sz w:val="24"/>
        </w:rPr>
      </w:pPr>
      <w:r>
        <w:rPr>
          <w:rFonts w:hint="eastAsia"/>
          <w:sz w:val="24"/>
        </w:rPr>
        <w:t>（三）防护隔离设施的设置情况：目前，水井未设隔离防护网。</w:t>
      </w:r>
    </w:p>
    <w:p>
      <w:pPr>
        <w:spacing w:line="360" w:lineRule="auto"/>
        <w:ind w:firstLine="480" w:firstLineChars="200"/>
        <w:jc w:val="left"/>
        <w:rPr>
          <w:rFonts w:hint="eastAsia"/>
          <w:sz w:val="24"/>
        </w:rPr>
      </w:pPr>
      <w:r>
        <w:rPr>
          <w:rFonts w:hint="eastAsia"/>
          <w:sz w:val="24"/>
        </w:rPr>
        <w:t>（四）日常监测与监控</w:t>
      </w:r>
    </w:p>
    <w:p>
      <w:pPr>
        <w:spacing w:line="360" w:lineRule="auto"/>
        <w:ind w:firstLine="480" w:firstLineChars="200"/>
        <w:jc w:val="left"/>
        <w:rPr>
          <w:rFonts w:hint="eastAsia"/>
          <w:sz w:val="24"/>
        </w:rPr>
      </w:pPr>
      <w:r>
        <w:rPr>
          <w:rFonts w:hint="eastAsia"/>
          <w:sz w:val="24"/>
        </w:rPr>
        <w:t>根据湘环办【2019】11号《2019全省生态环境监测方案》，监测频次为每季度采样监测1次，每两年（偶数年）开展一次水质</w:t>
      </w:r>
      <w:r>
        <w:rPr>
          <w:rFonts w:hint="eastAsia"/>
          <w:sz w:val="24"/>
          <w:lang w:eastAsia="zh-CN"/>
        </w:rPr>
        <w:t>常规</w:t>
      </w:r>
      <w:r>
        <w:rPr>
          <w:rFonts w:hint="eastAsia"/>
          <w:sz w:val="24"/>
        </w:rPr>
        <w:t>监测。目前，湘阴县疾病预防控制中心定期对原水、出厂水、末梢水的水质进行了监测，监测频次为原水每年监测一次、出厂水和末梢水每年监测两次，原水每次监测色度、浊度等30个指标因子，出厂水</w:t>
      </w:r>
      <w:r>
        <w:rPr>
          <w:rFonts w:hint="eastAsia"/>
          <w:sz w:val="24"/>
          <w:lang w:eastAsia="zh-CN"/>
        </w:rPr>
        <w:t>、</w:t>
      </w:r>
      <w:r>
        <w:rPr>
          <w:rFonts w:hint="eastAsia"/>
          <w:sz w:val="24"/>
        </w:rPr>
        <w:t>末梢水每次监测菌落总数、总大肠菌群等</w:t>
      </w:r>
      <w:r>
        <w:rPr>
          <w:rFonts w:hint="eastAsia"/>
          <w:sz w:val="24"/>
          <w:lang w:val="en-US" w:eastAsia="zh-CN"/>
        </w:rPr>
        <w:t>30</w:t>
      </w:r>
      <w:r>
        <w:rPr>
          <w:rFonts w:hint="eastAsia"/>
          <w:sz w:val="24"/>
        </w:rPr>
        <w:t>个指标因子。</w:t>
      </w:r>
      <w:r>
        <w:rPr>
          <w:rFonts w:hint="eastAsia"/>
          <w:sz w:val="24"/>
          <w:lang w:eastAsia="zh-CN"/>
        </w:rPr>
        <w:t>长仑水厂</w:t>
      </w:r>
      <w:r>
        <w:rPr>
          <w:rFonts w:hint="eastAsia"/>
          <w:sz w:val="24"/>
        </w:rPr>
        <w:t>每</w:t>
      </w:r>
      <w:r>
        <w:rPr>
          <w:rFonts w:hint="eastAsia"/>
          <w:sz w:val="24"/>
          <w:lang w:eastAsia="zh-CN"/>
        </w:rPr>
        <w:t>天</w:t>
      </w:r>
      <w:r>
        <w:rPr>
          <w:rFonts w:hint="eastAsia"/>
          <w:sz w:val="24"/>
        </w:rPr>
        <w:t>将对出厂水和末梢水进行一次常规监测，每次监测总大肠菌群、菌落总数、余氯或二氧化氯、色度、浊度、PH、肉眼可见物、臭和味共8个监测指标因子。</w:t>
      </w:r>
    </w:p>
    <w:p>
      <w:pPr>
        <w:spacing w:line="360" w:lineRule="auto"/>
        <w:ind w:firstLine="480" w:firstLineChars="200"/>
        <w:jc w:val="left"/>
        <w:rPr>
          <w:rFonts w:hint="eastAsia"/>
          <w:sz w:val="24"/>
        </w:rPr>
      </w:pPr>
      <w:r>
        <w:rPr>
          <w:rFonts w:hint="eastAsia"/>
          <w:sz w:val="24"/>
        </w:rPr>
        <w:t>本地下水水源地属于中小型供水规模，无视频监控设施建设要求。</w:t>
      </w:r>
      <w:r>
        <w:rPr>
          <w:rFonts w:hint="eastAsia"/>
          <w:sz w:val="24"/>
          <w:lang w:eastAsia="zh-CN"/>
        </w:rPr>
        <w:t>建议</w:t>
      </w:r>
      <w:r>
        <w:rPr>
          <w:rFonts w:hint="eastAsia"/>
          <w:sz w:val="24"/>
        </w:rPr>
        <w:t>有条件的基础上，增加视频监控。</w:t>
      </w:r>
    </w:p>
    <w:p>
      <w:pPr>
        <w:adjustRightInd w:val="0"/>
        <w:snapToGrid w:val="0"/>
        <w:spacing w:line="360" w:lineRule="auto"/>
        <w:ind w:firstLine="643" w:firstLineChars="200"/>
        <w:jc w:val="center"/>
        <w:rPr>
          <w:rFonts w:hint="eastAsia"/>
          <w:b/>
          <w:bCs/>
          <w:sz w:val="32"/>
          <w:szCs w:val="32"/>
          <w:lang w:bidi="ar"/>
        </w:rPr>
      </w:pPr>
      <w:r>
        <w:rPr>
          <w:rFonts w:hint="eastAsia"/>
          <w:b/>
          <w:bCs/>
          <w:sz w:val="32"/>
          <w:szCs w:val="32"/>
          <w:lang w:bidi="ar"/>
        </w:rPr>
        <w:br w:type="page"/>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center"/>
        <w:textAlignment w:val="auto"/>
        <w:outlineLvl w:val="0"/>
        <w:rPr>
          <w:lang w:bidi="ar"/>
        </w:rPr>
      </w:pPr>
      <w:bookmarkStart w:id="103" w:name="_Toc16838"/>
      <w:bookmarkStart w:id="104" w:name="_Toc28640"/>
      <w:r>
        <w:rPr>
          <w:rFonts w:hint="eastAsia"/>
          <w:b/>
          <w:bCs/>
          <w:sz w:val="32"/>
          <w:szCs w:val="32"/>
          <w:lang w:bidi="ar"/>
        </w:rPr>
        <w:t>第三章 饮用水水源地保护区划分</w:t>
      </w:r>
      <w:bookmarkEnd w:id="103"/>
      <w:bookmarkEnd w:id="104"/>
    </w:p>
    <w:p>
      <w:pPr>
        <w:pStyle w:val="4"/>
        <w:spacing w:before="156" w:after="156"/>
      </w:pPr>
      <w:bookmarkStart w:id="105" w:name="_Toc32279"/>
      <w:bookmarkStart w:id="106" w:name="_Toc8704"/>
      <w:r>
        <w:rPr>
          <w:rFonts w:hint="eastAsia"/>
        </w:rPr>
        <w:t>3.1 饮用水水源保护区划分的技术方法</w:t>
      </w:r>
      <w:bookmarkEnd w:id="105"/>
      <w:bookmarkEnd w:id="106"/>
    </w:p>
    <w:p>
      <w:pPr>
        <w:autoSpaceDE w:val="0"/>
        <w:autoSpaceDN w:val="0"/>
        <w:snapToGrid w:val="0"/>
        <w:spacing w:line="360" w:lineRule="auto"/>
        <w:ind w:left="480"/>
        <w:rPr>
          <w:rFonts w:ascii="宋体" w:hAnsi="宋体" w:eastAsia="宋体" w:cs="宋体"/>
          <w:sz w:val="24"/>
        </w:rPr>
      </w:pPr>
      <w:bookmarkStart w:id="107" w:name="_Toc438805138"/>
      <w:bookmarkStart w:id="108" w:name="_Toc450121617"/>
      <w:r>
        <w:rPr>
          <w:rFonts w:ascii="宋体" w:hAnsi="宋体" w:eastAsia="宋体" w:cs="宋体"/>
          <w:sz w:val="24"/>
        </w:rPr>
        <w:t>一、《饮用水水源保护区划分技术规范》（</w:t>
      </w:r>
      <w:r>
        <w:rPr>
          <w:rFonts w:ascii="Calibri" w:hAnsi="Calibri" w:eastAsia="Calibri" w:cs="Calibri"/>
          <w:b/>
          <w:sz w:val="24"/>
        </w:rPr>
        <w:t>HJ338-2018</w:t>
      </w:r>
      <w:r>
        <w:rPr>
          <w:rFonts w:ascii="宋体" w:hAnsi="宋体" w:eastAsia="宋体" w:cs="宋体"/>
          <w:sz w:val="24"/>
        </w:rPr>
        <w:t>）</w:t>
      </w:r>
    </w:p>
    <w:p>
      <w:pPr>
        <w:autoSpaceDE w:val="0"/>
        <w:autoSpaceDN w:val="0"/>
        <w:snapToGrid w:val="0"/>
        <w:spacing w:line="360" w:lineRule="auto"/>
        <w:ind w:firstLine="480"/>
        <w:rPr>
          <w:rFonts w:ascii="宋体" w:hAnsi="宋体" w:eastAsia="宋体" w:cs="宋体"/>
          <w:sz w:val="24"/>
        </w:rPr>
      </w:pPr>
      <w:r>
        <w:rPr>
          <w:rFonts w:ascii="宋体" w:hAnsi="宋体" w:eastAsia="宋体" w:cs="宋体"/>
          <w:spacing w:val="-2"/>
          <w:sz w:val="24"/>
        </w:rPr>
        <w:t>该水源地为中小型水源</w:t>
      </w:r>
      <w:r>
        <w:rPr>
          <w:rFonts w:ascii="宋体" w:hAnsi="宋体" w:eastAsia="宋体" w:cs="宋体"/>
          <w:spacing w:val="-18"/>
          <w:sz w:val="24"/>
        </w:rPr>
        <w:t>地</w:t>
      </w:r>
      <w:r>
        <w:rPr>
          <w:rFonts w:ascii="宋体" w:hAnsi="宋体" w:eastAsia="宋体" w:cs="宋体"/>
          <w:spacing w:val="-2"/>
          <w:sz w:val="24"/>
        </w:rPr>
        <w:t>（日开采能力小</w:t>
      </w:r>
      <w:r>
        <w:rPr>
          <w:rFonts w:ascii="宋体" w:hAnsi="宋体" w:eastAsia="宋体" w:cs="宋体"/>
          <w:spacing w:val="28"/>
          <w:sz w:val="24"/>
        </w:rPr>
        <w:t>于</w:t>
      </w:r>
      <w:r>
        <w:rPr>
          <w:rFonts w:eastAsia="Times New Roman"/>
          <w:spacing w:val="58"/>
          <w:sz w:val="24"/>
        </w:rPr>
        <w:t>5</w:t>
      </w:r>
      <w:r>
        <w:rPr>
          <w:rFonts w:ascii="宋体" w:hAnsi="宋体" w:eastAsia="宋体" w:cs="宋体"/>
          <w:spacing w:val="-2"/>
          <w:sz w:val="24"/>
        </w:rPr>
        <w:t>万立方米</w:t>
      </w:r>
      <w:r>
        <w:rPr>
          <w:rFonts w:ascii="宋体" w:hAnsi="宋体" w:eastAsia="宋体" w:cs="宋体"/>
          <w:spacing w:val="-18"/>
          <w:sz w:val="24"/>
        </w:rPr>
        <w:t>），</w:t>
      </w:r>
      <w:r>
        <w:rPr>
          <w:rFonts w:ascii="宋体" w:hAnsi="宋体" w:eastAsia="宋体" w:cs="宋体"/>
          <w:spacing w:val="-2"/>
          <w:sz w:val="24"/>
        </w:rPr>
        <w:t>类型为</w:t>
      </w:r>
      <w:r>
        <w:rPr>
          <w:rFonts w:ascii="宋体" w:hAnsi="宋体" w:eastAsia="宋体" w:cs="宋体"/>
          <w:spacing w:val="-1"/>
          <w:sz w:val="24"/>
        </w:rPr>
        <w:t>孔隙承压水</w:t>
      </w:r>
      <w:r>
        <w:rPr>
          <w:rFonts w:ascii="宋体" w:hAnsi="宋体" w:eastAsia="宋体" w:cs="宋体"/>
          <w:spacing w:val="-5"/>
          <w:sz w:val="24"/>
        </w:rPr>
        <w:t>，</w:t>
      </w:r>
      <w:r>
        <w:rPr>
          <w:rFonts w:ascii="宋体" w:hAnsi="宋体" w:eastAsia="宋体" w:cs="宋体"/>
          <w:spacing w:val="-1"/>
          <w:sz w:val="24"/>
        </w:rPr>
        <w:t>因此</w:t>
      </w:r>
      <w:r>
        <w:rPr>
          <w:rFonts w:ascii="宋体" w:hAnsi="宋体" w:eastAsia="宋体" w:cs="宋体"/>
          <w:spacing w:val="-5"/>
          <w:sz w:val="24"/>
        </w:rPr>
        <w:t>，</w:t>
      </w:r>
      <w:r>
        <w:rPr>
          <w:rFonts w:ascii="宋体" w:hAnsi="宋体" w:eastAsia="宋体" w:cs="宋体"/>
          <w:sz w:val="24"/>
        </w:rPr>
        <w:t>采用《饮用水水源保护区划分技术规范</w:t>
      </w:r>
      <w:r>
        <w:rPr>
          <w:rFonts w:ascii="宋体" w:hAnsi="宋体" w:eastAsia="宋体" w:cs="宋体"/>
          <w:spacing w:val="-7"/>
          <w:sz w:val="24"/>
        </w:rPr>
        <w:t>》</w:t>
      </w:r>
      <w:r>
        <w:rPr>
          <w:rFonts w:ascii="宋体" w:hAnsi="宋体" w:eastAsia="宋体" w:cs="宋体"/>
          <w:sz w:val="24"/>
        </w:rPr>
        <w:t>（</w:t>
      </w:r>
      <w:r>
        <w:rPr>
          <w:rFonts w:ascii="Calibri" w:hAnsi="Calibri" w:eastAsia="Calibri" w:cs="Calibri"/>
          <w:sz w:val="24"/>
        </w:rPr>
        <w:t>HJ338-2018</w:t>
      </w:r>
      <w:r>
        <w:rPr>
          <w:rFonts w:ascii="宋体" w:hAnsi="宋体" w:eastAsia="宋体" w:cs="宋体"/>
          <w:spacing w:val="-4"/>
          <w:sz w:val="24"/>
        </w:rPr>
        <w:t>）</w:t>
      </w:r>
      <w:r>
        <w:rPr>
          <w:rFonts w:ascii="宋体" w:hAnsi="宋体" w:eastAsia="宋体" w:cs="宋体"/>
          <w:sz w:val="24"/>
        </w:rPr>
        <w:t>推荐的类比经验法，小型孔隙水承压水水源保护区划分方法为：</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（一）一级保护区</w:t>
      </w:r>
    </w:p>
    <w:p>
      <w:pPr>
        <w:autoSpaceDE w:val="0"/>
        <w:autoSpaceDN w:val="0"/>
        <w:snapToGrid w:val="0"/>
        <w:spacing w:line="360" w:lineRule="auto"/>
        <w:ind w:firstLine="480"/>
        <w:rPr>
          <w:rFonts w:ascii="宋体" w:hAnsi="宋体" w:eastAsia="宋体" w:cs="宋体"/>
          <w:sz w:val="24"/>
        </w:rPr>
      </w:pPr>
      <w:r>
        <w:rPr>
          <w:rFonts w:ascii="宋体" w:hAnsi="宋体" w:eastAsia="宋体" w:cs="宋体"/>
          <w:spacing w:val="-1"/>
          <w:sz w:val="24"/>
        </w:rPr>
        <w:t>将上</w:t>
      </w:r>
      <w:r>
        <w:rPr>
          <w:rFonts w:ascii="宋体" w:hAnsi="宋体" w:eastAsia="宋体" w:cs="宋体"/>
          <w:sz w:val="24"/>
        </w:rPr>
        <w:t>部潜水的一级保护区作为承压水的一级保护区</w:t>
      </w:r>
      <w:r>
        <w:rPr>
          <w:rFonts w:ascii="宋体" w:hAnsi="宋体" w:eastAsia="宋体" w:cs="宋体"/>
          <w:spacing w:val="-47"/>
          <w:sz w:val="24"/>
        </w:rPr>
        <w:t>，</w:t>
      </w:r>
      <w:r>
        <w:rPr>
          <w:rFonts w:ascii="宋体" w:hAnsi="宋体" w:eastAsia="宋体" w:cs="宋体"/>
          <w:sz w:val="24"/>
        </w:rPr>
        <w:t>划定方法同孔隙潜水小型水源地。</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r>
        <w:rPr>
          <w:rFonts w:hint="eastAsia"/>
          <w:b/>
          <w:szCs w:val="21"/>
        </w:rPr>
        <w:t>表3-1 孔隙水潜水型水源地保护区范围经验值</w:t>
      </w:r>
    </w:p>
    <w:tbl>
      <w:tblPr>
        <w:tblStyle w:val="19"/>
        <w:tblW w:w="5559"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2295"/>
        <w:gridCol w:w="2220"/>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cantSplit/>
          <w:trHeight w:val="390" w:hRule="exac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介质类型</w:t>
            </w:r>
          </w:p>
        </w:tc>
        <w:tc>
          <w:tcPr>
            <w:tcW w:w="22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一级保护区半</w:t>
            </w:r>
            <w:r>
              <w:rPr>
                <w:rFonts w:ascii="宋体" w:hAnsi="宋体" w:eastAsia="宋体" w:cs="宋体"/>
                <w:spacing w:val="26"/>
              </w:rPr>
              <w:t>径</w:t>
            </w:r>
            <w:r>
              <w:rPr>
                <w:rFonts w:ascii="宋体" w:hAnsi="宋体" w:eastAsia="宋体" w:cs="宋体"/>
              </w:rPr>
              <w:t>R（m）</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二级保护区半</w:t>
            </w:r>
            <w:r>
              <w:rPr>
                <w:rFonts w:ascii="宋体" w:hAnsi="宋体" w:eastAsia="宋体" w:cs="宋体"/>
                <w:spacing w:val="27"/>
              </w:rPr>
              <w:t>径</w:t>
            </w:r>
            <w:r>
              <w:rPr>
                <w:rFonts w:ascii="宋体" w:hAnsi="宋体" w:eastAsia="宋体" w:cs="宋体"/>
              </w:rPr>
              <w:t>R（m）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cantSplit/>
          <w:trHeight w:val="397" w:hRule="exac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细砂</w:t>
            </w:r>
          </w:p>
        </w:tc>
        <w:tc>
          <w:tcPr>
            <w:tcW w:w="22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30</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300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cantSplit/>
          <w:trHeight w:val="397" w:hRule="exac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中砂</w:t>
            </w:r>
          </w:p>
        </w:tc>
        <w:tc>
          <w:tcPr>
            <w:tcW w:w="22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50</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500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cantSplit/>
          <w:trHeight w:val="397" w:hRule="exac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粗砂</w:t>
            </w:r>
          </w:p>
        </w:tc>
        <w:tc>
          <w:tcPr>
            <w:tcW w:w="22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100</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1000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cantSplit/>
          <w:trHeight w:val="397" w:hRule="exac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砾石</w:t>
            </w:r>
          </w:p>
        </w:tc>
        <w:tc>
          <w:tcPr>
            <w:tcW w:w="22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200</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2000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cantSplit/>
          <w:trHeight w:val="404" w:hRule="exac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卵石</w:t>
            </w:r>
          </w:p>
        </w:tc>
        <w:tc>
          <w:tcPr>
            <w:tcW w:w="22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500</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5000</w:t>
            </w:r>
          </w:p>
        </w:tc>
      </w:tr>
    </w:tbl>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（二）二级保护区</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不设二级保护区。</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（三）准保护区</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将水源补给区划为准保护区。</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二、环水体函</w:t>
      </w:r>
      <w:r>
        <w:rPr>
          <w:rFonts w:ascii="Calibri" w:hAnsi="Calibri" w:eastAsia="Calibri" w:cs="Calibri"/>
          <w:sz w:val="24"/>
        </w:rPr>
        <w:t>[2019]92</w:t>
      </w:r>
      <w:r>
        <w:rPr>
          <w:rFonts w:ascii="Calibri" w:hAnsi="Calibri" w:eastAsia="Calibri" w:cs="Calibri"/>
          <w:spacing w:val="-31"/>
          <w:sz w:val="24"/>
        </w:rPr>
        <w:t xml:space="preserve"> </w:t>
      </w:r>
      <w:r>
        <w:rPr>
          <w:rFonts w:ascii="宋体" w:hAnsi="宋体" w:eastAsia="宋体" w:cs="宋体"/>
          <w:sz w:val="24"/>
        </w:rPr>
        <w:t>号文的相关规定</w:t>
      </w:r>
    </w:p>
    <w:p>
      <w:pPr>
        <w:keepNext w:val="0"/>
        <w:keepLines w:val="0"/>
        <w:pageBreakBefore w:val="0"/>
        <w:widowControl w:val="0"/>
        <w:kinsoku/>
        <w:wordWrap/>
        <w:overflowPunct/>
        <w:topLinePunct w:val="0"/>
        <w:autoSpaceDE w:val="0"/>
        <w:autoSpaceDN w:val="0"/>
        <w:bidi w:val="0"/>
        <w:adjustRightInd/>
        <w:snapToGrid w:val="0"/>
        <w:spacing w:line="360" w:lineRule="auto"/>
        <w:ind w:left="0" w:firstLine="476" w:firstLineChars="200"/>
        <w:textAlignment w:val="auto"/>
        <w:rPr>
          <w:rFonts w:hint="eastAsia" w:ascii="宋体" w:hAnsi="宋体" w:eastAsia="宋体" w:cs="宋体"/>
          <w:sz w:val="24"/>
        </w:rPr>
      </w:pPr>
      <w:r>
        <w:rPr>
          <w:rFonts w:ascii="宋体" w:hAnsi="宋体" w:eastAsia="宋体" w:cs="宋体"/>
          <w:spacing w:val="-1"/>
          <w:sz w:val="24"/>
        </w:rPr>
        <w:t>保护</w:t>
      </w:r>
      <w:r>
        <w:rPr>
          <w:rFonts w:ascii="宋体" w:hAnsi="宋体" w:eastAsia="宋体" w:cs="宋体"/>
          <w:sz w:val="24"/>
        </w:rPr>
        <w:t>区划分为一级保护区和二级保护区</w:t>
      </w:r>
      <w:r>
        <w:rPr>
          <w:rFonts w:ascii="宋体" w:hAnsi="宋体" w:eastAsia="宋体" w:cs="宋体"/>
          <w:spacing w:val="-47"/>
          <w:sz w:val="24"/>
        </w:rPr>
        <w:t>。</w:t>
      </w:r>
      <w:r>
        <w:rPr>
          <w:rFonts w:ascii="宋体" w:hAnsi="宋体" w:eastAsia="宋体" w:cs="宋体"/>
          <w:sz w:val="24"/>
        </w:rPr>
        <w:t>各地在保障农村水源地水质安全的</w:t>
      </w:r>
      <w:r>
        <w:rPr>
          <w:rFonts w:ascii="宋体" w:hAnsi="宋体" w:eastAsia="宋体" w:cs="宋体"/>
          <w:spacing w:val="-2"/>
          <w:sz w:val="24"/>
        </w:rPr>
        <w:t>前提下</w:t>
      </w:r>
      <w:r>
        <w:rPr>
          <w:rFonts w:ascii="宋体" w:hAnsi="宋体" w:eastAsia="宋体" w:cs="宋体"/>
          <w:spacing w:val="-14"/>
          <w:sz w:val="24"/>
        </w:rPr>
        <w:t>，</w:t>
      </w:r>
      <w:r>
        <w:rPr>
          <w:rFonts w:ascii="宋体" w:hAnsi="宋体" w:eastAsia="宋体" w:cs="宋体"/>
          <w:spacing w:val="-2"/>
          <w:sz w:val="24"/>
        </w:rPr>
        <w:t>结合当地实际</w:t>
      </w:r>
      <w:r>
        <w:rPr>
          <w:rFonts w:ascii="宋体" w:hAnsi="宋体" w:eastAsia="宋体" w:cs="宋体"/>
          <w:spacing w:val="-14"/>
          <w:sz w:val="24"/>
        </w:rPr>
        <w:t>，</w:t>
      </w:r>
      <w:r>
        <w:rPr>
          <w:rFonts w:ascii="宋体" w:hAnsi="宋体" w:eastAsia="宋体" w:cs="宋体"/>
          <w:spacing w:val="-2"/>
          <w:sz w:val="24"/>
        </w:rPr>
        <w:t>因地制宜合理确定农村饮用水水源</w:t>
      </w:r>
      <w:r>
        <w:rPr>
          <w:rFonts w:ascii="宋体" w:hAnsi="宋体" w:eastAsia="宋体" w:cs="宋体"/>
          <w:spacing w:val="-1"/>
          <w:sz w:val="24"/>
        </w:rPr>
        <w:t>保护区</w:t>
      </w:r>
      <w:r>
        <w:rPr>
          <w:rFonts w:ascii="宋体" w:hAnsi="宋体" w:eastAsia="宋体" w:cs="宋体"/>
          <w:spacing w:val="-13"/>
          <w:sz w:val="24"/>
        </w:rPr>
        <w:t>。</w:t>
      </w:r>
      <w:r>
        <w:rPr>
          <w:rFonts w:ascii="宋体" w:hAnsi="宋体" w:eastAsia="宋体" w:cs="宋体"/>
          <w:spacing w:val="-1"/>
          <w:sz w:val="24"/>
        </w:rPr>
        <w:t>原则上</w:t>
      </w:r>
      <w:r>
        <w:rPr>
          <w:rFonts w:ascii="宋体" w:hAnsi="宋体" w:eastAsia="宋体" w:cs="宋体"/>
          <w:spacing w:val="-13"/>
          <w:sz w:val="24"/>
        </w:rPr>
        <w:t>，</w:t>
      </w:r>
      <w:r>
        <w:rPr>
          <w:rFonts w:ascii="宋体" w:hAnsi="宋体" w:eastAsia="宋体" w:cs="宋体"/>
          <w:spacing w:val="-1"/>
          <w:sz w:val="24"/>
        </w:rPr>
        <w:t>地</w:t>
      </w:r>
      <w:r>
        <w:rPr>
          <w:rFonts w:ascii="宋体" w:hAnsi="宋体" w:eastAsia="宋体" w:cs="宋体"/>
          <w:sz w:val="24"/>
        </w:rPr>
        <w:t>下水型保护区，以取水口为中心，径向距离不小</w:t>
      </w:r>
      <w:r>
        <w:rPr>
          <w:rFonts w:ascii="宋体" w:hAnsi="宋体" w:eastAsia="宋体" w:cs="宋体"/>
          <w:spacing w:val="30"/>
          <w:sz w:val="24"/>
        </w:rPr>
        <w:t>于</w:t>
      </w:r>
      <w:r>
        <w:rPr>
          <w:rFonts w:eastAsia="Times New Roman"/>
          <w:sz w:val="24"/>
        </w:rPr>
        <w:t>3</w:t>
      </w:r>
      <w:r>
        <w:rPr>
          <w:rFonts w:eastAsia="Times New Roman"/>
          <w:spacing w:val="60"/>
          <w:sz w:val="24"/>
        </w:rPr>
        <w:t>0</w:t>
      </w:r>
      <w:r>
        <w:rPr>
          <w:rFonts w:ascii="宋体" w:hAnsi="宋体" w:eastAsia="宋体" w:cs="宋体"/>
          <w:sz w:val="24"/>
        </w:rPr>
        <w:t>米的区域。</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outlineLvl w:val="1"/>
        <w:rPr>
          <w:rFonts w:ascii="Arial" w:hAnsi="Arial" w:eastAsia="Arial" w:cs="Arial"/>
          <w:b/>
          <w:bCs/>
          <w:sz w:val="32"/>
        </w:rPr>
      </w:pPr>
      <w:bookmarkStart w:id="109" w:name="_Toc31947"/>
      <w:bookmarkStart w:id="110" w:name="_Toc12180"/>
      <w:r>
        <w:rPr>
          <w:rFonts w:hint="eastAsia" w:ascii="宋体" w:hAnsi="宋体" w:eastAsia="宋体" w:cs="宋体"/>
          <w:b/>
          <w:bCs/>
          <w:sz w:val="32"/>
          <w:lang w:val="en-US" w:eastAsia="zh-CN"/>
        </w:rPr>
        <w:t>3.2</w:t>
      </w:r>
      <w:r>
        <w:rPr>
          <w:rFonts w:hint="eastAsia" w:ascii="宋体" w:hAnsi="宋体" w:eastAsia="宋体" w:cs="宋体"/>
          <w:b/>
          <w:bCs/>
          <w:sz w:val="32"/>
          <w:lang w:eastAsia="zh-CN"/>
        </w:rPr>
        <w:t>长仑</w:t>
      </w:r>
      <w:r>
        <w:rPr>
          <w:rFonts w:ascii="宋体" w:hAnsi="宋体" w:eastAsia="宋体" w:cs="宋体"/>
          <w:b/>
          <w:bCs/>
          <w:sz w:val="32"/>
        </w:rPr>
        <w:t>水厂地下水饮用水水源保护区的初步划分</w:t>
      </w:r>
      <w:bookmarkEnd w:id="109"/>
      <w:bookmarkEnd w:id="110"/>
    </w:p>
    <w:p>
      <w:pPr>
        <w:keepNext w:val="0"/>
        <w:keepLines w:val="0"/>
        <w:pageBreakBefore w:val="0"/>
        <w:widowControl w:val="0"/>
        <w:kinsoku/>
        <w:wordWrap/>
        <w:overflowPunct/>
        <w:topLinePunct w:val="0"/>
        <w:autoSpaceDE w:val="0"/>
        <w:autoSpaceDN w:val="0"/>
        <w:bidi w:val="0"/>
        <w:adjustRightInd/>
        <w:snapToGrid w:val="0"/>
        <w:spacing w:line="360" w:lineRule="auto"/>
        <w:ind w:left="0" w:firstLine="476" w:firstLineChars="200"/>
        <w:textAlignment w:val="auto"/>
        <w:rPr>
          <w:rFonts w:hint="eastAsia" w:ascii="宋体" w:hAnsi="宋体" w:eastAsia="宋体" w:cs="宋体"/>
          <w:spacing w:val="-1"/>
          <w:sz w:val="24"/>
        </w:rPr>
      </w:pPr>
      <w:r>
        <w:rPr>
          <w:rFonts w:ascii="宋体" w:hAnsi="宋体" w:eastAsia="宋体" w:cs="宋体"/>
          <w:spacing w:val="-1"/>
          <w:sz w:val="24"/>
        </w:rPr>
        <w:t>为了便于开展日常环境管理工作，依据保护区划分的原则，结合水源保护区的区位、地形、水文地质条件等特点，确定</w:t>
      </w:r>
      <w:r>
        <w:rPr>
          <w:rFonts w:hint="eastAsia" w:ascii="宋体" w:hAnsi="宋体" w:eastAsia="宋体" w:cs="宋体"/>
          <w:spacing w:val="-1"/>
          <w:sz w:val="24"/>
          <w:lang w:eastAsia="zh-CN"/>
        </w:rPr>
        <w:t>长仑</w:t>
      </w:r>
      <w:r>
        <w:rPr>
          <w:rFonts w:ascii="宋体" w:hAnsi="宋体" w:eastAsia="宋体" w:cs="宋体"/>
          <w:spacing w:val="-1"/>
          <w:sz w:val="24"/>
        </w:rPr>
        <w:t>水厂地下</w:t>
      </w:r>
      <w:r>
        <w:rPr>
          <w:rFonts w:ascii="宋体" w:hAnsi="宋体" w:eastAsia="宋体" w:cs="宋体"/>
          <w:spacing w:val="-1"/>
          <w:sz w:val="24"/>
        </w:rPr>
        <w:t>水饮</w:t>
      </w:r>
      <w:r>
        <w:rPr>
          <w:rFonts w:ascii="宋体" w:hAnsi="宋体" w:eastAsia="宋体" w:cs="宋体"/>
          <w:spacing w:val="-1"/>
          <w:sz w:val="24"/>
        </w:rPr>
        <w:t>用水源保护区划分调整方案为拟设一级保护区，不设二级保护区和准保护区。</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outlineLvl w:val="2"/>
        <w:rPr>
          <w:b/>
          <w:bCs/>
          <w:spacing w:val="1"/>
          <w:sz w:val="30"/>
        </w:rPr>
      </w:pPr>
      <w:bookmarkStart w:id="111" w:name="_Toc18154"/>
      <w:bookmarkStart w:id="112" w:name="_Toc5997"/>
      <w:r>
        <w:rPr>
          <w:rFonts w:hint="eastAsia" w:ascii="宋体" w:hAnsi="宋体" w:eastAsia="宋体" w:cs="宋体"/>
          <w:b/>
          <w:bCs/>
          <w:sz w:val="30"/>
          <w:lang w:val="en-US" w:eastAsia="zh-CN"/>
        </w:rPr>
        <w:t>3.2.1</w:t>
      </w:r>
      <w:r>
        <w:rPr>
          <w:rFonts w:ascii="宋体" w:hAnsi="宋体" w:eastAsia="宋体" w:cs="宋体"/>
          <w:b/>
          <w:bCs/>
          <w:sz w:val="30"/>
        </w:rPr>
        <w:t>一级保护区</w:t>
      </w:r>
      <w:bookmarkEnd w:id="111"/>
      <w:bookmarkEnd w:id="112"/>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（一）划分方法的确定</w:t>
      </w:r>
    </w:p>
    <w:p>
      <w:pPr>
        <w:autoSpaceDE w:val="0"/>
        <w:autoSpaceDN w:val="0"/>
        <w:snapToGrid w:val="0"/>
        <w:spacing w:line="360" w:lineRule="auto"/>
        <w:ind w:firstLine="480"/>
        <w:rPr>
          <w:rFonts w:ascii="宋体" w:hAnsi="宋体" w:eastAsia="宋体" w:cs="宋体"/>
          <w:sz w:val="24"/>
        </w:rPr>
      </w:pPr>
      <w:r>
        <w:rPr>
          <w:rFonts w:ascii="宋体" w:hAnsi="宋体" w:eastAsia="宋体" w:cs="宋体"/>
          <w:spacing w:val="-1"/>
          <w:sz w:val="24"/>
        </w:rPr>
        <w:t>由</w:t>
      </w:r>
      <w:r>
        <w:rPr>
          <w:rFonts w:ascii="宋体" w:hAnsi="宋体" w:eastAsia="宋体" w:cs="宋体"/>
          <w:sz w:val="24"/>
        </w:rPr>
        <w:t>于本水源地的上部为粘土隔水层</w:t>
      </w:r>
      <w:r>
        <w:rPr>
          <w:rFonts w:ascii="宋体" w:hAnsi="宋体" w:eastAsia="宋体" w:cs="宋体"/>
          <w:spacing w:val="-24"/>
          <w:sz w:val="24"/>
        </w:rPr>
        <w:t>，</w:t>
      </w:r>
      <w:r>
        <w:rPr>
          <w:rFonts w:ascii="宋体" w:hAnsi="宋体" w:eastAsia="宋体" w:cs="宋体"/>
          <w:sz w:val="24"/>
        </w:rPr>
        <w:t>取水层承压水上部无潜水</w:t>
      </w:r>
      <w:r>
        <w:rPr>
          <w:rFonts w:ascii="宋体" w:hAnsi="宋体" w:eastAsia="宋体" w:cs="宋体"/>
          <w:spacing w:val="-23"/>
          <w:sz w:val="24"/>
        </w:rPr>
        <w:t>，</w:t>
      </w:r>
      <w:r>
        <w:rPr>
          <w:rFonts w:ascii="宋体" w:hAnsi="宋体" w:eastAsia="宋体" w:cs="宋体"/>
          <w:sz w:val="24"/>
        </w:rPr>
        <w:t>所以直接采</w:t>
      </w:r>
      <w:r>
        <w:rPr>
          <w:rFonts w:ascii="宋体" w:hAnsi="宋体" w:eastAsia="宋体" w:cs="宋体"/>
          <w:spacing w:val="30"/>
          <w:sz w:val="24"/>
        </w:rPr>
        <w:t>用</w:t>
      </w:r>
      <w:r>
        <w:rPr>
          <w:rFonts w:ascii="Calibri" w:hAnsi="Calibri" w:eastAsia="Calibri" w:cs="Calibri"/>
          <w:sz w:val="24"/>
        </w:rPr>
        <w:t>HJ338-2018</w:t>
      </w:r>
      <w:r>
        <w:rPr>
          <w:rFonts w:ascii="Calibri" w:hAnsi="Calibri" w:eastAsia="Calibri" w:cs="Calibri"/>
          <w:spacing w:val="-30"/>
          <w:sz w:val="24"/>
        </w:rPr>
        <w:t xml:space="preserve"> </w:t>
      </w:r>
      <w:r>
        <w:rPr>
          <w:rFonts w:ascii="宋体" w:hAnsi="宋体" w:eastAsia="宋体" w:cs="宋体"/>
          <w:sz w:val="24"/>
        </w:rPr>
        <w:t>中的经验值法确定保护区范围。</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（二）单井保护区范围的确定</w:t>
      </w:r>
    </w:p>
    <w:p>
      <w:pPr>
        <w:autoSpaceDE w:val="0"/>
        <w:autoSpaceDN w:val="0"/>
        <w:snapToGrid w:val="0"/>
        <w:spacing w:line="360" w:lineRule="auto"/>
        <w:ind w:firstLine="480"/>
        <w:rPr>
          <w:rFonts w:ascii="宋体" w:hAnsi="宋体" w:eastAsia="宋体" w:cs="宋体"/>
          <w:sz w:val="24"/>
        </w:rPr>
      </w:pPr>
      <w:r>
        <w:rPr>
          <w:rFonts w:ascii="宋体" w:hAnsi="宋体" w:eastAsia="宋体" w:cs="宋体"/>
          <w:spacing w:val="-2"/>
          <w:sz w:val="24"/>
        </w:rPr>
        <w:t>本水源地上层为粘土层，其渗透系数远小</w:t>
      </w:r>
      <w:r>
        <w:rPr>
          <w:rFonts w:ascii="宋体" w:hAnsi="宋体" w:eastAsia="宋体" w:cs="宋体"/>
          <w:spacing w:val="28"/>
          <w:sz w:val="24"/>
        </w:rPr>
        <w:t>于</w:t>
      </w:r>
      <w:r>
        <w:rPr>
          <w:rFonts w:ascii="Calibri" w:hAnsi="Calibri" w:eastAsia="Calibri" w:cs="Calibri"/>
          <w:spacing w:val="-2"/>
          <w:sz w:val="24"/>
        </w:rPr>
        <w:t>HJ338-2018</w:t>
      </w:r>
      <w:r>
        <w:rPr>
          <w:rFonts w:ascii="Calibri" w:hAnsi="Calibri" w:eastAsia="Calibri" w:cs="Calibri"/>
          <w:spacing w:val="-31"/>
          <w:sz w:val="24"/>
        </w:rPr>
        <w:t xml:space="preserve"> </w:t>
      </w:r>
      <w:r>
        <w:rPr>
          <w:rFonts w:ascii="宋体" w:hAnsi="宋体" w:eastAsia="宋体" w:cs="宋体"/>
          <w:spacing w:val="29"/>
          <w:sz w:val="24"/>
        </w:rPr>
        <w:t>中</w:t>
      </w:r>
      <w:r>
        <w:rPr>
          <w:rFonts w:ascii="Calibri" w:hAnsi="Calibri" w:eastAsia="Calibri" w:cs="Calibri"/>
          <w:spacing w:val="-1"/>
          <w:sz w:val="24"/>
        </w:rPr>
        <w:t>4.5.2.1</w:t>
      </w:r>
      <w:r>
        <w:rPr>
          <w:rFonts w:ascii="Calibri" w:hAnsi="Calibri" w:eastAsia="Calibri" w:cs="Calibri"/>
          <w:spacing w:val="-31"/>
          <w:sz w:val="24"/>
        </w:rPr>
        <w:t xml:space="preserve"> </w:t>
      </w:r>
      <w:r>
        <w:rPr>
          <w:rFonts w:ascii="宋体" w:hAnsi="宋体" w:eastAsia="宋体" w:cs="宋体"/>
          <w:spacing w:val="29"/>
          <w:sz w:val="24"/>
        </w:rPr>
        <w:t>表</w:t>
      </w:r>
      <w:r>
        <w:rPr>
          <w:rFonts w:ascii="Calibri" w:hAnsi="Calibri" w:eastAsia="Calibri" w:cs="Calibri"/>
          <w:spacing w:val="-1"/>
          <w:sz w:val="24"/>
        </w:rPr>
        <w:t>1</w:t>
      </w:r>
      <w:r>
        <w:rPr>
          <w:rFonts w:ascii="Calibri" w:hAnsi="Calibri" w:eastAsia="Calibri" w:cs="Calibri"/>
          <w:spacing w:val="-31"/>
          <w:sz w:val="24"/>
        </w:rPr>
        <w:t xml:space="preserve"> </w:t>
      </w:r>
      <w:r>
        <w:rPr>
          <w:rFonts w:ascii="宋体" w:hAnsi="宋体" w:eastAsia="宋体" w:cs="宋体"/>
          <w:spacing w:val="-1"/>
          <w:sz w:val="24"/>
        </w:rPr>
        <w:t>中的</w:t>
      </w:r>
      <w:r>
        <w:rPr>
          <w:rFonts w:ascii="宋体" w:hAnsi="宋体" w:eastAsia="宋体" w:cs="宋体"/>
          <w:sz w:val="24"/>
        </w:rPr>
        <w:t>细砂，直接取细砂的经验</w:t>
      </w:r>
      <w:r>
        <w:rPr>
          <w:rFonts w:ascii="宋体" w:hAnsi="宋体" w:eastAsia="宋体" w:cs="宋体"/>
          <w:spacing w:val="30"/>
          <w:sz w:val="24"/>
        </w:rPr>
        <w:t>值</w:t>
      </w:r>
      <w:r>
        <w:rPr>
          <w:rFonts w:eastAsia="Times New Roman"/>
          <w:sz w:val="24"/>
        </w:rPr>
        <w:t>30m</w:t>
      </w:r>
      <w:r>
        <w:rPr>
          <w:rFonts w:ascii="宋体" w:hAnsi="宋体" w:eastAsia="宋体" w:cs="宋体"/>
          <w:sz w:val="24"/>
        </w:rPr>
        <w:t>，因此单井保护区半</w:t>
      </w:r>
      <w:r>
        <w:rPr>
          <w:rFonts w:ascii="宋体" w:hAnsi="宋体" w:eastAsia="宋体" w:cs="宋体"/>
          <w:spacing w:val="30"/>
          <w:sz w:val="24"/>
        </w:rPr>
        <w:t>径</w:t>
      </w:r>
      <w:r>
        <w:rPr>
          <w:rFonts w:eastAsia="Times New Roman"/>
          <w:spacing w:val="61"/>
          <w:sz w:val="24"/>
        </w:rPr>
        <w:t>R</w:t>
      </w:r>
      <w:r>
        <w:rPr>
          <w:rFonts w:ascii="宋体" w:hAnsi="宋体" w:eastAsia="宋体" w:cs="宋体"/>
          <w:spacing w:val="30"/>
          <w:sz w:val="24"/>
        </w:rPr>
        <w:t>取</w:t>
      </w:r>
      <w:r>
        <w:rPr>
          <w:rFonts w:eastAsia="Times New Roman"/>
          <w:sz w:val="24"/>
        </w:rPr>
        <w:t>30m</w:t>
      </w:r>
      <w:r>
        <w:rPr>
          <w:rFonts w:ascii="宋体" w:hAnsi="宋体" w:eastAsia="宋体" w:cs="宋体"/>
          <w:sz w:val="24"/>
        </w:rPr>
        <w:t>。</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（三）井群保护区范围的确定</w:t>
      </w:r>
    </w:p>
    <w:p>
      <w:pPr>
        <w:autoSpaceDE w:val="0"/>
        <w:autoSpaceDN w:val="0"/>
        <w:snapToGrid w:val="0"/>
        <w:spacing w:line="360" w:lineRule="auto"/>
        <w:ind w:left="480"/>
        <w:rPr>
          <w:rFonts w:ascii="宋体" w:hAnsi="宋体" w:eastAsia="宋体" w:cs="宋体"/>
          <w:sz w:val="24"/>
        </w:rPr>
      </w:pPr>
      <w:r>
        <w:rPr>
          <w:rFonts w:ascii="宋体" w:hAnsi="宋体" w:eastAsia="宋体" w:cs="宋体"/>
          <w:sz w:val="24"/>
        </w:rPr>
        <w:t>按</w:t>
      </w:r>
      <w:r>
        <w:rPr>
          <w:rFonts w:ascii="宋体" w:hAnsi="宋体" w:eastAsia="宋体" w:cs="宋体"/>
          <w:spacing w:val="-29"/>
          <w:sz w:val="24"/>
        </w:rPr>
        <w:t xml:space="preserve"> </w:t>
      </w:r>
      <w:r>
        <w:rPr>
          <w:rFonts w:ascii="Calibri" w:hAnsi="Calibri" w:eastAsia="Calibri" w:cs="Calibri"/>
          <w:sz w:val="24"/>
        </w:rPr>
        <w:t>HJ338-2018</w:t>
      </w:r>
      <w:r>
        <w:rPr>
          <w:rFonts w:ascii="Calibri" w:hAnsi="Calibri" w:eastAsia="Calibri" w:cs="Calibri"/>
          <w:spacing w:val="-28"/>
          <w:sz w:val="24"/>
        </w:rPr>
        <w:t xml:space="preserve"> </w:t>
      </w:r>
      <w:r>
        <w:rPr>
          <w:rFonts w:ascii="宋体" w:hAnsi="宋体" w:eastAsia="宋体" w:cs="宋体"/>
          <w:sz w:val="24"/>
        </w:rPr>
        <w:t>中的</w:t>
      </w:r>
      <w:r>
        <w:rPr>
          <w:rFonts w:ascii="宋体" w:hAnsi="宋体" w:eastAsia="宋体" w:cs="宋体"/>
          <w:spacing w:val="-28"/>
          <w:sz w:val="24"/>
        </w:rPr>
        <w:t xml:space="preserve"> </w:t>
      </w:r>
      <w:r>
        <w:rPr>
          <w:rFonts w:ascii="Calibri" w:hAnsi="Calibri" w:eastAsia="Calibri" w:cs="Calibri"/>
          <w:sz w:val="24"/>
        </w:rPr>
        <w:t>4.5.2.3</w:t>
      </w:r>
      <w:r>
        <w:rPr>
          <w:rFonts w:ascii="宋体" w:hAnsi="宋体" w:eastAsia="宋体" w:cs="宋体"/>
          <w:sz w:val="24"/>
        </w:rPr>
        <w:t>，对于集中式供水水源地，井群内间距大于一级</w:t>
      </w:r>
    </w:p>
    <w:p>
      <w:pPr>
        <w:autoSpaceDE w:val="0"/>
        <w:autoSpaceDN w:val="0"/>
        <w:snapToGrid w:val="0"/>
        <w:spacing w:line="360" w:lineRule="auto"/>
        <w:rPr>
          <w:rFonts w:ascii="宋体" w:hAnsi="宋体" w:eastAsia="宋体" w:cs="宋体"/>
          <w:sz w:val="24"/>
        </w:rPr>
      </w:pPr>
      <w:r>
        <w:rPr>
          <w:rFonts w:ascii="宋体" w:hAnsi="宋体" w:eastAsia="宋体" w:cs="宋体"/>
          <w:spacing w:val="-1"/>
          <w:sz w:val="24"/>
        </w:rPr>
        <w:t>保</w:t>
      </w:r>
      <w:r>
        <w:rPr>
          <w:rFonts w:ascii="宋体" w:hAnsi="宋体" w:eastAsia="宋体" w:cs="宋体"/>
          <w:sz w:val="24"/>
        </w:rPr>
        <w:t>护区半径</w:t>
      </w:r>
      <w:r>
        <w:rPr>
          <w:rFonts w:ascii="宋体" w:hAnsi="宋体" w:eastAsia="宋体" w:cs="宋体"/>
          <w:spacing w:val="30"/>
          <w:sz w:val="24"/>
        </w:rPr>
        <w:t>的</w:t>
      </w:r>
      <w:r>
        <w:rPr>
          <w:rFonts w:eastAsia="Times New Roman"/>
          <w:spacing w:val="60"/>
          <w:sz w:val="24"/>
        </w:rPr>
        <w:t>2</w:t>
      </w:r>
      <w:r>
        <w:rPr>
          <w:rFonts w:ascii="宋体" w:hAnsi="宋体" w:eastAsia="宋体" w:cs="宋体"/>
          <w:sz w:val="24"/>
        </w:rPr>
        <w:t>倍时</w:t>
      </w:r>
      <w:r>
        <w:rPr>
          <w:rFonts w:ascii="宋体" w:hAnsi="宋体" w:eastAsia="宋体" w:cs="宋体"/>
          <w:spacing w:val="-24"/>
          <w:sz w:val="24"/>
        </w:rPr>
        <w:t>，</w:t>
      </w:r>
      <w:r>
        <w:rPr>
          <w:rFonts w:ascii="宋体" w:hAnsi="宋体" w:eastAsia="宋体" w:cs="宋体"/>
          <w:sz w:val="24"/>
        </w:rPr>
        <w:t>可以分别对每口井进行一级保护区划分</w:t>
      </w:r>
      <w:r>
        <w:rPr>
          <w:rFonts w:ascii="宋体" w:hAnsi="宋体" w:eastAsia="宋体" w:cs="宋体"/>
          <w:spacing w:val="-23"/>
          <w:sz w:val="24"/>
        </w:rPr>
        <w:t>；</w:t>
      </w:r>
      <w:r>
        <w:rPr>
          <w:rFonts w:ascii="宋体" w:hAnsi="宋体" w:eastAsia="宋体" w:cs="宋体"/>
          <w:sz w:val="24"/>
        </w:rPr>
        <w:t>井群内间距小于</w:t>
      </w:r>
      <w:r>
        <w:rPr>
          <w:rFonts w:ascii="宋体" w:hAnsi="宋体" w:eastAsia="宋体" w:cs="宋体"/>
          <w:spacing w:val="-1"/>
          <w:sz w:val="24"/>
        </w:rPr>
        <w:t>等</w:t>
      </w:r>
      <w:r>
        <w:rPr>
          <w:rFonts w:ascii="宋体" w:hAnsi="宋体" w:eastAsia="宋体" w:cs="宋体"/>
          <w:sz w:val="24"/>
        </w:rPr>
        <w:t>于一级保护区半径</w:t>
      </w:r>
      <w:r>
        <w:rPr>
          <w:rFonts w:ascii="宋体" w:hAnsi="宋体" w:eastAsia="宋体" w:cs="宋体"/>
          <w:spacing w:val="30"/>
          <w:sz w:val="24"/>
        </w:rPr>
        <w:t>的</w:t>
      </w:r>
      <w:r>
        <w:rPr>
          <w:rFonts w:eastAsia="Times New Roman"/>
          <w:spacing w:val="60"/>
          <w:sz w:val="24"/>
        </w:rPr>
        <w:t>2</w:t>
      </w:r>
      <w:r>
        <w:rPr>
          <w:rFonts w:ascii="宋体" w:hAnsi="宋体" w:eastAsia="宋体" w:cs="宋体"/>
          <w:sz w:val="24"/>
        </w:rPr>
        <w:t>倍时</w:t>
      </w:r>
      <w:r>
        <w:rPr>
          <w:rFonts w:ascii="宋体" w:hAnsi="宋体" w:eastAsia="宋体" w:cs="宋体"/>
          <w:spacing w:val="-24"/>
          <w:sz w:val="24"/>
        </w:rPr>
        <w:t>，</w:t>
      </w:r>
      <w:r>
        <w:rPr>
          <w:rFonts w:ascii="宋体" w:hAnsi="宋体" w:eastAsia="宋体" w:cs="宋体"/>
          <w:sz w:val="24"/>
        </w:rPr>
        <w:t>则以外围井的外接多边形为边界</w:t>
      </w:r>
      <w:r>
        <w:rPr>
          <w:rFonts w:ascii="宋体" w:hAnsi="宋体" w:eastAsia="宋体" w:cs="宋体"/>
          <w:spacing w:val="-23"/>
          <w:sz w:val="24"/>
        </w:rPr>
        <w:t>，</w:t>
      </w:r>
      <w:r>
        <w:rPr>
          <w:rFonts w:ascii="宋体" w:hAnsi="宋体" w:eastAsia="宋体" w:cs="宋体"/>
          <w:sz w:val="24"/>
        </w:rPr>
        <w:t>向外径向距离为一级保护区半径的多边形区域。</w:t>
      </w:r>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长仑水厂1号井和2号井相距约70m，3号水井与1号、2号水井相距分别为962m、925m，大于一级保护区半径的2倍，其他井群内间距大于一级保护区半径的2倍，因此，本水源地一级保护区划分方案为：以1号、2号、3号取水井为中心，半径各30米的圆形区域，1号水井东面以道路迎心侧路肩为界、南面以变电站围墙为界，3号水井东北面以道路迎心侧路肩为界、西面以撇洪渠为界。</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outlineLvl w:val="2"/>
        <w:rPr>
          <w:b/>
          <w:bCs/>
          <w:spacing w:val="1"/>
          <w:sz w:val="30"/>
        </w:rPr>
      </w:pPr>
      <w:bookmarkStart w:id="113" w:name="_Toc12871"/>
      <w:bookmarkStart w:id="114" w:name="_Toc30937"/>
      <w:r>
        <w:rPr>
          <w:rFonts w:hint="eastAsia" w:ascii="宋体" w:hAnsi="宋体" w:eastAsia="宋体" w:cs="宋体"/>
          <w:b/>
          <w:bCs/>
          <w:sz w:val="30"/>
          <w:lang w:val="en-US" w:eastAsia="zh-CN"/>
        </w:rPr>
        <w:t>3.2.2</w:t>
      </w:r>
      <w:r>
        <w:rPr>
          <w:rFonts w:ascii="宋体" w:hAnsi="宋体" w:eastAsia="宋体" w:cs="宋体"/>
          <w:b/>
          <w:bCs/>
          <w:sz w:val="30"/>
        </w:rPr>
        <w:t>二级保护区</w:t>
      </w:r>
      <w:bookmarkEnd w:id="113"/>
      <w:bookmarkEnd w:id="114"/>
    </w:p>
    <w:p>
      <w:pPr>
        <w:autoSpaceDE w:val="0"/>
        <w:autoSpaceDN w:val="0"/>
        <w:snapToGrid w:val="0"/>
        <w:spacing w:line="360" w:lineRule="auto"/>
        <w:ind w:firstLine="480"/>
        <w:rPr>
          <w:rFonts w:ascii="宋体" w:hAnsi="宋体" w:eastAsia="宋体" w:cs="宋体"/>
          <w:sz w:val="24"/>
        </w:rPr>
      </w:pPr>
      <w:r>
        <w:rPr>
          <w:rFonts w:ascii="宋体" w:hAnsi="宋体" w:eastAsia="宋体" w:cs="宋体"/>
          <w:spacing w:val="-2"/>
          <w:sz w:val="24"/>
        </w:rPr>
        <w:t>本项目取水水源为第四系松散层中的孔隙承压水</w:t>
      </w:r>
      <w:r>
        <w:rPr>
          <w:rFonts w:ascii="宋体" w:hAnsi="宋体" w:eastAsia="宋体" w:cs="宋体"/>
          <w:spacing w:val="-28"/>
          <w:sz w:val="24"/>
        </w:rPr>
        <w:t>，</w:t>
      </w:r>
      <w:r>
        <w:rPr>
          <w:rFonts w:ascii="宋体" w:hAnsi="宋体" w:eastAsia="宋体" w:cs="宋体"/>
          <w:spacing w:val="-2"/>
          <w:sz w:val="24"/>
        </w:rPr>
        <w:t>根</w:t>
      </w:r>
      <w:r>
        <w:rPr>
          <w:rFonts w:ascii="宋体" w:hAnsi="宋体" w:eastAsia="宋体" w:cs="宋体"/>
          <w:spacing w:val="28"/>
          <w:sz w:val="24"/>
        </w:rPr>
        <w:t>据</w:t>
      </w:r>
      <w:r>
        <w:rPr>
          <w:rFonts w:ascii="Calibri" w:hAnsi="Calibri" w:eastAsia="Calibri" w:cs="Calibri"/>
          <w:spacing w:val="-2"/>
          <w:sz w:val="24"/>
        </w:rPr>
        <w:t>HJ338-201</w:t>
      </w:r>
      <w:r>
        <w:rPr>
          <w:rFonts w:ascii="Calibri" w:hAnsi="Calibri" w:eastAsia="Calibri" w:cs="Calibri"/>
          <w:spacing w:val="-1"/>
          <w:sz w:val="24"/>
        </w:rPr>
        <w:t>8</w:t>
      </w:r>
      <w:r>
        <w:rPr>
          <w:rFonts w:ascii="宋体" w:hAnsi="宋体" w:eastAsia="宋体" w:cs="宋体"/>
          <w:spacing w:val="-27"/>
          <w:sz w:val="24"/>
        </w:rPr>
        <w:t>，</w:t>
      </w:r>
      <w:r>
        <w:rPr>
          <w:rFonts w:ascii="宋体" w:hAnsi="宋体" w:eastAsia="宋体" w:cs="宋体"/>
          <w:spacing w:val="-1"/>
          <w:sz w:val="24"/>
        </w:rPr>
        <w:t>不设二</w:t>
      </w:r>
      <w:r>
        <w:rPr>
          <w:rFonts w:ascii="宋体" w:hAnsi="宋体" w:eastAsia="宋体" w:cs="宋体"/>
          <w:sz w:val="24"/>
        </w:rPr>
        <w:t>级保护区。</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outlineLvl w:val="2"/>
        <w:rPr>
          <w:b/>
          <w:bCs/>
          <w:spacing w:val="1"/>
          <w:sz w:val="30"/>
        </w:rPr>
      </w:pPr>
      <w:bookmarkStart w:id="115" w:name="_Toc32177"/>
      <w:bookmarkStart w:id="116" w:name="_Toc27038"/>
      <w:r>
        <w:rPr>
          <w:rFonts w:hint="eastAsia" w:ascii="宋体" w:hAnsi="宋体" w:eastAsia="宋体" w:cs="宋体"/>
          <w:b/>
          <w:bCs/>
          <w:sz w:val="30"/>
          <w:lang w:val="en-US" w:eastAsia="zh-CN"/>
        </w:rPr>
        <w:t>3.2.3</w:t>
      </w:r>
      <w:r>
        <w:rPr>
          <w:rFonts w:ascii="宋体" w:hAnsi="宋体" w:eastAsia="宋体" w:cs="宋体"/>
          <w:b/>
          <w:bCs/>
          <w:sz w:val="30"/>
        </w:rPr>
        <w:t>准保护区</w:t>
      </w:r>
      <w:bookmarkEnd w:id="115"/>
      <w:bookmarkEnd w:id="116"/>
    </w:p>
    <w:p>
      <w:pPr>
        <w:numPr>
          <w:ilvl w:val="0"/>
          <w:numId w:val="1"/>
        </w:numPr>
        <w:autoSpaceDE w:val="0"/>
        <w:autoSpaceDN w:val="0"/>
        <w:snapToGrid w:val="0"/>
        <w:spacing w:line="360" w:lineRule="auto"/>
        <w:ind w:firstLine="480"/>
        <w:rPr>
          <w:rFonts w:hint="eastAsia" w:ascii="宋体" w:hAnsi="宋体" w:eastAsia="宋体" w:cs="宋体"/>
          <w:sz w:val="24"/>
        </w:rPr>
      </w:pPr>
      <w:r>
        <w:rPr>
          <w:rFonts w:hint="eastAsia" w:ascii="宋体" w:hAnsi="宋体" w:eastAsia="宋体" w:cs="宋体"/>
          <w:sz w:val="24"/>
        </w:rPr>
        <w:t>本区域的主要地表水湘江不切割水源地所在区域地层中的弱透水层和含水层，不具备直接补给条件</w:t>
      </w:r>
    </w:p>
    <w:p>
      <w:pPr>
        <w:numPr>
          <w:ilvl w:val="0"/>
          <w:numId w:val="1"/>
        </w:numPr>
        <w:autoSpaceDE w:val="0"/>
        <w:autoSpaceDN w:val="0"/>
        <w:snapToGrid w:val="0"/>
        <w:spacing w:line="360" w:lineRule="auto"/>
        <w:ind w:firstLine="480"/>
        <w:rPr>
          <w:rFonts w:ascii="宋体" w:hAnsi="宋体" w:eastAsia="宋体" w:cs="宋体"/>
          <w:sz w:val="24"/>
        </w:rPr>
      </w:pPr>
      <w:r>
        <w:rPr>
          <w:rFonts w:ascii="宋体" w:hAnsi="宋体" w:eastAsia="宋体" w:cs="宋体"/>
          <w:sz w:val="24"/>
        </w:rPr>
        <w:t>本水源地承压水的重要补给区为洞庭湖周边的丘岗区，且目前该地质单元的边界条件不清，划分后也不便于环境管理。</w:t>
      </w:r>
    </w:p>
    <w:p>
      <w:pPr>
        <w:autoSpaceDE w:val="0"/>
        <w:autoSpaceDN w:val="0"/>
        <w:snapToGrid w:val="0"/>
        <w:spacing w:line="360" w:lineRule="auto"/>
        <w:ind w:left="480" w:right="180"/>
        <w:rPr>
          <w:rFonts w:ascii="宋体" w:hAnsi="宋体" w:eastAsia="宋体" w:cs="宋体"/>
          <w:sz w:val="24"/>
        </w:rPr>
      </w:pPr>
      <w:r>
        <w:rPr>
          <w:rFonts w:ascii="宋体" w:hAnsi="宋体" w:eastAsia="宋体" w:cs="宋体"/>
          <w:spacing w:val="-2"/>
          <w:sz w:val="24"/>
        </w:rPr>
        <w:t>结合环水体函</w:t>
      </w:r>
      <w:r>
        <w:rPr>
          <w:rFonts w:ascii="Calibri" w:hAnsi="Calibri" w:eastAsia="Calibri" w:cs="Calibri"/>
          <w:spacing w:val="-2"/>
          <w:sz w:val="24"/>
        </w:rPr>
        <w:t>[2019]92</w:t>
      </w:r>
      <w:r>
        <w:rPr>
          <w:rFonts w:ascii="Calibri" w:hAnsi="Calibri" w:eastAsia="Calibri" w:cs="Calibri"/>
          <w:spacing w:val="-33"/>
          <w:sz w:val="24"/>
        </w:rPr>
        <w:t xml:space="preserve"> </w:t>
      </w:r>
      <w:r>
        <w:rPr>
          <w:rFonts w:ascii="宋体" w:hAnsi="宋体" w:eastAsia="宋体" w:cs="宋体"/>
          <w:spacing w:val="-2"/>
          <w:sz w:val="24"/>
        </w:rPr>
        <w:t>号文的相关规定，综上，本水源地不设准保护区。</w:t>
      </w:r>
      <w:r>
        <w:rPr>
          <w:rFonts w:ascii="宋体" w:hAnsi="宋体" w:eastAsia="宋体" w:cs="宋体"/>
          <w:sz w:val="24"/>
        </w:rPr>
        <w:t xml:space="preserve"> </w:t>
      </w:r>
    </w:p>
    <w:p>
      <w:pPr>
        <w:autoSpaceDE w:val="0"/>
        <w:autoSpaceDN w:val="0"/>
        <w:snapToGrid w:val="0"/>
        <w:spacing w:line="360" w:lineRule="auto"/>
        <w:ind w:left="480" w:right="180"/>
        <w:rPr>
          <w:rFonts w:hint="eastAsia" w:ascii="宋体" w:hAnsi="宋体" w:eastAsia="宋体" w:cs="宋体"/>
          <w:sz w:val="24"/>
        </w:rPr>
      </w:pPr>
      <w:r>
        <w:rPr>
          <w:rFonts w:hint="eastAsia" w:ascii="宋体" w:hAnsi="宋体" w:eastAsia="宋体" w:cs="宋体"/>
          <w:sz w:val="24"/>
          <w:lang w:eastAsia="zh-CN"/>
        </w:rPr>
        <w:t>长仑</w:t>
      </w:r>
      <w:r>
        <w:rPr>
          <w:rFonts w:hint="eastAsia" w:ascii="宋体" w:hAnsi="宋体" w:eastAsia="宋体" w:cs="宋体"/>
          <w:sz w:val="24"/>
        </w:rPr>
        <w:t>水</w:t>
      </w:r>
      <w:r>
        <w:rPr>
          <w:rFonts w:ascii="宋体" w:hAnsi="宋体" w:eastAsia="宋体" w:cs="宋体"/>
          <w:sz w:val="24"/>
        </w:rPr>
        <w:t>厂地下水饮用水水源保护区范围见</w:t>
      </w:r>
      <w:r>
        <w:rPr>
          <w:rFonts w:ascii="宋体" w:hAnsi="宋体" w:eastAsia="宋体" w:cs="宋体"/>
          <w:spacing w:val="30"/>
          <w:sz w:val="24"/>
        </w:rPr>
        <w:t>表</w:t>
      </w:r>
      <w:r>
        <w:rPr>
          <w:rFonts w:ascii="Calibri" w:hAnsi="Calibri" w:eastAsia="Calibri" w:cs="Calibri"/>
          <w:sz w:val="24"/>
        </w:rPr>
        <w:t>3-2</w:t>
      </w:r>
      <w:r>
        <w:rPr>
          <w:rFonts w:ascii="宋体" w:hAnsi="宋体" w:eastAsia="宋体" w:cs="宋体"/>
          <w:sz w:val="24"/>
        </w:rPr>
        <w:t>。</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r>
        <w:rPr>
          <w:rFonts w:hint="eastAsia"/>
          <w:b/>
          <w:szCs w:val="21"/>
        </w:rPr>
        <w:t>表3-2 地下水饮用水水源保护区的范围</w:t>
      </w:r>
    </w:p>
    <w:tbl>
      <w:tblPr>
        <w:tblStyle w:val="19"/>
        <w:tblW w:w="574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6"/>
        <w:gridCol w:w="43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366" w:type="dxa"/>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保护区级别</w:t>
            </w:r>
          </w:p>
        </w:tc>
        <w:tc>
          <w:tcPr>
            <w:tcW w:w="4380" w:type="dxa"/>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保护区范围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0" w:hRule="atLeast"/>
          <w:jc w:val="center"/>
        </w:trPr>
        <w:tc>
          <w:tcPr>
            <w:tcW w:w="1366" w:type="dxa"/>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一级</w:t>
            </w:r>
          </w:p>
        </w:tc>
        <w:tc>
          <w:tcPr>
            <w:tcW w:w="4380" w:type="dxa"/>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eastAsia="zh-CN"/>
              </w:rPr>
            </w:pPr>
            <w:r>
              <w:rPr>
                <w:rFonts w:hint="eastAsia" w:ascii="宋体" w:hAnsi="宋体" w:eastAsia="宋体" w:cs="宋体"/>
                <w:lang w:val="en-US" w:eastAsia="zh-CN"/>
              </w:rPr>
              <w:t>以1号、2号、3号取水井为中心，半径各30米的圆形区域，1号水井东面以道路迎心侧路肩为界、南面以变电站围墙为界，3号水井东北面以道路迎心侧路肩为界、西面以撇洪渠为界</w:t>
            </w:r>
            <w:r>
              <w:rPr>
                <w:rFonts w:hint="eastAsia" w:ascii="宋体" w:hAnsi="宋体" w:eastAsia="宋体" w:cs="宋体"/>
                <w:lang w:eastAsia="zh-CN"/>
              </w:rPr>
              <w:t>。</w:t>
            </w:r>
          </w:p>
        </w:tc>
      </w:tr>
      <w:bookmarkEnd w:id="107"/>
      <w:bookmarkEnd w:id="108"/>
    </w:tbl>
    <w:p>
      <w:pPr>
        <w:pStyle w:val="4"/>
        <w:spacing w:before="156" w:after="156"/>
        <w:rPr>
          <w:rFonts w:hint="eastAsia"/>
        </w:rPr>
      </w:pPr>
      <w:bookmarkStart w:id="117" w:name="_Toc9632"/>
      <w:bookmarkStart w:id="118" w:name="_Toc24996"/>
      <w:bookmarkStart w:id="119" w:name="_Toc29414"/>
      <w:bookmarkStart w:id="120" w:name="_Toc30815"/>
      <w:r>
        <w:rPr>
          <w:rFonts w:hint="eastAsia"/>
        </w:rPr>
        <w:t>3.3 规划协调性符合性分析</w:t>
      </w:r>
      <w:bookmarkEnd w:id="117"/>
      <w:bookmarkEnd w:id="118"/>
      <w:bookmarkEnd w:id="119"/>
      <w:bookmarkEnd w:id="120"/>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根据以上划分结果，初步划定的饮用水水源保护区不属于自然保护区等生态敏感区，同时，保护区土地利用类型以建设用地和农业用地为主。</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根据《湘阴县县城总体规划（2008-2030）》</w:t>
      </w:r>
      <w:r>
        <w:rPr>
          <w:rFonts w:hint="eastAsia" w:ascii="Calibri" w:hAnsi="Calibri" w:eastAsia="宋体" w:cs="宋体"/>
          <w:sz w:val="24"/>
          <w:szCs w:val="22"/>
          <w:lang w:eastAsia="zh-CN" w:bidi="ar"/>
        </w:rPr>
        <w:t>，</w:t>
      </w:r>
      <w:r>
        <w:rPr>
          <w:rFonts w:hint="eastAsia" w:ascii="Calibri" w:hAnsi="Calibri" w:eastAsia="宋体" w:cs="宋体"/>
          <w:sz w:val="24"/>
          <w:szCs w:val="22"/>
          <w:lang w:bidi="ar"/>
        </w:rPr>
        <w:t>本水源地所在的</w:t>
      </w:r>
      <w:r>
        <w:rPr>
          <w:rFonts w:hint="eastAsia" w:cs="宋体"/>
          <w:sz w:val="24"/>
          <w:szCs w:val="22"/>
          <w:lang w:eastAsia="zh-CN" w:bidi="ar"/>
        </w:rPr>
        <w:t>岭北</w:t>
      </w:r>
      <w:r>
        <w:rPr>
          <w:rFonts w:hint="eastAsia" w:ascii="Calibri" w:hAnsi="Calibri" w:eastAsia="宋体" w:cs="宋体"/>
          <w:sz w:val="24"/>
          <w:szCs w:val="22"/>
          <w:lang w:eastAsia="zh-CN" w:bidi="ar"/>
        </w:rPr>
        <w:t>镇</w:t>
      </w:r>
      <w:r>
        <w:rPr>
          <w:rFonts w:hint="eastAsia" w:ascii="Calibri" w:hAnsi="Calibri" w:eastAsia="宋体" w:cs="宋体"/>
          <w:sz w:val="24"/>
          <w:szCs w:val="22"/>
          <w:lang w:bidi="ar"/>
        </w:rPr>
        <w:t>规划为第一产业主导区；除了</w:t>
      </w:r>
      <w:r>
        <w:rPr>
          <w:rFonts w:hint="eastAsia" w:cs="宋体"/>
          <w:sz w:val="24"/>
          <w:szCs w:val="22"/>
          <w:lang w:eastAsia="zh-CN" w:bidi="ar"/>
        </w:rPr>
        <w:t>石塘镇</w:t>
      </w:r>
      <w:r>
        <w:rPr>
          <w:rFonts w:hint="eastAsia" w:ascii="Calibri" w:hAnsi="Calibri" w:eastAsia="宋体" w:cs="宋体"/>
          <w:sz w:val="24"/>
          <w:szCs w:val="22"/>
          <w:lang w:eastAsia="zh-CN" w:bidi="ar"/>
        </w:rPr>
        <w:t>城镇</w:t>
      </w:r>
      <w:r>
        <w:rPr>
          <w:rFonts w:hint="eastAsia" w:ascii="Calibri" w:hAnsi="Calibri" w:eastAsia="宋体" w:cs="宋体"/>
          <w:sz w:val="24"/>
          <w:szCs w:val="22"/>
          <w:lang w:bidi="ar"/>
        </w:rPr>
        <w:t>所在地有城镇开发建设用地外，其他区域均为限制开发区和禁止开发区；在本次保护区范围内</w:t>
      </w:r>
      <w:r>
        <w:rPr>
          <w:rFonts w:hint="eastAsia" w:ascii="Calibri" w:hAnsi="Calibri" w:eastAsia="宋体" w:cs="宋体"/>
          <w:sz w:val="24"/>
          <w:szCs w:val="22"/>
          <w:lang w:eastAsia="zh-CN" w:bidi="ar"/>
        </w:rPr>
        <w:t>无</w:t>
      </w:r>
      <w:r>
        <w:rPr>
          <w:rFonts w:hint="eastAsia" w:ascii="Calibri" w:hAnsi="Calibri" w:eastAsia="宋体" w:cs="宋体"/>
          <w:sz w:val="24"/>
          <w:szCs w:val="22"/>
          <w:lang w:bidi="ar"/>
        </w:rPr>
        <w:t>交通规划。</w:t>
      </w:r>
    </w:p>
    <w:p>
      <w:pPr>
        <w:adjustRightInd w:val="0"/>
        <w:snapToGrid w:val="0"/>
        <w:spacing w:line="360" w:lineRule="auto"/>
        <w:ind w:firstLine="480" w:firstLineChars="200"/>
        <w:jc w:val="left"/>
        <w:rPr>
          <w:rFonts w:hint="eastAsia" w:ascii="Calibri" w:hAnsi="Calibri" w:eastAsia="宋体" w:cs="宋体"/>
          <w:sz w:val="24"/>
          <w:szCs w:val="22"/>
          <w:lang w:eastAsia="zh-CN" w:bidi="ar"/>
        </w:rPr>
      </w:pPr>
      <w:r>
        <w:rPr>
          <w:rFonts w:hint="eastAsia" w:ascii="Calibri" w:hAnsi="Calibri" w:eastAsia="宋体" w:cs="宋体"/>
          <w:sz w:val="24"/>
          <w:szCs w:val="22"/>
          <w:lang w:bidi="ar"/>
        </w:rPr>
        <w:t>综上所述，该饮用水源保护区的划分与城市总体规划、土地利用总体规划、交通发展规划</w:t>
      </w:r>
      <w:r>
        <w:rPr>
          <w:rFonts w:hint="eastAsia" w:ascii="Calibri" w:hAnsi="Calibri" w:eastAsia="宋体" w:cs="宋体"/>
          <w:sz w:val="24"/>
          <w:szCs w:val="22"/>
          <w:lang w:eastAsia="zh-CN" w:bidi="ar"/>
        </w:rPr>
        <w:t>基本</w:t>
      </w:r>
      <w:r>
        <w:rPr>
          <w:rFonts w:hint="eastAsia" w:ascii="Calibri" w:hAnsi="Calibri" w:eastAsia="宋体" w:cs="宋体"/>
          <w:sz w:val="24"/>
          <w:szCs w:val="22"/>
          <w:lang w:bidi="ar"/>
        </w:rPr>
        <w:t>相协调一致</w:t>
      </w:r>
      <w:r>
        <w:rPr>
          <w:rFonts w:hint="eastAsia" w:ascii="Calibri" w:hAnsi="Calibri" w:eastAsia="宋体" w:cs="宋体"/>
          <w:sz w:val="24"/>
          <w:szCs w:val="22"/>
          <w:lang w:eastAsia="zh-CN" w:bidi="ar"/>
        </w:rPr>
        <w:t>。</w:t>
      </w:r>
    </w:p>
    <w:p>
      <w:pPr>
        <w:pStyle w:val="4"/>
        <w:spacing w:before="156" w:after="156"/>
      </w:pPr>
      <w:bookmarkStart w:id="121" w:name="_Toc19744"/>
      <w:bookmarkStart w:id="122" w:name="_Toc2138"/>
      <w:r>
        <w:rPr>
          <w:rFonts w:hint="eastAsia"/>
        </w:rPr>
        <w:t>3.</w:t>
      </w:r>
      <w:r>
        <w:rPr>
          <w:rFonts w:hint="eastAsia"/>
          <w:lang w:val="en-US" w:eastAsia="zh-CN"/>
        </w:rPr>
        <w:t>4</w:t>
      </w:r>
      <w:r>
        <w:rPr>
          <w:rFonts w:hint="eastAsia"/>
        </w:rPr>
        <w:t>最终定界</w:t>
      </w:r>
      <w:bookmarkEnd w:id="121"/>
      <w:bookmarkEnd w:id="122"/>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为了便于开展日常环境管理工作，依据保护区划分的分析、结合水源保护区的地形、地标、地物特点，确定湘阴县</w:t>
      </w:r>
      <w:r>
        <w:rPr>
          <w:rFonts w:hint="eastAsia" w:ascii="Times New Roman" w:hAnsi="Times New Roman" w:eastAsia="宋体" w:cs="Times New Roman"/>
          <w:sz w:val="24"/>
          <w:szCs w:val="22"/>
          <w:lang w:eastAsia="zh-CN"/>
        </w:rPr>
        <w:t>石塘镇长仑水厂地下水</w:t>
      </w:r>
      <w:r>
        <w:rPr>
          <w:rFonts w:hint="eastAsia" w:ascii="Calibri" w:hAnsi="Calibri" w:eastAsia="宋体" w:cs="宋体"/>
          <w:sz w:val="24"/>
          <w:szCs w:val="22"/>
          <w:lang w:bidi="ar"/>
        </w:rPr>
        <w:t>饮用水源保护区划分为一级保护区，不设二级保护区和准保护区。</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①利用目前世界较为先进的卫星地图Google Earth（谷歌）进行定位，标出</w:t>
      </w:r>
      <w:r>
        <w:rPr>
          <w:rFonts w:hint="eastAsia" w:ascii="Calibri" w:hAnsi="Calibri" w:eastAsia="宋体" w:cs="宋体"/>
          <w:sz w:val="24"/>
          <w:szCs w:val="22"/>
          <w:lang w:eastAsia="zh-CN" w:bidi="ar"/>
        </w:rPr>
        <w:t>石塘镇</w:t>
      </w:r>
      <w:r>
        <w:rPr>
          <w:rFonts w:hint="eastAsia" w:ascii="Calibri" w:hAnsi="Calibri" w:eastAsia="宋体" w:cs="宋体"/>
          <w:sz w:val="24"/>
          <w:szCs w:val="22"/>
          <w:lang w:bidi="ar"/>
        </w:rPr>
        <w:t>取水口、取水口半径</w:t>
      </w:r>
      <w:r>
        <w:rPr>
          <w:rFonts w:hint="eastAsia" w:ascii="Calibri" w:hAnsi="Calibri" w:eastAsia="宋体" w:cs="宋体"/>
          <w:sz w:val="24"/>
          <w:szCs w:val="22"/>
          <w:lang w:val="en-US" w:eastAsia="zh-CN" w:bidi="ar"/>
        </w:rPr>
        <w:t>220</w:t>
      </w:r>
      <w:r>
        <w:rPr>
          <w:rFonts w:hint="eastAsia" w:ascii="Calibri" w:hAnsi="Calibri" w:eastAsia="宋体" w:cs="宋体"/>
          <w:sz w:val="24"/>
          <w:szCs w:val="22"/>
          <w:lang w:bidi="ar"/>
        </w:rPr>
        <w:t>m</w:t>
      </w:r>
      <w:r>
        <w:rPr>
          <w:rFonts w:hint="eastAsia" w:ascii="Calibri" w:hAnsi="Calibri" w:eastAsia="宋体" w:cs="宋体"/>
          <w:sz w:val="24"/>
          <w:szCs w:val="22"/>
          <w:lang w:eastAsia="zh-CN" w:bidi="ar"/>
        </w:rPr>
        <w:t>、</w:t>
      </w:r>
      <w:r>
        <w:rPr>
          <w:rFonts w:hint="eastAsia" w:ascii="Calibri" w:hAnsi="Calibri" w:eastAsia="宋体" w:cs="宋体"/>
          <w:sz w:val="24"/>
          <w:szCs w:val="22"/>
          <w:lang w:bidi="ar"/>
        </w:rPr>
        <w:t>取水口半径</w:t>
      </w:r>
      <w:r>
        <w:rPr>
          <w:rFonts w:hint="eastAsia" w:ascii="Calibri" w:hAnsi="Calibri" w:eastAsia="宋体" w:cs="宋体"/>
          <w:sz w:val="24"/>
          <w:szCs w:val="22"/>
          <w:lang w:val="en-US" w:eastAsia="zh-CN" w:bidi="ar"/>
        </w:rPr>
        <w:t>95</w:t>
      </w:r>
      <w:r>
        <w:rPr>
          <w:rFonts w:hint="eastAsia" w:ascii="Calibri" w:hAnsi="Calibri" w:eastAsia="宋体" w:cs="宋体"/>
          <w:sz w:val="24"/>
          <w:szCs w:val="22"/>
          <w:lang w:bidi="ar"/>
        </w:rPr>
        <w:t>m</w:t>
      </w:r>
      <w:r>
        <w:rPr>
          <w:rFonts w:hint="eastAsia" w:ascii="Calibri" w:hAnsi="Calibri" w:eastAsia="宋体" w:cs="宋体"/>
          <w:sz w:val="24"/>
          <w:szCs w:val="22"/>
          <w:lang w:eastAsia="zh-CN" w:bidi="ar"/>
        </w:rPr>
        <w:t>、</w:t>
      </w:r>
      <w:r>
        <w:rPr>
          <w:rFonts w:hint="eastAsia" w:ascii="Calibri" w:hAnsi="Calibri" w:eastAsia="宋体" w:cs="宋体"/>
          <w:sz w:val="24"/>
          <w:szCs w:val="22"/>
          <w:lang w:bidi="ar"/>
        </w:rPr>
        <w:t>取水口半径</w:t>
      </w:r>
      <w:r>
        <w:rPr>
          <w:rFonts w:hint="eastAsia" w:ascii="Calibri" w:hAnsi="Calibri" w:eastAsia="宋体" w:cs="宋体"/>
          <w:sz w:val="24"/>
          <w:szCs w:val="22"/>
          <w:lang w:val="en-US" w:eastAsia="zh-CN" w:bidi="ar"/>
        </w:rPr>
        <w:t>100</w:t>
      </w:r>
      <w:r>
        <w:rPr>
          <w:rFonts w:hint="eastAsia" w:ascii="Calibri" w:hAnsi="Calibri" w:eastAsia="宋体" w:cs="宋体"/>
          <w:sz w:val="24"/>
          <w:szCs w:val="22"/>
          <w:lang w:bidi="ar"/>
        </w:rPr>
        <w:t>m等重要点位的大致地理位置，并记录经纬度坐标。</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②采用GPS智能测绘仪器进行实地测量，现场验证重要点位的准确性，并对其经纬度进行校核。</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③利用专业测绘技术对界线拐点经纬度再次进行校核。</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④将经过现场验证确定后，以不同颜色绘制出保护区范围示意图。</w:t>
      </w:r>
    </w:p>
    <w:p>
      <w:pPr>
        <w:adjustRightInd w:val="0"/>
        <w:snapToGrid w:val="0"/>
        <w:spacing w:line="360" w:lineRule="auto"/>
        <w:ind w:firstLine="480" w:firstLineChars="200"/>
        <w:rPr>
          <w:rFonts w:ascii="Times New Roman" w:hAnsi="Times New Roman" w:eastAsia="宋体" w:cs="Times New Roman"/>
          <w:sz w:val="24"/>
          <w:szCs w:val="22"/>
        </w:rPr>
      </w:pPr>
      <w:bookmarkStart w:id="123" w:name="OLE_LINK30"/>
      <w:r>
        <w:rPr>
          <w:rFonts w:ascii="Times New Roman" w:hAnsi="Times New Roman" w:eastAsia="宋体" w:cs="Times New Roman"/>
          <w:sz w:val="24"/>
          <w:szCs w:val="22"/>
        </w:rPr>
        <w:t>按照上述程序以及现场的实际情况，确定了湘阴县</w:t>
      </w:r>
      <w:r>
        <w:rPr>
          <w:rFonts w:hint="eastAsia" w:ascii="Times New Roman" w:hAnsi="Times New Roman" w:eastAsia="宋体" w:cs="Times New Roman"/>
          <w:sz w:val="24"/>
          <w:szCs w:val="22"/>
          <w:lang w:eastAsia="zh-CN"/>
        </w:rPr>
        <w:t>石塘镇长仑水厂地下水</w:t>
      </w:r>
      <w:r>
        <w:rPr>
          <w:rFonts w:ascii="Times New Roman" w:hAnsi="Times New Roman" w:eastAsia="宋体" w:cs="Times New Roman"/>
          <w:sz w:val="24"/>
          <w:szCs w:val="22"/>
        </w:rPr>
        <w:t>饮用水源保护区边界为：</w:t>
      </w:r>
    </w:p>
    <w:p>
      <w:pPr>
        <w:adjustRightInd w:val="0"/>
        <w:snapToGrid w:val="0"/>
        <w:spacing w:line="360" w:lineRule="auto"/>
        <w:ind w:firstLine="480" w:firstLineChars="200"/>
        <w:rPr>
          <w:rFonts w:hint="eastAsia" w:ascii="Times New Roman" w:hAnsi="Times New Roman" w:eastAsia="宋体" w:cs="Times New Roman"/>
          <w:sz w:val="24"/>
          <w:szCs w:val="22"/>
        </w:rPr>
      </w:pPr>
      <w:r>
        <w:rPr>
          <w:rFonts w:hint="eastAsia" w:ascii="Times New Roman" w:hAnsi="Times New Roman" w:eastAsia="宋体" w:cs="Times New Roman"/>
          <w:sz w:val="24"/>
          <w:szCs w:val="22"/>
        </w:rPr>
        <w:t>以1号、2号、3号取水井为中心，半径各30米的圆形区域，1号水井东面以道路迎心侧路肩为界、南面以变电站围墙为界，3号水井东北面以道路迎心侧路肩为界、西面以撇洪渠为界</w:t>
      </w:r>
      <w:r>
        <w:rPr>
          <w:rFonts w:ascii="Times New Roman" w:hAnsi="Times New Roman" w:eastAsia="宋体" w:cs="Times New Roman"/>
          <w:sz w:val="24"/>
          <w:szCs w:val="22"/>
        </w:rPr>
        <w:t>。</w:t>
      </w:r>
      <w:r>
        <w:rPr>
          <w:rFonts w:ascii="Times New Roman" w:hAnsi="Times New Roman" w:eastAsia="宋体" w:cs="Times New Roman"/>
          <w:sz w:val="24"/>
          <w:szCs w:val="22"/>
          <w:highlight w:val="none"/>
        </w:rPr>
        <w:t>保护区详情见附图2</w:t>
      </w:r>
      <w:r>
        <w:rPr>
          <w:rFonts w:ascii="Times New Roman" w:hAnsi="Times New Roman" w:eastAsia="宋体" w:cs="Times New Roman"/>
          <w:sz w:val="24"/>
          <w:szCs w:val="22"/>
        </w:rPr>
        <w:t>（湘阴县</w:t>
      </w:r>
      <w:r>
        <w:rPr>
          <w:rFonts w:hint="eastAsia" w:ascii="Times New Roman" w:hAnsi="Times New Roman" w:eastAsia="宋体" w:cs="Times New Roman"/>
          <w:sz w:val="24"/>
          <w:szCs w:val="22"/>
          <w:lang w:eastAsia="zh-CN"/>
        </w:rPr>
        <w:t>石塘镇长仑水厂地下水</w:t>
      </w:r>
      <w:r>
        <w:rPr>
          <w:rFonts w:ascii="Times New Roman" w:hAnsi="Times New Roman" w:eastAsia="宋体" w:cs="Times New Roman"/>
          <w:sz w:val="24"/>
          <w:szCs w:val="22"/>
        </w:rPr>
        <w:t>饮用水源保护区划分结果图）。</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rPr>
      </w:pPr>
      <w:r>
        <w:rPr>
          <w:rFonts w:hint="eastAsia"/>
          <w:b/>
          <w:szCs w:val="21"/>
        </w:rPr>
        <w:t>表3-3 取水井中心坐标和一级保护区边界坐标一览表</w:t>
      </w:r>
    </w:p>
    <w:tbl>
      <w:tblPr>
        <w:tblStyle w:val="19"/>
        <w:tblW w:w="496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517"/>
        <w:gridCol w:w="1863"/>
        <w:gridCol w:w="1359"/>
        <w:gridCol w:w="2089"/>
        <w:gridCol w:w="220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井编号</w:t>
            </w:r>
          </w:p>
        </w:tc>
        <w:tc>
          <w:tcPr>
            <w:tcW w:w="4159" w:type="pct"/>
            <w:gridSpan w:val="4"/>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边界坐标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p>
        </w:tc>
        <w:tc>
          <w:tcPr>
            <w:tcW w:w="1031"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取水井中心坐标</w:t>
            </w:r>
          </w:p>
        </w:tc>
        <w:tc>
          <w:tcPr>
            <w:tcW w:w="752"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边界顶端编号</w:t>
            </w:r>
          </w:p>
        </w:tc>
        <w:tc>
          <w:tcPr>
            <w:tcW w:w="2374" w:type="pct"/>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边界顶端坐标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p>
        </w:tc>
        <w:tc>
          <w:tcPr>
            <w:tcW w:w="752"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经度</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ascii="宋体" w:hAnsi="宋体" w:eastAsia="宋体" w:cs="宋体"/>
              </w:rPr>
              <w:t>纬度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ascii="宋体" w:hAnsi="宋体" w:eastAsia="宋体" w:cs="宋体"/>
              </w:rPr>
            </w:pPr>
            <w:r>
              <w:rPr>
                <w:rFonts w:hint="eastAsia" w:ascii="宋体" w:hAnsi="宋体" w:eastAsia="宋体" w:cs="宋体"/>
                <w:lang w:val="en-US" w:eastAsia="zh-CN"/>
              </w:rPr>
              <w:t>1号</w:t>
            </w:r>
            <w:r>
              <w:rPr>
                <w:rFonts w:hint="eastAsia" w:ascii="宋体" w:hAnsi="宋体" w:eastAsia="宋体" w:cs="宋体"/>
              </w:rPr>
              <w:t>水</w:t>
            </w:r>
            <w:r>
              <w:rPr>
                <w:rFonts w:ascii="宋体" w:hAnsi="宋体" w:eastAsia="宋体" w:cs="宋体"/>
              </w:rPr>
              <w:t>井</w:t>
            </w:r>
          </w:p>
        </w:tc>
        <w:tc>
          <w:tcPr>
            <w:tcW w:w="1031"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E112 55'01.96"</w:t>
            </w:r>
          </w:p>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N28°42'43.35"</w:t>
            </w: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rPr>
            </w:pPr>
            <w:r>
              <w:rPr>
                <w:rFonts w:hint="default" w:ascii="宋体" w:hAnsi="宋体" w:eastAsia="宋体" w:cs="宋体"/>
              </w:rPr>
              <w:t>112°55'01.45"</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rPr>
            </w:pPr>
            <w:r>
              <w:rPr>
                <w:rFonts w:hint="default" w:ascii="宋体" w:hAnsi="宋体" w:eastAsia="宋体" w:cs="宋体"/>
              </w:rPr>
              <w:t>28°42'42.50"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A2</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112°55'01.68"</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28°42'44.32"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A3</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112°55'02.80"</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28°42'43.98"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A4</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112°55'02.83"</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28°42'42.76"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rPr>
            </w:pPr>
            <w:r>
              <w:rPr>
                <w:rFonts w:hint="eastAsia" w:ascii="宋体" w:hAnsi="宋体" w:eastAsia="宋体" w:cs="宋体"/>
                <w:lang w:val="en-US" w:eastAsia="zh-CN"/>
              </w:rPr>
              <w:t>2号</w:t>
            </w:r>
            <w:r>
              <w:rPr>
                <w:rFonts w:hint="eastAsia" w:ascii="宋体" w:hAnsi="宋体" w:eastAsia="宋体" w:cs="宋体"/>
              </w:rPr>
              <w:t>水</w:t>
            </w:r>
            <w:r>
              <w:rPr>
                <w:rFonts w:ascii="宋体" w:hAnsi="宋体" w:eastAsia="宋体" w:cs="宋体"/>
              </w:rPr>
              <w:t>井</w:t>
            </w:r>
          </w:p>
        </w:tc>
        <w:tc>
          <w:tcPr>
            <w:tcW w:w="1031"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E112°55'01.32"</w:t>
            </w:r>
          </w:p>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N28°42'45.58"</w:t>
            </w: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A5</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112°55'01.34"</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28°42'46.59"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A6</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112°55'02.12"</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28°42'46.32"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A7</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112°55'02.44"</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28°42'45.49"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A8</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112°55'00.97"</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28°42'44.66"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eastAsia"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A9</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112°55'00.21"</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28°42'45.73"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rPr>
            </w:pPr>
          </w:p>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rPr>
            </w:pPr>
            <w:r>
              <w:rPr>
                <w:rFonts w:hint="default" w:ascii="宋体" w:hAnsi="宋体" w:eastAsia="宋体" w:cs="宋体"/>
                <w:lang w:val="en-US" w:eastAsia="zh-CN"/>
              </w:rPr>
              <w:t>3号</w:t>
            </w:r>
            <w:r>
              <w:rPr>
                <w:rFonts w:hint="default" w:ascii="宋体" w:hAnsi="宋体" w:eastAsia="宋体" w:cs="宋体"/>
              </w:rPr>
              <w:t>水井</w:t>
            </w:r>
          </w:p>
        </w:tc>
        <w:tc>
          <w:tcPr>
            <w:tcW w:w="1031" w:type="pct"/>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E112°54'28.51"</w:t>
            </w:r>
          </w:p>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N28°42'53.79"</w:t>
            </w: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A10</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112°54'27.75"</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28°42'54.49"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A11</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112°54'29.54"</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28°42'53.47"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A12</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112°54'27.92"</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28°42'53.00"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A13</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112°54'27.98"</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28°42'53.36"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A14</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112°54'27.83"</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28°42'53.72"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A15</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112°54'27.86"</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28°42'53.94"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trPr>
        <w:tc>
          <w:tcPr>
            <w:tcW w:w="840"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1031" w:type="pct"/>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p>
        </w:tc>
        <w:tc>
          <w:tcPr>
            <w:tcW w:w="752"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eastAsia" w:ascii="宋体" w:hAnsi="宋体" w:eastAsia="宋体" w:cs="宋体"/>
                <w:lang w:val="en-US" w:eastAsia="zh-CN"/>
              </w:rPr>
              <w:t>A16</w:t>
            </w:r>
          </w:p>
        </w:tc>
        <w:tc>
          <w:tcPr>
            <w:tcW w:w="1156"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112°54'27.52"</w:t>
            </w:r>
          </w:p>
        </w:tc>
        <w:tc>
          <w:tcPr>
            <w:tcW w:w="121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val="0"/>
              <w:spacing w:line="240" w:lineRule="auto"/>
              <w:ind w:left="0"/>
              <w:jc w:val="center"/>
              <w:textAlignment w:val="auto"/>
              <w:rPr>
                <w:rFonts w:hint="default" w:ascii="宋体" w:hAnsi="宋体" w:eastAsia="宋体" w:cs="宋体"/>
                <w:lang w:val="en-US" w:eastAsia="zh-CN"/>
              </w:rPr>
            </w:pPr>
            <w:r>
              <w:rPr>
                <w:rFonts w:hint="default" w:ascii="宋体" w:hAnsi="宋体" w:eastAsia="宋体" w:cs="宋体"/>
                <w:lang w:val="en-US" w:eastAsia="zh-CN"/>
              </w:rPr>
              <w:t>28°42'54.22"</w:t>
            </w:r>
          </w:p>
        </w:tc>
      </w:tr>
    </w:tbl>
    <w:p>
      <w:pPr>
        <w:adjustRightInd w:val="0"/>
        <w:snapToGrid w:val="0"/>
        <w:spacing w:line="360" w:lineRule="auto"/>
        <w:ind w:firstLine="480" w:firstLineChars="200"/>
        <w:jc w:val="left"/>
        <w:rPr>
          <w:rFonts w:hint="eastAsia"/>
          <w:lang w:bidi="ar"/>
        </w:rPr>
      </w:pPr>
      <w:r>
        <w:rPr>
          <w:rFonts w:hint="default" w:ascii="Times New Roman" w:hAnsi="Times New Roman" w:eastAsia="宋体" w:cs="Times New Roman"/>
          <w:sz w:val="24"/>
          <w:szCs w:val="22"/>
          <w:lang w:bidi="ar"/>
        </w:rPr>
        <w:br w:type="page"/>
      </w:r>
      <w:bookmarkEnd w:id="123"/>
    </w:p>
    <w:p>
      <w:pPr>
        <w:pStyle w:val="3"/>
        <w:spacing w:before="156" w:after="156"/>
        <w:rPr>
          <w:lang w:bidi="ar"/>
        </w:rPr>
      </w:pPr>
      <w:bookmarkStart w:id="124" w:name="_Toc4182"/>
      <w:bookmarkStart w:id="125" w:name="_Toc17764"/>
      <w:r>
        <w:rPr>
          <w:rFonts w:hint="eastAsia"/>
          <w:lang w:bidi="ar"/>
        </w:rPr>
        <w:t>第四章 饮用水水源保护区划分方案与分析</w:t>
      </w:r>
      <w:bookmarkEnd w:id="124"/>
      <w:bookmarkEnd w:id="125"/>
    </w:p>
    <w:p>
      <w:pPr>
        <w:pStyle w:val="4"/>
        <w:spacing w:before="156" w:after="156"/>
        <w:rPr>
          <w:rFonts w:hint="eastAsia" w:eastAsia="黑体"/>
          <w:lang w:eastAsia="zh-CN"/>
        </w:rPr>
      </w:pPr>
      <w:bookmarkStart w:id="126" w:name="_Toc4788"/>
      <w:bookmarkStart w:id="127" w:name="_Toc8776"/>
      <w:r>
        <w:rPr>
          <w:rFonts w:hint="eastAsia"/>
        </w:rPr>
        <w:t>4.</w:t>
      </w:r>
      <w:r>
        <w:rPr>
          <w:rFonts w:hint="eastAsia"/>
          <w:lang w:val="en-US" w:eastAsia="zh-CN"/>
        </w:rPr>
        <w:t>1</w:t>
      </w:r>
      <w:r>
        <w:rPr>
          <w:rFonts w:hint="eastAsia"/>
        </w:rPr>
        <w:t>饮用水水源保护区</w:t>
      </w:r>
      <w:r>
        <w:rPr>
          <w:rFonts w:hint="eastAsia"/>
          <w:lang w:eastAsia="zh-CN"/>
        </w:rPr>
        <w:t>划分方案</w:t>
      </w:r>
      <w:bookmarkEnd w:id="126"/>
      <w:bookmarkEnd w:id="127"/>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湘阴县石塘镇长仑水厂地下水饮用水水源保护区最终确立划分一级保护区，不设二级保护区和准保护区，划分结果详见附图2。</w:t>
      </w:r>
    </w:p>
    <w:p>
      <w:pPr>
        <w:pStyle w:val="4"/>
        <w:spacing w:before="156" w:after="156"/>
        <w:rPr>
          <w:rFonts w:hint="eastAsia"/>
        </w:rPr>
      </w:pPr>
      <w:bookmarkStart w:id="128" w:name="_Toc8837"/>
      <w:bookmarkStart w:id="129" w:name="_Toc32454"/>
      <w:r>
        <w:rPr>
          <w:rFonts w:hint="eastAsia"/>
        </w:rPr>
        <w:t>4.</w:t>
      </w:r>
      <w:r>
        <w:rPr>
          <w:rFonts w:hint="eastAsia"/>
          <w:lang w:val="en-US" w:eastAsia="zh-CN"/>
        </w:rPr>
        <w:t>2</w:t>
      </w:r>
      <w:r>
        <w:rPr>
          <w:rFonts w:hint="eastAsia"/>
        </w:rPr>
        <w:t>饮用水水源保护区存在环境问题分析</w:t>
      </w:r>
      <w:bookmarkEnd w:id="128"/>
      <w:bookmarkEnd w:id="129"/>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val="en-US" w:eastAsia="zh-CN" w:bidi="ar"/>
        </w:rPr>
      </w:pPr>
      <w:bookmarkStart w:id="130" w:name="_Toc26326"/>
      <w:bookmarkStart w:id="131" w:name="_Toc486"/>
      <w:r>
        <w:rPr>
          <w:rFonts w:hint="eastAsia" w:ascii="Calibri" w:hAnsi="Calibri" w:eastAsia="宋体" w:cs="宋体"/>
          <w:sz w:val="24"/>
          <w:szCs w:val="22"/>
          <w:lang w:val="en-US" w:eastAsia="zh-CN" w:bidi="ar"/>
        </w:rPr>
        <w:t>1、 每年常规监测不符合相关要求。2019年未按《2019 年全省生态环境监测方案》的要求监测相关的指标。</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Calibri" w:hAnsi="Calibri" w:eastAsia="宋体" w:cs="宋体"/>
          <w:sz w:val="24"/>
          <w:szCs w:val="22"/>
          <w:lang w:val="en-US" w:eastAsia="zh-CN" w:bidi="ar"/>
        </w:rPr>
      </w:pPr>
      <w:r>
        <w:rPr>
          <w:rFonts w:hint="eastAsia" w:ascii="Calibri" w:hAnsi="Calibri" w:eastAsia="宋体" w:cs="宋体"/>
          <w:sz w:val="24"/>
          <w:szCs w:val="22"/>
          <w:lang w:val="en-US" w:eastAsia="zh-CN" w:bidi="ar"/>
        </w:rPr>
        <w:t>2、 根据2.4.4章节污染状况调查结果，饮用水水源地存在的环境问题情况汇总见表4-1，其位置分布见附图3。</w:t>
      </w:r>
    </w:p>
    <w:p>
      <w:pPr>
        <w:keepNext/>
        <w:keepLines/>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ascii="Calibri" w:hAnsi="Calibri" w:eastAsia="宋体" w:cs="宋体"/>
          <w:b/>
          <w:bCs/>
          <w:sz w:val="24"/>
          <w:szCs w:val="22"/>
          <w:lang w:val="en-US" w:eastAsia="zh-CN" w:bidi="ar"/>
        </w:rPr>
      </w:pPr>
      <w:r>
        <w:rPr>
          <w:rFonts w:hint="eastAsia" w:ascii="Calibri" w:hAnsi="Calibri" w:eastAsia="宋体" w:cs="宋体"/>
          <w:b/>
          <w:bCs/>
          <w:sz w:val="24"/>
          <w:szCs w:val="22"/>
          <w:lang w:val="en-US" w:eastAsia="zh-CN" w:bidi="ar"/>
        </w:rPr>
        <w:t>一级保护区存在的主要问题：</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（1）标志标牌设置需要完善。</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（2）保护区范围内有1户原著居民以及长仑水厂工作人员。</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（3）一号水井西面为132乡道、三号水井北面为村道，有行人、社会车辆通行，不涉及危险品的运输。</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Calibri" w:hAnsi="Calibri" w:eastAsia="宋体" w:cs="宋体"/>
          <w:sz w:val="24"/>
          <w:szCs w:val="22"/>
          <w:lang w:val="en-US" w:eastAsia="zh-CN" w:bidi="ar"/>
        </w:rPr>
      </w:pPr>
      <w:r>
        <w:rPr>
          <w:rFonts w:hint="eastAsia" w:ascii="Calibri" w:hAnsi="Calibri" w:eastAsia="宋体" w:cs="宋体"/>
          <w:sz w:val="24"/>
          <w:szCs w:val="22"/>
          <w:lang w:val="en-US" w:eastAsia="zh-CN" w:bidi="ar"/>
        </w:rPr>
        <w:t>（4）保护区范围内有0.5亩农田。</w:t>
      </w:r>
    </w:p>
    <w:p>
      <w:pPr>
        <w:pStyle w:val="4"/>
        <w:spacing w:before="156" w:after="156"/>
      </w:pPr>
      <w:bookmarkStart w:id="132" w:name="_Toc32132"/>
      <w:bookmarkStart w:id="133" w:name="_Toc16956"/>
      <w:r>
        <w:rPr>
          <w:rFonts w:hint="eastAsia"/>
        </w:rPr>
        <w:t>4.</w:t>
      </w:r>
      <w:r>
        <w:rPr>
          <w:rFonts w:hint="eastAsia"/>
          <w:lang w:val="en-US" w:eastAsia="zh-CN"/>
        </w:rPr>
        <w:t>3</w:t>
      </w:r>
      <w:r>
        <w:rPr>
          <w:rFonts w:hint="eastAsia"/>
        </w:rPr>
        <w:t xml:space="preserve"> 饮用水水源保护区污染整治措施</w:t>
      </w:r>
      <w:bookmarkEnd w:id="130"/>
      <w:bookmarkEnd w:id="131"/>
      <w:bookmarkEnd w:id="132"/>
      <w:bookmarkEnd w:id="133"/>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针对本次划定的饮用水水源保护区内存在的环境问题，根据《湖南省饮用水水源保护条例》，结合《集中式饮用水水源地规范化整治建设环境保护技术要求》（HJ/T337-2015）、《关于答复全国集中式饮用水水源地环境保护专项行动有关问题的函》（环办环监函[2018]767 号）、《关于答复2019 年饮用水水源地环境保护专项行动有关问题的函》（环办执法函[2019]647 号）、环水体函[2019]92号文的相关要求，一级保护区拟采取以下整治措施：</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eastAsia="zh-CN" w:bidi="ar"/>
        </w:rPr>
      </w:pPr>
      <w:r>
        <w:rPr>
          <w:rFonts w:hint="eastAsia" w:ascii="Calibri" w:hAnsi="Calibri" w:eastAsia="宋体" w:cs="宋体"/>
          <w:sz w:val="24"/>
          <w:szCs w:val="22"/>
          <w:lang w:eastAsia="zh-CN" w:bidi="ar"/>
        </w:rPr>
        <w:t>1、</w:t>
      </w:r>
      <w:r>
        <w:rPr>
          <w:rFonts w:hint="eastAsia" w:ascii="Calibri" w:hAnsi="Calibri" w:eastAsia="宋体" w:cs="宋体"/>
          <w:sz w:val="24"/>
          <w:szCs w:val="22"/>
          <w:lang w:val="en-US" w:eastAsia="zh-CN" w:bidi="ar"/>
        </w:rPr>
        <w:t>1</w:t>
      </w:r>
      <w:r>
        <w:rPr>
          <w:rFonts w:hint="eastAsia" w:ascii="Calibri" w:hAnsi="Calibri" w:eastAsia="宋体" w:cs="宋体"/>
          <w:sz w:val="24"/>
          <w:szCs w:val="22"/>
          <w:lang w:eastAsia="zh-CN" w:bidi="ar"/>
        </w:rPr>
        <w:t>户原著居民以及长仑水厂工作人员的生活污水分别采用四格净化池处理，生活垃圾进行收集处理；</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eastAsia="zh-CN" w:bidi="ar"/>
        </w:rPr>
      </w:pPr>
      <w:r>
        <w:rPr>
          <w:rFonts w:hint="eastAsia" w:ascii="Calibri" w:hAnsi="Calibri" w:eastAsia="宋体" w:cs="宋体"/>
          <w:sz w:val="24"/>
          <w:szCs w:val="22"/>
          <w:lang w:eastAsia="zh-CN" w:bidi="ar"/>
        </w:rPr>
        <w:t>2、完善标志标牌的设置，在进出保护区的道路旁设置交通</w:t>
      </w:r>
      <w:r>
        <w:rPr>
          <w:rFonts w:hint="eastAsia" w:ascii="Calibri" w:hAnsi="Calibri" w:eastAsia="宋体" w:cs="宋体"/>
          <w:sz w:val="24"/>
          <w:szCs w:val="22"/>
          <w:lang w:val="en-US" w:eastAsia="zh-CN" w:bidi="ar"/>
        </w:rPr>
        <w:t>4块</w:t>
      </w:r>
      <w:r>
        <w:rPr>
          <w:rFonts w:hint="eastAsia" w:ascii="Calibri" w:hAnsi="Calibri" w:eastAsia="宋体" w:cs="宋体"/>
          <w:sz w:val="24"/>
          <w:szCs w:val="22"/>
          <w:lang w:eastAsia="zh-CN" w:bidi="ar"/>
        </w:rPr>
        <w:t>警示牌，长仑水厂设置</w:t>
      </w:r>
      <w:r>
        <w:rPr>
          <w:rFonts w:hint="eastAsia" w:ascii="Calibri" w:hAnsi="Calibri" w:eastAsia="宋体" w:cs="宋体"/>
          <w:sz w:val="24"/>
          <w:szCs w:val="22"/>
          <w:lang w:val="en-US" w:eastAsia="zh-CN" w:bidi="ar"/>
        </w:rPr>
        <w:t>1</w:t>
      </w:r>
      <w:r>
        <w:rPr>
          <w:rFonts w:hint="eastAsia" w:ascii="Calibri" w:hAnsi="Calibri" w:eastAsia="宋体" w:cs="宋体"/>
          <w:sz w:val="24"/>
          <w:szCs w:val="22"/>
          <w:lang w:eastAsia="zh-CN" w:bidi="ar"/>
        </w:rPr>
        <w:t>块宣传牌，保护区边界重要边界点设置界标，共</w:t>
      </w:r>
      <w:r>
        <w:rPr>
          <w:rFonts w:hint="eastAsia" w:ascii="Calibri" w:hAnsi="Calibri" w:eastAsia="宋体" w:cs="宋体"/>
          <w:sz w:val="24"/>
          <w:szCs w:val="22"/>
          <w:lang w:val="en-US" w:eastAsia="zh-CN" w:bidi="ar"/>
        </w:rPr>
        <w:t>6</w:t>
      </w:r>
      <w:r>
        <w:rPr>
          <w:rFonts w:hint="eastAsia" w:ascii="Calibri" w:hAnsi="Calibri" w:eastAsia="宋体" w:cs="宋体"/>
          <w:sz w:val="24"/>
          <w:szCs w:val="22"/>
          <w:lang w:eastAsia="zh-CN" w:bidi="ar"/>
        </w:rPr>
        <w:t>块；</w:t>
      </w:r>
    </w:p>
    <w:p>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Calibri" w:hAnsi="Calibri" w:eastAsia="宋体" w:cs="宋体"/>
          <w:sz w:val="24"/>
          <w:szCs w:val="22"/>
          <w:lang w:eastAsia="zh-CN" w:bidi="ar"/>
        </w:rPr>
      </w:pPr>
      <w:r>
        <w:rPr>
          <w:rFonts w:hint="eastAsia" w:ascii="Calibri" w:hAnsi="Calibri" w:eastAsia="宋体" w:cs="宋体"/>
          <w:sz w:val="24"/>
          <w:szCs w:val="22"/>
          <w:lang w:val="en-US" w:eastAsia="zh-CN" w:bidi="ar"/>
        </w:rPr>
        <w:t>3</w:t>
      </w:r>
      <w:r>
        <w:rPr>
          <w:rFonts w:hint="eastAsia" w:ascii="Calibri" w:hAnsi="Calibri" w:eastAsia="宋体" w:cs="宋体"/>
          <w:sz w:val="24"/>
          <w:szCs w:val="22"/>
          <w:lang w:eastAsia="zh-CN" w:bidi="ar"/>
        </w:rPr>
        <w:t>、护区内</w:t>
      </w:r>
      <w:r>
        <w:rPr>
          <w:rFonts w:hint="eastAsia" w:ascii="Calibri" w:hAnsi="Calibri" w:eastAsia="宋体" w:cs="宋体"/>
          <w:sz w:val="24"/>
          <w:szCs w:val="22"/>
          <w:lang w:val="en-US" w:eastAsia="zh-CN" w:bidi="ar"/>
        </w:rPr>
        <w:t>0.9</w:t>
      </w:r>
      <w:r>
        <w:rPr>
          <w:rFonts w:hint="eastAsia" w:ascii="Calibri" w:hAnsi="Calibri" w:eastAsia="宋体" w:cs="宋体"/>
          <w:sz w:val="24"/>
          <w:szCs w:val="22"/>
          <w:lang w:eastAsia="zh-CN" w:bidi="ar"/>
        </w:rPr>
        <w:t>亩水田逐步退出，目前加强测土配方，实施生态种植。</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lang w:eastAsia="zh-CN"/>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lang w:eastAsia="zh-CN"/>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lang w:eastAsia="zh-CN"/>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szCs w:val="21"/>
          <w:lang w:val="en-US" w:eastAsia="zh-CN"/>
        </w:rPr>
      </w:pPr>
      <w:r>
        <w:rPr>
          <w:rFonts w:hint="eastAsia"/>
          <w:b/>
          <w:szCs w:val="21"/>
          <w:lang w:eastAsia="zh-CN"/>
        </w:rPr>
        <w:t>表</w:t>
      </w:r>
      <w:r>
        <w:rPr>
          <w:rFonts w:hint="eastAsia"/>
          <w:b/>
          <w:szCs w:val="21"/>
          <w:lang w:val="en-US" w:eastAsia="zh-CN"/>
        </w:rPr>
        <w:t>4-1一级保护区内主要污染源及整治措施一览表</w:t>
      </w:r>
    </w:p>
    <w:tbl>
      <w:tblPr>
        <w:tblStyle w:val="19"/>
        <w:tblW w:w="4998" w:type="pct"/>
        <w:tblInd w:w="0" w:type="dxa"/>
        <w:shd w:val="clear" w:color="auto" w:fill="auto"/>
        <w:tblLayout w:type="autofit"/>
        <w:tblCellMar>
          <w:top w:w="0" w:type="dxa"/>
          <w:left w:w="0" w:type="dxa"/>
          <w:bottom w:w="0" w:type="dxa"/>
          <w:right w:w="0" w:type="dxa"/>
        </w:tblCellMar>
      </w:tblPr>
      <w:tblGrid>
        <w:gridCol w:w="832"/>
        <w:gridCol w:w="667"/>
        <w:gridCol w:w="716"/>
        <w:gridCol w:w="786"/>
        <w:gridCol w:w="931"/>
        <w:gridCol w:w="1664"/>
        <w:gridCol w:w="1369"/>
        <w:gridCol w:w="975"/>
        <w:gridCol w:w="1157"/>
      </w:tblGrid>
      <w:tr>
        <w:tblPrEx>
          <w:shd w:val="clear" w:color="auto" w:fill="auto"/>
          <w:tblCellMar>
            <w:top w:w="0" w:type="dxa"/>
            <w:left w:w="0" w:type="dxa"/>
            <w:bottom w:w="0" w:type="dxa"/>
            <w:right w:w="0" w:type="dxa"/>
          </w:tblCellMar>
        </w:tblPrEx>
        <w:trPr>
          <w:trHeight w:val="0" w:hRule="atLeast"/>
        </w:trPr>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取水井编号</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保护区级别</w:t>
            </w:r>
          </w:p>
        </w:tc>
        <w:tc>
          <w:tcPr>
            <w:tcW w:w="4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污染源类型</w:t>
            </w:r>
          </w:p>
        </w:tc>
        <w:tc>
          <w:tcPr>
            <w:tcW w:w="4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污染源名称</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主要污染因素</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整治措施</w:t>
            </w:r>
          </w:p>
        </w:tc>
        <w:tc>
          <w:tcPr>
            <w:tcW w:w="7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效果</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完成期限</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责任单位</w:t>
            </w:r>
          </w:p>
        </w:tc>
      </w:tr>
      <w:tr>
        <w:tblPrEx>
          <w:tblCellMar>
            <w:top w:w="0" w:type="dxa"/>
            <w:left w:w="0" w:type="dxa"/>
            <w:bottom w:w="0" w:type="dxa"/>
            <w:right w:w="0" w:type="dxa"/>
          </w:tblCellMar>
        </w:tblPrEx>
        <w:trPr>
          <w:trHeight w:val="0" w:hRule="atLeast"/>
        </w:trPr>
        <w:tc>
          <w:tcPr>
            <w:tcW w:w="476" w:type="pct"/>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一号水井</w:t>
            </w:r>
          </w:p>
        </w:tc>
        <w:tc>
          <w:tcPr>
            <w:tcW w:w="385" w:type="pct"/>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一级保护区</w:t>
            </w:r>
          </w:p>
        </w:tc>
        <w:tc>
          <w:tcPr>
            <w:tcW w:w="41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面源</w:t>
            </w:r>
          </w:p>
        </w:tc>
        <w:tc>
          <w:tcPr>
            <w:tcW w:w="45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水厂工作人员</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生活污水</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1套四格净化池</w:t>
            </w:r>
          </w:p>
        </w:tc>
        <w:tc>
          <w:tcPr>
            <w:tcW w:w="77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生活污水处理可削减COD、氨氮</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2020.12.30</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属地乡镇、村委</w:t>
            </w:r>
          </w:p>
        </w:tc>
      </w:tr>
      <w:tr>
        <w:tblPrEx>
          <w:tblCellMar>
            <w:top w:w="0" w:type="dxa"/>
            <w:left w:w="0" w:type="dxa"/>
            <w:bottom w:w="0" w:type="dxa"/>
            <w:right w:w="0" w:type="dxa"/>
          </w:tblCellMar>
        </w:tblPrEx>
        <w:trPr>
          <w:trHeight w:val="0" w:hRule="atLeast"/>
        </w:trPr>
        <w:tc>
          <w:tcPr>
            <w:tcW w:w="476" w:type="pct"/>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1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5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生活垃圾</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2个垃圾桶</w:t>
            </w: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属地乡镇、村委</w:t>
            </w:r>
          </w:p>
        </w:tc>
      </w:tr>
      <w:tr>
        <w:tblPrEx>
          <w:tblCellMar>
            <w:top w:w="0" w:type="dxa"/>
            <w:left w:w="0" w:type="dxa"/>
            <w:bottom w:w="0" w:type="dxa"/>
            <w:right w:w="0" w:type="dxa"/>
          </w:tblCellMar>
        </w:tblPrEx>
        <w:trPr>
          <w:trHeight w:val="0" w:hRule="atLeast"/>
        </w:trPr>
        <w:tc>
          <w:tcPr>
            <w:tcW w:w="476" w:type="pct"/>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陆地运输</w:t>
            </w:r>
          </w:p>
        </w:tc>
        <w:tc>
          <w:tcPr>
            <w:tcW w:w="4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一号水井西面132乡道</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行人、社会车辆</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在保护区边界设立2块交通警示牌，2块界标，水厂门前设1块宣传牌</w:t>
            </w:r>
          </w:p>
        </w:tc>
        <w:tc>
          <w:tcPr>
            <w:tcW w:w="7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警示作用</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2020.12.30</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县水利局</w:t>
            </w:r>
          </w:p>
        </w:tc>
      </w:tr>
      <w:tr>
        <w:tblPrEx>
          <w:tblCellMar>
            <w:top w:w="0" w:type="dxa"/>
            <w:left w:w="0" w:type="dxa"/>
            <w:bottom w:w="0" w:type="dxa"/>
            <w:right w:w="0" w:type="dxa"/>
          </w:tblCellMar>
        </w:tblPrEx>
        <w:trPr>
          <w:trHeight w:val="0" w:hRule="atLeast"/>
        </w:trPr>
        <w:tc>
          <w:tcPr>
            <w:tcW w:w="47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二号水井</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一级保护区</w:t>
            </w:r>
          </w:p>
        </w:tc>
        <w:tc>
          <w:tcPr>
            <w:tcW w:w="412" w:type="pct"/>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面源</w:t>
            </w:r>
          </w:p>
        </w:tc>
        <w:tc>
          <w:tcPr>
            <w:tcW w:w="450" w:type="pct"/>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1户居民</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生活污水</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1套四格净化池</w:t>
            </w:r>
          </w:p>
        </w:tc>
        <w:tc>
          <w:tcPr>
            <w:tcW w:w="770" w:type="pct"/>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生活污水处理可削减COD、氨氮</w:t>
            </w:r>
          </w:p>
        </w:tc>
        <w:tc>
          <w:tcPr>
            <w:tcW w:w="385" w:type="pct"/>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2020.12.30</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属地乡镇、村委</w:t>
            </w:r>
          </w:p>
        </w:tc>
      </w:tr>
      <w:tr>
        <w:tblPrEx>
          <w:tblCellMar>
            <w:top w:w="0" w:type="dxa"/>
            <w:left w:w="0" w:type="dxa"/>
            <w:bottom w:w="0" w:type="dxa"/>
            <w:right w:w="0" w:type="dxa"/>
          </w:tblCellMar>
        </w:tblPrEx>
        <w:trPr>
          <w:trHeight w:val="0" w:hRule="atLeast"/>
        </w:trPr>
        <w:tc>
          <w:tcPr>
            <w:tcW w:w="476" w:type="pct"/>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12" w:type="pct"/>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50" w:type="pct"/>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生活垃圾</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2个垃圾桶</w:t>
            </w:r>
          </w:p>
        </w:tc>
        <w:tc>
          <w:tcPr>
            <w:tcW w:w="770" w:type="pct"/>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属地乡镇、村委</w:t>
            </w:r>
          </w:p>
        </w:tc>
      </w:tr>
      <w:tr>
        <w:tblPrEx>
          <w:tblCellMar>
            <w:top w:w="0" w:type="dxa"/>
            <w:left w:w="0" w:type="dxa"/>
            <w:bottom w:w="0" w:type="dxa"/>
            <w:right w:w="0" w:type="dxa"/>
          </w:tblCellMar>
        </w:tblPrEx>
        <w:trPr>
          <w:trHeight w:val="0" w:hRule="atLeast"/>
        </w:trPr>
        <w:tc>
          <w:tcPr>
            <w:tcW w:w="47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12" w:type="pct"/>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二号水井东面居民房侧</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 w:val="21"/>
                <w:szCs w:val="21"/>
                <w:lang w:val="en-US" w:eastAsia="zh-CN"/>
              </w:rPr>
              <w:t>社会人员</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 w:val="21"/>
                <w:szCs w:val="21"/>
                <w:lang w:val="en-US" w:eastAsia="zh-CN"/>
              </w:rPr>
              <w:t>在保护区边界设立1界标</w:t>
            </w:r>
          </w:p>
        </w:tc>
        <w:tc>
          <w:tcPr>
            <w:tcW w:w="7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 w:val="21"/>
                <w:szCs w:val="21"/>
                <w:lang w:val="en-US" w:eastAsia="zh-CN"/>
              </w:rPr>
              <w:t>警示作用</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 w:val="21"/>
                <w:szCs w:val="21"/>
                <w:lang w:val="en-US" w:eastAsia="zh-CN"/>
              </w:rPr>
              <w:t>2020.12.30</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 w:val="21"/>
                <w:szCs w:val="21"/>
                <w:lang w:val="en-US" w:eastAsia="zh-CN"/>
              </w:rPr>
              <w:t>县水利局</w:t>
            </w:r>
          </w:p>
        </w:tc>
      </w:tr>
      <w:tr>
        <w:tblPrEx>
          <w:tblCellMar>
            <w:top w:w="0" w:type="dxa"/>
            <w:left w:w="0" w:type="dxa"/>
            <w:bottom w:w="0" w:type="dxa"/>
            <w:right w:w="0" w:type="dxa"/>
          </w:tblCellMar>
        </w:tblPrEx>
        <w:trPr>
          <w:trHeight w:val="0" w:hRule="atLeast"/>
        </w:trPr>
        <w:tc>
          <w:tcPr>
            <w:tcW w:w="47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三号水井</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一级保护区</w:t>
            </w:r>
          </w:p>
        </w:tc>
        <w:tc>
          <w:tcPr>
            <w:tcW w:w="4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面源</w:t>
            </w:r>
          </w:p>
        </w:tc>
        <w:tc>
          <w:tcPr>
            <w:tcW w:w="4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0.5亩水田</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施肥、农药</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逐步退出，目前加强测土配方，实施生态种植</w:t>
            </w:r>
          </w:p>
        </w:tc>
        <w:tc>
          <w:tcPr>
            <w:tcW w:w="7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减小农业面源对水源地的影响</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2020.12.30</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属地乡镇、村委</w:t>
            </w:r>
          </w:p>
        </w:tc>
      </w:tr>
      <w:tr>
        <w:tblPrEx>
          <w:tblCellMar>
            <w:top w:w="0" w:type="dxa"/>
            <w:left w:w="0" w:type="dxa"/>
            <w:bottom w:w="0" w:type="dxa"/>
            <w:right w:w="0" w:type="dxa"/>
          </w:tblCellMar>
        </w:tblPrEx>
        <w:trPr>
          <w:trHeight w:val="0" w:hRule="atLeast"/>
        </w:trPr>
        <w:tc>
          <w:tcPr>
            <w:tcW w:w="47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陆地运输</w:t>
            </w:r>
          </w:p>
        </w:tc>
        <w:tc>
          <w:tcPr>
            <w:tcW w:w="4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三号水井东北面村道</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行人、社会车辆</w:t>
            </w:r>
          </w:p>
        </w:tc>
        <w:tc>
          <w:tcPr>
            <w:tcW w:w="9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在保护区边界设立2块交通警示牌，3块界标</w:t>
            </w:r>
          </w:p>
        </w:tc>
        <w:tc>
          <w:tcPr>
            <w:tcW w:w="7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警示作用</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2020.12.30</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sz w:val="21"/>
                <w:szCs w:val="21"/>
                <w:lang w:val="en-US" w:eastAsia="zh-CN"/>
              </w:rPr>
            </w:pPr>
            <w:r>
              <w:rPr>
                <w:rFonts w:hint="eastAsia" w:ascii="Times New Roman" w:hAnsi="Times New Roman"/>
                <w:sz w:val="21"/>
                <w:szCs w:val="21"/>
                <w:lang w:val="en-US" w:eastAsia="zh-CN"/>
              </w:rPr>
              <w:t>县水利局</w:t>
            </w:r>
          </w:p>
        </w:tc>
      </w:tr>
    </w:tbl>
    <w:p>
      <w:pPr>
        <w:pStyle w:val="2"/>
        <w:rPr>
          <w:rFonts w:hint="eastAsia"/>
          <w:b/>
          <w:szCs w:val="21"/>
          <w:lang w:val="en-US" w:eastAsia="zh-CN"/>
        </w:rPr>
      </w:pPr>
    </w:p>
    <w:p>
      <w:pPr>
        <w:pStyle w:val="4"/>
        <w:spacing w:before="156" w:after="156"/>
        <w:rPr>
          <w:rFonts w:hint="eastAsia"/>
        </w:rPr>
        <w:sectPr>
          <w:pgSz w:w="11905" w:h="16838"/>
          <w:pgMar w:top="1134" w:right="1417" w:bottom="1134" w:left="1417" w:header="850" w:footer="992" w:gutter="0"/>
          <w:paperSrc/>
          <w:pgBorders>
            <w:top w:val="none" w:sz="0" w:space="0"/>
            <w:left w:val="none" w:sz="0" w:space="0"/>
            <w:bottom w:val="none" w:sz="0" w:space="0"/>
            <w:right w:val="none" w:sz="0" w:space="0"/>
          </w:pgBorders>
          <w:pgNumType w:fmt="decimal"/>
          <w:cols w:space="0" w:num="1"/>
          <w:rtlGutter w:val="0"/>
          <w:docGrid w:type="lines" w:linePitch="317" w:charSpace="0"/>
        </w:sectPr>
      </w:pPr>
    </w:p>
    <w:p>
      <w:pPr>
        <w:pStyle w:val="4"/>
        <w:spacing w:before="156" w:after="156"/>
        <w:rPr>
          <w:b/>
        </w:rPr>
      </w:pPr>
      <w:bookmarkStart w:id="134" w:name="_Toc8097"/>
      <w:bookmarkStart w:id="135" w:name="_Toc5556"/>
      <w:r>
        <w:rPr>
          <w:rFonts w:hint="eastAsia"/>
        </w:rPr>
        <w:t>4.</w:t>
      </w:r>
      <w:r>
        <w:rPr>
          <w:rFonts w:hint="eastAsia"/>
          <w:lang w:val="en-US" w:eastAsia="zh-CN"/>
        </w:rPr>
        <w:t>3</w:t>
      </w:r>
      <w:r>
        <w:rPr>
          <w:rFonts w:hint="eastAsia"/>
        </w:rPr>
        <w:t>水量水质可达性分析</w:t>
      </w:r>
      <w:bookmarkEnd w:id="134"/>
      <w:bookmarkEnd w:id="135"/>
    </w:p>
    <w:p>
      <w:pPr>
        <w:pageBreakBefore w:val="0"/>
        <w:widowControl w:val="0"/>
        <w:kinsoku/>
        <w:wordWrap/>
        <w:overflowPunct/>
        <w:topLinePunct w:val="0"/>
        <w:bidi w:val="0"/>
        <w:adjustRightInd/>
        <w:spacing w:beforeLines="0" w:afterLines="0"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（一） 水质可达性分析</w:t>
      </w:r>
    </w:p>
    <w:p>
      <w:pPr>
        <w:pageBreakBefore w:val="0"/>
        <w:widowControl w:val="0"/>
        <w:kinsoku/>
        <w:wordWrap/>
        <w:overflowPunct/>
        <w:topLinePunct w:val="0"/>
        <w:bidi w:val="0"/>
        <w:adjustRightInd/>
        <w:spacing w:beforeLines="0" w:afterLines="0"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根据2.4.3章节的水质评价结果，本水源地的水厂源水水质评价结果满足《地下水质量标准》（GB/T14848-2017）Ⅲ类标准限值。</w:t>
      </w:r>
    </w:p>
    <w:p>
      <w:pPr>
        <w:pageBreakBefore w:val="0"/>
        <w:widowControl w:val="0"/>
        <w:kinsoku/>
        <w:wordWrap/>
        <w:overflowPunct/>
        <w:topLinePunct w:val="0"/>
        <w:bidi w:val="0"/>
        <w:adjustRightInd/>
        <w:spacing w:beforeLines="0" w:afterLines="0"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（二） 水量可达性分析</w:t>
      </w:r>
    </w:p>
    <w:p>
      <w:pPr>
        <w:pageBreakBefore w:val="0"/>
        <w:widowControl w:val="0"/>
        <w:kinsoku/>
        <w:wordWrap/>
        <w:overflowPunct/>
        <w:topLinePunct w:val="0"/>
        <w:bidi w:val="0"/>
        <w:adjustRightInd/>
        <w:spacing w:beforeLines="0" w:afterLines="0" w:line="360" w:lineRule="auto"/>
        <w:ind w:firstLine="480" w:firstLineChars="200"/>
        <w:textAlignment w:val="auto"/>
        <w:outlineLvl w:val="9"/>
        <w:rPr>
          <w:rFonts w:hint="eastAsia" w:ascii="Calibri" w:hAnsi="Calibri" w:eastAsia="宋体" w:cs="宋体"/>
          <w:sz w:val="24"/>
          <w:szCs w:val="22"/>
          <w:lang w:val="en-US" w:eastAsia="zh-CN" w:bidi="ar"/>
        </w:rPr>
      </w:pPr>
      <w:r>
        <w:rPr>
          <w:rFonts w:hint="eastAsia" w:ascii="Calibri" w:hAnsi="Calibri" w:eastAsia="宋体" w:cs="宋体"/>
          <w:sz w:val="24"/>
          <w:szCs w:val="22"/>
          <w:lang w:val="en-US" w:eastAsia="zh-CN" w:bidi="ar"/>
        </w:rPr>
        <w:t>本水厂的设计取水量为1000m³/d，实际用水量为325m</w:t>
      </w:r>
      <w:r>
        <w:rPr>
          <w:rFonts w:hint="eastAsia" w:ascii="Calibri" w:hAnsi="Calibri" w:eastAsia="宋体" w:cs="宋体"/>
          <w:sz w:val="24"/>
          <w:szCs w:val="22"/>
          <w:vertAlign w:val="superscript"/>
          <w:lang w:val="en-US" w:eastAsia="zh-CN" w:bidi="ar"/>
        </w:rPr>
        <w:t>3</w:t>
      </w:r>
      <w:r>
        <w:rPr>
          <w:rFonts w:hint="eastAsia" w:ascii="Calibri" w:hAnsi="Calibri" w:eastAsia="宋体" w:cs="宋体"/>
          <w:sz w:val="24"/>
          <w:szCs w:val="22"/>
          <w:lang w:val="en-US" w:eastAsia="zh-CN" w:bidi="ar"/>
        </w:rPr>
        <w:t>/d，根据《集中式饮用水水源地环境保护状况评估技术规范》（HJ774-2015），实际取水量小于或等于设计取水量时，水量保证率为100%。</w:t>
      </w:r>
    </w:p>
    <w:p>
      <w:pPr>
        <w:adjustRightInd w:val="0"/>
        <w:snapToGrid w:val="0"/>
        <w:spacing w:line="360" w:lineRule="auto"/>
        <w:ind w:firstLine="480" w:firstLineChars="200"/>
        <w:jc w:val="left"/>
        <w:rPr>
          <w:rFonts w:ascii="Calibri" w:hAnsi="Calibri" w:eastAsia="宋体" w:cs="宋体"/>
          <w:sz w:val="24"/>
          <w:szCs w:val="22"/>
          <w:lang w:bidi="ar"/>
        </w:rPr>
      </w:pPr>
      <w:r>
        <w:rPr>
          <w:rFonts w:ascii="Calibri" w:hAnsi="Calibri" w:eastAsia="宋体" w:cs="宋体"/>
          <w:sz w:val="24"/>
          <w:szCs w:val="22"/>
          <w:lang w:bidi="ar"/>
        </w:rPr>
        <w:br w:type="page"/>
      </w:r>
    </w:p>
    <w:p>
      <w:pPr>
        <w:pStyle w:val="3"/>
        <w:spacing w:before="156" w:after="156"/>
        <w:rPr>
          <w:lang w:bidi="ar"/>
        </w:rPr>
      </w:pPr>
      <w:bookmarkStart w:id="136" w:name="_Toc26796"/>
      <w:bookmarkStart w:id="137" w:name="_Toc1971"/>
      <w:r>
        <w:rPr>
          <w:rFonts w:hint="eastAsia"/>
          <w:lang w:bidi="ar"/>
        </w:rPr>
        <w:t>第五章 饮用水水源保护区的监督与管理措施</w:t>
      </w:r>
      <w:bookmarkEnd w:id="136"/>
      <w:bookmarkEnd w:id="137"/>
    </w:p>
    <w:p>
      <w:pPr>
        <w:pStyle w:val="4"/>
        <w:spacing w:before="156" w:after="156"/>
      </w:pPr>
      <w:bookmarkStart w:id="138" w:name="_Toc25944"/>
      <w:bookmarkStart w:id="139" w:name="_Toc23219"/>
      <w:r>
        <w:rPr>
          <w:rFonts w:hint="eastAsia"/>
        </w:rPr>
        <w:t>5.1 饮用水水源保护区标志、隔离网的设置</w:t>
      </w:r>
      <w:bookmarkEnd w:id="138"/>
      <w:bookmarkEnd w:id="139"/>
    </w:p>
    <w:p>
      <w:pPr>
        <w:pStyle w:val="5"/>
        <w:spacing w:before="156" w:after="156"/>
      </w:pPr>
      <w:bookmarkStart w:id="140" w:name="_Toc453061756"/>
      <w:bookmarkStart w:id="141" w:name="_Toc453061602"/>
      <w:bookmarkStart w:id="142" w:name="_Toc30234"/>
      <w:bookmarkStart w:id="143" w:name="_Toc23592"/>
      <w:r>
        <w:rPr>
          <w:rFonts w:hint="eastAsia"/>
        </w:rPr>
        <w:t>5.1.1饮用水水源保护区图形标志的分类</w:t>
      </w:r>
      <w:bookmarkEnd w:id="140"/>
      <w:bookmarkEnd w:id="141"/>
      <w:bookmarkEnd w:id="142"/>
      <w:bookmarkEnd w:id="143"/>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依据《饮用水水源保护区标志技术要求》（HJ/T433—2008），饮用水水源保护区标志包括饮用水水源保护区界标、饮用水水源保护区交通警示牌和饮用水水源保护区宣传牌。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（1）饮用水水源保护区界标：是在饮用水水源保护区的地理边界设立的标志。标识饮用水水源保护区的范围，并警示人们需谨慎行为。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（2）饮用水水源保护区交通警示牌：警示车辆、船舶或行人进入饮用水水源保护区道路或航道，需谨慎驾驶或谨慎行为的标志。</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饮用水水源保护区交通警示牌又分为：饮用水水源保护区道路警示牌和饮用水水源保护区航道警示牌。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（3）饮用水水源保护区宣传牌：根据实际需要，为保护当地饮用水水源而对过往人群进行宣传教育所设立的标志。</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饮用水水源保护区图形标志如图5-1所示，其具体尺寸比例、颜色等见图5-2，饮用水水源保护区图形标的尺寸可根据实际情况按比例缩放。</w:t>
      </w:r>
    </w:p>
    <w:p>
      <w:pPr>
        <w:widowControl/>
        <w:jc w:val="center"/>
        <w:rPr>
          <w:rFonts w:ascii="仿宋_GB2312" w:hAnsi="Times New Roman" w:eastAsia="仿宋_GB2312" w:cs="Times New Roman"/>
          <w:kern w:val="0"/>
        </w:rPr>
      </w:pPr>
      <w:r>
        <w:rPr>
          <w:rFonts w:hint="eastAsia" w:ascii="仿宋_GB2312" w:hAnsi="Times New Roman" w:eastAsia="仿宋_GB2312" w:cs="Times New Roman"/>
          <w:kern w:val="0"/>
        </w:rPr>
        <w:drawing>
          <wp:inline distT="0" distB="0" distL="0" distR="0">
            <wp:extent cx="3718560" cy="3607435"/>
            <wp:effectExtent l="0" t="0" r="15240" b="1206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718560" cy="3607435"/>
                    </a:xfrm>
                    <a:prstGeom prst="rect">
                      <a:avLst/>
                    </a:prstGeom>
                    <a:noFill/>
                    <a:ln>
                      <a:noFill/>
                    </a:ln>
                  </pic:spPr>
                </pic:pic>
              </a:graphicData>
            </a:graphic>
          </wp:inline>
        </w:drawing>
      </w:r>
    </w:p>
    <w:p>
      <w:pPr>
        <w:widowControl/>
        <w:spacing w:line="400" w:lineRule="exact"/>
        <w:jc w:val="center"/>
        <w:rPr>
          <w:rFonts w:ascii="仿宋_GB2312" w:hAnsi="Arial Narrow" w:eastAsia="仿宋_GB2312" w:cs="Times New Roman"/>
          <w:b/>
          <w:kern w:val="0"/>
          <w:szCs w:val="21"/>
        </w:rPr>
      </w:pPr>
      <w:r>
        <w:rPr>
          <w:rFonts w:hint="eastAsia" w:ascii="仿宋_GB2312" w:hAnsi="Arial Narrow" w:eastAsia="仿宋_GB2312" w:cs="Times New Roman"/>
          <w:b/>
          <w:kern w:val="0"/>
          <w:szCs w:val="21"/>
        </w:rPr>
        <w:t>图5-1    饮用水水源保护区图形标志</w:t>
      </w:r>
    </w:p>
    <w:p>
      <w:pPr>
        <w:widowControl/>
        <w:jc w:val="center"/>
        <w:rPr>
          <w:rFonts w:ascii="仿宋_GB2312" w:hAnsi="Arial Narrow" w:eastAsia="仿宋_GB2312" w:cs="Times New Roman"/>
          <w:kern w:val="0"/>
          <w:szCs w:val="28"/>
        </w:rPr>
      </w:pPr>
      <w:r>
        <w:rPr>
          <w:rFonts w:hint="eastAsia" w:ascii="仿宋_GB2312" w:hAnsi="Arial Narrow" w:eastAsia="仿宋_GB2312" w:cs="Times New Roman"/>
          <w:kern w:val="0"/>
          <w:szCs w:val="28"/>
        </w:rPr>
        <w:drawing>
          <wp:inline distT="0" distB="0" distL="0" distR="0">
            <wp:extent cx="4330700" cy="4117975"/>
            <wp:effectExtent l="0" t="0" r="12700" b="158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330700" cy="4117975"/>
                    </a:xfrm>
                    <a:prstGeom prst="rect">
                      <a:avLst/>
                    </a:prstGeom>
                    <a:noFill/>
                    <a:ln>
                      <a:noFill/>
                    </a:ln>
                  </pic:spPr>
                </pic:pic>
              </a:graphicData>
            </a:graphic>
          </wp:inline>
        </w:drawing>
      </w:r>
    </w:p>
    <w:p>
      <w:pPr>
        <w:widowControl/>
        <w:spacing w:line="400" w:lineRule="exact"/>
        <w:jc w:val="center"/>
        <w:rPr>
          <w:rFonts w:ascii="仿宋_GB2312" w:hAnsi="Arial Narrow" w:eastAsia="仿宋_GB2312" w:cs="Times New Roman"/>
          <w:b/>
          <w:kern w:val="0"/>
          <w:szCs w:val="21"/>
        </w:rPr>
      </w:pPr>
      <w:r>
        <w:rPr>
          <w:rFonts w:hint="eastAsia" w:ascii="仿宋_GB2312" w:hAnsi="Arial Narrow" w:eastAsia="仿宋_GB2312" w:cs="Times New Roman"/>
          <w:b/>
          <w:kern w:val="0"/>
          <w:szCs w:val="21"/>
        </w:rPr>
        <w:t>图5-2    饮用水水源保护区图形标志尺寸比例示意图</w:t>
      </w:r>
    </w:p>
    <w:p>
      <w:pPr>
        <w:pStyle w:val="5"/>
        <w:spacing w:before="156" w:after="156"/>
      </w:pPr>
      <w:bookmarkStart w:id="144" w:name="_Toc438805143"/>
      <w:bookmarkStart w:id="145" w:name="_Toc453061757"/>
      <w:bookmarkStart w:id="146" w:name="_Toc453061603"/>
      <w:bookmarkStart w:id="147" w:name="_Toc17650"/>
      <w:bookmarkStart w:id="148" w:name="_Toc18461"/>
      <w:r>
        <w:rPr>
          <w:rFonts w:hint="eastAsia"/>
        </w:rPr>
        <w:t>5.1.2饮用水水源保护区图形标志的内容</w:t>
      </w:r>
      <w:bookmarkEnd w:id="144"/>
      <w:bookmarkEnd w:id="145"/>
      <w:bookmarkEnd w:id="146"/>
      <w:bookmarkEnd w:id="147"/>
      <w:bookmarkEnd w:id="148"/>
    </w:p>
    <w:p>
      <w:pPr>
        <w:numPr>
          <w:ilvl w:val="0"/>
          <w:numId w:val="2"/>
        </w:num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界标内容</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Calibri" w:hAnsi="Calibri" w:eastAsia="宋体" w:cs="宋体"/>
          <w:sz w:val="24"/>
          <w:szCs w:val="22"/>
          <w:lang w:eastAsia="zh-CN" w:bidi="ar"/>
        </w:rPr>
      </w:pPr>
      <w:r>
        <w:rPr>
          <w:rFonts w:hint="eastAsia" w:ascii="Calibri" w:hAnsi="Calibri" w:eastAsia="宋体" w:cs="宋体"/>
          <w:sz w:val="24"/>
          <w:szCs w:val="22"/>
          <w:lang w:eastAsia="zh-CN" w:bidi="ar"/>
        </w:rPr>
        <w:t>界标正面的上方为饮用水水源保护区图形标。中下方书写饮用水水源保护区名称，如 ：饮用水水源一级保护区、饮用水水源二级保护区等。下方为"监督管理电话：XXXXXXXX"等 。监督管理方面的信息，监督管理电话一般为当地环境保护行政主管部门联系电话。饮用水水源保护区界标正面内容的示意图如图5-3。界标背面的上方用清晰、易懂的图形或文字说明根据《饮用水水源保护区标志技术要求》（HJ/T433—2008）划定的饮用水水源保护区范围，以标明保护区准确地理坐标和范围参数等为宜。中下方书写饮用水水源保护区具体的管理要求，可引用《中华人民共和国水污染防治法》以及其它有关法律法规中关于饮用水水源保护区的条款和内容。最下方靠右处书写"XX 政府 XX 年设立"字样。饮用水水源保护区界标背面内容的示意图如图5-4。</w:t>
      </w:r>
    </w:p>
    <w:p>
      <w:pPr>
        <w:jc w:val="left"/>
      </w:pPr>
      <w:r>
        <w:drawing>
          <wp:inline distT="0" distB="0" distL="0" distR="0">
            <wp:extent cx="5076825" cy="3375025"/>
            <wp:effectExtent l="0" t="0" r="9525" b="158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076825" cy="3375025"/>
                    </a:xfrm>
                    <a:prstGeom prst="rect">
                      <a:avLst/>
                    </a:prstGeom>
                    <a:noFill/>
                  </pic:spPr>
                </pic:pic>
              </a:graphicData>
            </a:graphic>
          </wp:inline>
        </w:drawing>
      </w:r>
    </w:p>
    <w:p>
      <w:pPr>
        <w:spacing w:line="400" w:lineRule="exact"/>
        <w:jc w:val="left"/>
        <w:rPr>
          <w:b/>
          <w:szCs w:val="21"/>
        </w:rPr>
      </w:pPr>
      <w:r>
        <w:rPr>
          <w:rFonts w:hint="eastAsia"/>
          <w:b/>
          <w:szCs w:val="21"/>
        </w:rPr>
        <w:t>图5-3  饮用水水源保护区界标正面示意图      图5-4 饮用水水源保护区界标背面示意图</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（2）交通警示牌内容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饮用水水源保护区道路警示牌:一般公路如图5-5，高速公路如图5-6。</w:t>
      </w:r>
    </w:p>
    <w:p>
      <w:pPr>
        <w:autoSpaceDE w:val="0"/>
        <w:autoSpaceDN w:val="0"/>
        <w:jc w:val="center"/>
        <w:rPr>
          <w:rFonts w:ascii="仿宋_GB2312" w:hAnsi="Arial Narrow" w:eastAsia="仿宋_GB2312" w:cs="Times New Roman"/>
          <w:b/>
          <w:kern w:val="0"/>
          <w:szCs w:val="28"/>
        </w:rPr>
      </w:pPr>
      <w:r>
        <w:rPr>
          <w:rFonts w:hint="eastAsia" w:ascii="仿宋_GB2312" w:hAnsi="Arial Narrow" w:eastAsia="仿宋_GB2312"/>
          <w:kern w:val="0"/>
          <w:szCs w:val="28"/>
        </w:rPr>
        <w:drawing>
          <wp:inline distT="0" distB="0" distL="0" distR="0">
            <wp:extent cx="3571875" cy="14954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571875" cy="1495425"/>
                    </a:xfrm>
                    <a:prstGeom prst="rect">
                      <a:avLst/>
                    </a:prstGeom>
                    <a:noFill/>
                    <a:ln>
                      <a:noFill/>
                    </a:ln>
                  </pic:spPr>
                </pic:pic>
              </a:graphicData>
            </a:graphic>
          </wp:inline>
        </w:drawing>
      </w:r>
    </w:p>
    <w:p>
      <w:pPr>
        <w:autoSpaceDE w:val="0"/>
        <w:autoSpaceDN w:val="0"/>
        <w:spacing w:line="400" w:lineRule="exact"/>
        <w:jc w:val="center"/>
        <w:rPr>
          <w:rFonts w:ascii="仿宋_GB2312" w:hAnsi="Arial Narrow" w:eastAsia="仿宋_GB2312" w:cs="Times New Roman"/>
          <w:b/>
          <w:kern w:val="0"/>
          <w:szCs w:val="21"/>
        </w:rPr>
      </w:pPr>
      <w:r>
        <w:rPr>
          <w:rFonts w:hint="eastAsia" w:ascii="仿宋_GB2312" w:hAnsi="Arial Narrow" w:eastAsia="仿宋_GB2312" w:cs="Times New Roman"/>
          <w:b/>
          <w:kern w:val="0"/>
          <w:szCs w:val="21"/>
        </w:rPr>
        <w:t>图5-5    饮用水水源保护区道路警示牌示意图（一般道路）</w:t>
      </w:r>
    </w:p>
    <w:p>
      <w:pPr>
        <w:autoSpaceDE w:val="0"/>
        <w:autoSpaceDN w:val="0"/>
        <w:jc w:val="center"/>
        <w:rPr>
          <w:rFonts w:ascii="仿宋_GB2312" w:hAnsi="Arial Narrow" w:eastAsia="仿宋_GB2312" w:cs="Times New Roman"/>
          <w:kern w:val="0"/>
          <w:szCs w:val="28"/>
        </w:rPr>
      </w:pPr>
      <w:r>
        <w:rPr>
          <w:rFonts w:hint="eastAsia" w:ascii="仿宋_GB2312" w:hAnsi="Arial Narrow" w:eastAsia="仿宋_GB2312" w:cs="Times New Roman"/>
          <w:kern w:val="0"/>
          <w:szCs w:val="28"/>
        </w:rPr>
        <w:drawing>
          <wp:inline distT="0" distB="0" distL="0" distR="0">
            <wp:extent cx="3590925" cy="146685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590925" cy="1466850"/>
                    </a:xfrm>
                    <a:prstGeom prst="rect">
                      <a:avLst/>
                    </a:prstGeom>
                    <a:noFill/>
                    <a:ln>
                      <a:noFill/>
                    </a:ln>
                  </pic:spPr>
                </pic:pic>
              </a:graphicData>
            </a:graphic>
          </wp:inline>
        </w:drawing>
      </w:r>
    </w:p>
    <w:p>
      <w:pPr>
        <w:autoSpaceDE w:val="0"/>
        <w:autoSpaceDN w:val="0"/>
        <w:spacing w:line="400" w:lineRule="exact"/>
        <w:jc w:val="center"/>
        <w:rPr>
          <w:rFonts w:ascii="仿宋_GB2312" w:hAnsi="Arial Narrow" w:eastAsia="仿宋_GB2312" w:cs="Times New Roman"/>
          <w:kern w:val="0"/>
          <w:szCs w:val="21"/>
        </w:rPr>
      </w:pPr>
      <w:r>
        <w:rPr>
          <w:rFonts w:hint="eastAsia" w:ascii="仿宋_GB2312" w:hAnsi="Arial Narrow" w:eastAsia="仿宋_GB2312" w:cs="Times New Roman"/>
          <w:b/>
          <w:kern w:val="0"/>
          <w:szCs w:val="21"/>
        </w:rPr>
        <w:t xml:space="preserve">图5-6  </w:t>
      </w:r>
      <w:r>
        <w:rPr>
          <w:rFonts w:hint="eastAsia" w:ascii="仿宋_GB2312" w:hAnsi="Arial Narrow" w:eastAsia="仿宋_GB2312" w:cs="Times New Roman"/>
          <w:kern w:val="0"/>
          <w:szCs w:val="21"/>
        </w:rPr>
        <w:t xml:space="preserve">  </w:t>
      </w:r>
      <w:r>
        <w:rPr>
          <w:rFonts w:hint="eastAsia" w:ascii="仿宋_GB2312" w:hAnsi="Arial Narrow" w:eastAsia="仿宋_GB2312" w:cs="Times New Roman"/>
          <w:b/>
          <w:kern w:val="0"/>
          <w:szCs w:val="21"/>
        </w:rPr>
        <w:t>饮用水水源保护区道路警示牌示意图（高速公路）</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在驶离饮用水水源保护区的路侧，可设立驶离告示牌，一般公路如图5-7，高速公路如图5-8。</w:t>
      </w:r>
    </w:p>
    <w:p>
      <w:pPr>
        <w:autoSpaceDE w:val="0"/>
        <w:autoSpaceDN w:val="0"/>
        <w:jc w:val="center"/>
        <w:rPr>
          <w:rFonts w:ascii="仿宋_GB2312" w:hAnsi="Arial Narrow" w:eastAsia="仿宋_GB2312" w:cs="Times New Roman"/>
          <w:kern w:val="0"/>
          <w:szCs w:val="28"/>
        </w:rPr>
      </w:pPr>
      <w:r>
        <w:rPr>
          <w:rFonts w:hint="eastAsia" w:ascii="仿宋_GB2312" w:hAnsi="Arial Narrow" w:eastAsia="仿宋_GB2312" w:cs="Times New Roman"/>
          <w:kern w:val="0"/>
          <w:szCs w:val="28"/>
        </w:rPr>
        <w:drawing>
          <wp:inline distT="0" distB="0" distL="0" distR="0">
            <wp:extent cx="3524250" cy="14382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524250" cy="1438275"/>
                    </a:xfrm>
                    <a:prstGeom prst="rect">
                      <a:avLst/>
                    </a:prstGeom>
                    <a:noFill/>
                    <a:ln>
                      <a:noFill/>
                    </a:ln>
                  </pic:spPr>
                </pic:pic>
              </a:graphicData>
            </a:graphic>
          </wp:inline>
        </w:drawing>
      </w:r>
    </w:p>
    <w:p>
      <w:pPr>
        <w:autoSpaceDE w:val="0"/>
        <w:autoSpaceDN w:val="0"/>
        <w:spacing w:line="400" w:lineRule="exact"/>
        <w:jc w:val="center"/>
        <w:rPr>
          <w:rFonts w:ascii="仿宋_GB2312" w:hAnsi="Arial Narrow" w:eastAsia="仿宋_GB2312" w:cs="Times New Roman"/>
          <w:kern w:val="0"/>
          <w:szCs w:val="21"/>
        </w:rPr>
      </w:pPr>
      <w:r>
        <w:rPr>
          <w:rFonts w:hint="eastAsia" w:ascii="仿宋_GB2312" w:hAnsi="Arial Narrow" w:eastAsia="仿宋_GB2312" w:cs="Times New Roman"/>
          <w:b/>
          <w:kern w:val="0"/>
          <w:szCs w:val="21"/>
        </w:rPr>
        <w:t>图5-7  驶离饮用水水源保护区道路告示牌示意图（一般道路）</w:t>
      </w:r>
    </w:p>
    <w:p>
      <w:pPr>
        <w:autoSpaceDE w:val="0"/>
        <w:autoSpaceDN w:val="0"/>
        <w:jc w:val="center"/>
        <w:rPr>
          <w:rFonts w:ascii="仿宋_GB2312" w:hAnsi="Arial Narrow" w:eastAsia="仿宋_GB2312" w:cs="Times New Roman"/>
          <w:kern w:val="0"/>
          <w:szCs w:val="28"/>
        </w:rPr>
      </w:pPr>
      <w:r>
        <w:rPr>
          <w:rFonts w:hint="eastAsia" w:ascii="仿宋_GB2312" w:hAnsi="Arial Narrow" w:eastAsia="仿宋_GB2312" w:cs="Times New Roman"/>
          <w:kern w:val="0"/>
          <w:szCs w:val="28"/>
        </w:rPr>
        <w:drawing>
          <wp:inline distT="0" distB="0" distL="0" distR="0">
            <wp:extent cx="3571875" cy="147637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571875" cy="1476375"/>
                    </a:xfrm>
                    <a:prstGeom prst="rect">
                      <a:avLst/>
                    </a:prstGeom>
                    <a:noFill/>
                    <a:ln>
                      <a:noFill/>
                    </a:ln>
                  </pic:spPr>
                </pic:pic>
              </a:graphicData>
            </a:graphic>
          </wp:inline>
        </w:drawing>
      </w:r>
    </w:p>
    <w:p>
      <w:pPr>
        <w:autoSpaceDE w:val="0"/>
        <w:autoSpaceDN w:val="0"/>
        <w:spacing w:line="400" w:lineRule="exact"/>
        <w:jc w:val="center"/>
        <w:rPr>
          <w:rFonts w:ascii="仿宋_GB2312" w:hAnsi="Arial Narrow" w:eastAsia="仿宋_GB2312" w:cs="Times New Roman"/>
          <w:kern w:val="0"/>
          <w:szCs w:val="21"/>
        </w:rPr>
      </w:pPr>
      <w:r>
        <w:rPr>
          <w:rFonts w:hint="eastAsia" w:ascii="仿宋_GB2312" w:hAnsi="Arial Narrow" w:eastAsia="仿宋_GB2312" w:cs="Times New Roman"/>
          <w:b/>
          <w:kern w:val="0"/>
          <w:szCs w:val="21"/>
        </w:rPr>
        <w:t>图5-8  驶离饮用水水源保护区道路告示牌示意图（高速公路）</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（3）宣传牌内容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各地方政府可根据实际需求设计宣传牌上的图形和文字，如介绍当地饮用水水源保护区的地形地貌、划分情况、保护现状、管理要求等。</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饮用水水源保护区宣传牌宜在明显位置采用饮用水水源保护区图形标。</w:t>
      </w:r>
    </w:p>
    <w:p>
      <w:pPr>
        <w:pStyle w:val="5"/>
        <w:spacing w:before="156" w:after="156"/>
      </w:pPr>
      <w:bookmarkStart w:id="149" w:name="_Toc453061758"/>
      <w:bookmarkStart w:id="150" w:name="_Toc453061604"/>
      <w:bookmarkStart w:id="151" w:name="_Toc438805144"/>
      <w:bookmarkStart w:id="152" w:name="_Toc21701"/>
      <w:bookmarkStart w:id="153" w:name="_Toc21554"/>
      <w:r>
        <w:rPr>
          <w:rFonts w:hint="eastAsia"/>
        </w:rPr>
        <w:t>5.1.3饮用水水源保护区图形标志的设立位置</w:t>
      </w:r>
      <w:bookmarkEnd w:id="149"/>
      <w:bookmarkEnd w:id="150"/>
      <w:bookmarkEnd w:id="151"/>
      <w:bookmarkEnd w:id="152"/>
      <w:bookmarkEnd w:id="153"/>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（1）界标设立位置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饮用水水源保护区界标的设立位置应以根据《饮用水水源保护区标志技术要求》（HJ/T433—2008）最终确定的各级保护区界线进行设置，应充分考虑保护区地形、地标、地物的特点。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饮用水水源保护区界标一般设立于保护区陆域界线的顶点处。</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饮用水水源保护区陆域范围为矩形或接近矩形时（如某些河流型饮用水水源保护区），宜在陆域外侧两顶点处设置界标；</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饮用水水源保护区陆域范围为弧形或接近弧形时（如某些湖库型饮用水水源保护区），宜在陆域两个弧端点及弧顶处设置界标；</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饮用水水源保护区陆域范围为圆形或接近圆形时，宜在陆域四个方向的端点处设置界标；</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在划定的陆域范围内，可根据环境管理需要在人群易见、活动处设立界标。</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饮用水水源保护区界标的设立应综合考虑饮用水水源一级保护区、二级保护区和准保护区的界标设立数量和分布而进行设置。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（2）饮用水水源保护区交通警示牌的设立位置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饮用水水源保护区交通警示牌设在保护区的道路的进入点及驶出点。</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饮用水水源保护区道路警示牌设置于一级保护区、二级保护区和准保护区范围内的主干道旁。道路警示牌的具体设立位置应符合GB5768的相关要求。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饮用水水源保护区航道警示牌的具体设立位置应符合GB5863的相关要求。</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（3）饮用水水源保护区宣传牌的设立位置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饮用水水源保护区宣传牌的设立位置可根据实际需要在适当的位置设立饮用水源保护区宣传牌，但应符合GB／T15566和GB5768 的相关要求。</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（4）饮用水水源保护区标志设置情况</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根据饮用水源保护区标志设置的相关规定，结合</w:t>
      </w:r>
      <w:r>
        <w:rPr>
          <w:rFonts w:hint="eastAsia" w:ascii="Calibri" w:hAnsi="Calibri" w:eastAsia="宋体" w:cs="宋体"/>
          <w:sz w:val="24"/>
          <w:szCs w:val="22"/>
          <w:lang w:val="en-US" w:eastAsia="zh-CN" w:bidi="ar"/>
        </w:rPr>
        <w:t>石塘镇</w:t>
      </w:r>
      <w:r>
        <w:rPr>
          <w:rFonts w:hint="eastAsia" w:ascii="Calibri" w:hAnsi="Calibri" w:eastAsia="宋体" w:cs="宋体"/>
          <w:sz w:val="24"/>
          <w:szCs w:val="22"/>
          <w:lang w:eastAsia="zh-CN" w:bidi="ar"/>
        </w:rPr>
        <w:t>地下水</w:t>
      </w:r>
      <w:r>
        <w:rPr>
          <w:rFonts w:hint="eastAsia" w:ascii="Calibri" w:hAnsi="Calibri" w:eastAsia="宋体" w:cs="宋体"/>
          <w:sz w:val="24"/>
          <w:szCs w:val="22"/>
          <w:lang w:bidi="ar"/>
        </w:rPr>
        <w:t>饮用水水源保护区划分边界的具体情况，</w:t>
      </w:r>
      <w:r>
        <w:rPr>
          <w:rFonts w:hint="eastAsia" w:ascii="Calibri" w:hAnsi="Calibri" w:eastAsia="宋体" w:cs="宋体"/>
          <w:sz w:val="24"/>
          <w:szCs w:val="22"/>
          <w:lang w:val="en-US" w:eastAsia="zh-CN" w:bidi="ar"/>
        </w:rPr>
        <w:t>石塘镇地下水</w:t>
      </w:r>
      <w:r>
        <w:rPr>
          <w:rFonts w:hint="eastAsia" w:ascii="Calibri" w:hAnsi="Calibri" w:eastAsia="宋体" w:cs="宋体"/>
          <w:sz w:val="24"/>
          <w:szCs w:val="22"/>
          <w:lang w:bidi="ar"/>
        </w:rPr>
        <w:t>饮用水源保护区标志设置的具体情况如表5-1所示。</w:t>
      </w:r>
      <w:r>
        <w:rPr>
          <w:rFonts w:hint="eastAsia" w:ascii="Calibri" w:hAnsi="Calibri" w:eastAsia="宋体" w:cs="宋体"/>
          <w:sz w:val="24"/>
          <w:szCs w:val="22"/>
          <w:lang w:val="en-US" w:eastAsia="zh-CN" w:bidi="ar"/>
        </w:rPr>
        <w:t>分布情况</w:t>
      </w:r>
      <w:r>
        <w:rPr>
          <w:rFonts w:hint="eastAsia" w:ascii="Calibri" w:hAnsi="Calibri" w:eastAsia="宋体" w:cs="宋体"/>
          <w:sz w:val="24"/>
          <w:szCs w:val="22"/>
          <w:lang w:bidi="ar"/>
        </w:rPr>
        <w:t>见附图6</w:t>
      </w:r>
      <w:r>
        <w:rPr>
          <w:rFonts w:hint="eastAsia" w:ascii="Calibri" w:hAnsi="Calibri" w:eastAsia="宋体" w:cs="宋体"/>
          <w:sz w:val="24"/>
          <w:szCs w:val="22"/>
          <w:lang w:eastAsia="zh-CN" w:bidi="ar"/>
        </w:rPr>
        <w:t>：</w:t>
      </w:r>
      <w:r>
        <w:rPr>
          <w:rFonts w:hint="eastAsia" w:ascii="Calibri" w:hAnsi="Calibri" w:eastAsia="宋体" w:cs="宋体"/>
          <w:sz w:val="24"/>
          <w:szCs w:val="22"/>
          <w:lang w:val="en-US" w:eastAsia="zh-CN" w:bidi="ar"/>
        </w:rPr>
        <w:t>湘阴县石塘镇地下水</w:t>
      </w:r>
      <w:r>
        <w:rPr>
          <w:rFonts w:hint="eastAsia" w:ascii="Calibri" w:hAnsi="Calibri" w:eastAsia="宋体" w:cs="宋体"/>
          <w:sz w:val="24"/>
          <w:szCs w:val="22"/>
          <w:lang w:bidi="ar"/>
        </w:rPr>
        <w:t>饮用水源保护区标志设置图。</w:t>
      </w:r>
    </w:p>
    <w:p>
      <w:pPr>
        <w:spacing w:line="400" w:lineRule="exact"/>
        <w:jc w:val="center"/>
        <w:rPr>
          <w:b/>
          <w:szCs w:val="21"/>
          <w:highlight w:val="none"/>
        </w:rPr>
      </w:pPr>
      <w:bookmarkStart w:id="154" w:name="OLE_LINK53"/>
      <w:r>
        <w:rPr>
          <w:rFonts w:hint="eastAsia"/>
          <w:b/>
          <w:szCs w:val="21"/>
          <w:highlight w:val="none"/>
        </w:rPr>
        <w:t>表5-1  湘阴县</w:t>
      </w:r>
      <w:r>
        <w:rPr>
          <w:rFonts w:hint="eastAsia"/>
          <w:b/>
          <w:szCs w:val="21"/>
          <w:highlight w:val="none"/>
          <w:lang w:val="en-US" w:eastAsia="zh-CN"/>
        </w:rPr>
        <w:t>石塘镇长仑水厂地下水</w:t>
      </w:r>
      <w:r>
        <w:rPr>
          <w:rFonts w:hint="eastAsia"/>
          <w:b/>
          <w:szCs w:val="21"/>
          <w:highlight w:val="none"/>
        </w:rPr>
        <w:t>饮用水源保护区标志设置明细表</w:t>
      </w:r>
    </w:p>
    <w:tbl>
      <w:tblPr>
        <w:tblStyle w:val="20"/>
        <w:tblW w:w="8170"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45"/>
        <w:gridCol w:w="1293"/>
        <w:gridCol w:w="2261"/>
        <w:gridCol w:w="846"/>
        <w:gridCol w:w="1082"/>
        <w:gridCol w:w="194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745" w:type="dxa"/>
            <w:tcBorders>
              <w:tl2br w:val="nil"/>
              <w:tr2bl w:val="nil"/>
            </w:tcBorders>
            <w:vAlign w:val="center"/>
          </w:tcPr>
          <w:p>
            <w:pPr>
              <w:spacing w:line="400" w:lineRule="exact"/>
              <w:jc w:val="center"/>
              <w:rPr>
                <w:szCs w:val="21"/>
                <w:highlight w:val="none"/>
              </w:rPr>
            </w:pPr>
            <w:bookmarkStart w:id="155" w:name="OLE_LINK50"/>
            <w:r>
              <w:rPr>
                <w:rFonts w:hint="eastAsia"/>
                <w:szCs w:val="21"/>
                <w:highlight w:val="none"/>
              </w:rPr>
              <w:t>序号</w:t>
            </w:r>
          </w:p>
        </w:tc>
        <w:tc>
          <w:tcPr>
            <w:tcW w:w="1293" w:type="dxa"/>
            <w:tcBorders>
              <w:tl2br w:val="nil"/>
              <w:tr2bl w:val="nil"/>
            </w:tcBorders>
            <w:vAlign w:val="center"/>
          </w:tcPr>
          <w:p>
            <w:pPr>
              <w:spacing w:line="400" w:lineRule="exact"/>
              <w:jc w:val="center"/>
              <w:rPr>
                <w:szCs w:val="21"/>
                <w:highlight w:val="none"/>
              </w:rPr>
            </w:pPr>
            <w:r>
              <w:rPr>
                <w:rFonts w:hint="eastAsia"/>
                <w:szCs w:val="21"/>
                <w:highlight w:val="none"/>
              </w:rPr>
              <w:t>标志名称</w:t>
            </w:r>
          </w:p>
        </w:tc>
        <w:tc>
          <w:tcPr>
            <w:tcW w:w="2261" w:type="dxa"/>
            <w:tcBorders>
              <w:tl2br w:val="nil"/>
              <w:tr2bl w:val="nil"/>
            </w:tcBorders>
            <w:vAlign w:val="center"/>
          </w:tcPr>
          <w:p>
            <w:pPr>
              <w:spacing w:line="400" w:lineRule="exact"/>
              <w:jc w:val="center"/>
              <w:rPr>
                <w:szCs w:val="21"/>
                <w:highlight w:val="none"/>
              </w:rPr>
            </w:pPr>
            <w:r>
              <w:rPr>
                <w:rFonts w:hint="eastAsia"/>
                <w:szCs w:val="21"/>
                <w:highlight w:val="none"/>
              </w:rPr>
              <w:t>设置位置</w:t>
            </w:r>
          </w:p>
        </w:tc>
        <w:tc>
          <w:tcPr>
            <w:tcW w:w="846" w:type="dxa"/>
            <w:tcBorders>
              <w:tl2br w:val="nil"/>
              <w:tr2bl w:val="nil"/>
            </w:tcBorders>
            <w:vAlign w:val="center"/>
          </w:tcPr>
          <w:p>
            <w:pPr>
              <w:spacing w:line="400" w:lineRule="exact"/>
              <w:jc w:val="center"/>
              <w:rPr>
                <w:szCs w:val="21"/>
                <w:highlight w:val="none"/>
              </w:rPr>
            </w:pPr>
            <w:r>
              <w:rPr>
                <w:rFonts w:hint="eastAsia"/>
                <w:szCs w:val="21"/>
                <w:highlight w:val="none"/>
              </w:rPr>
              <w:t>数量</w:t>
            </w:r>
          </w:p>
        </w:tc>
        <w:tc>
          <w:tcPr>
            <w:tcW w:w="1082"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标号</w:t>
            </w:r>
          </w:p>
        </w:tc>
        <w:tc>
          <w:tcPr>
            <w:tcW w:w="1943" w:type="dxa"/>
            <w:tcBorders>
              <w:tl2br w:val="nil"/>
              <w:tr2bl w:val="nil"/>
            </w:tcBorders>
            <w:vAlign w:val="center"/>
          </w:tcPr>
          <w:p>
            <w:pPr>
              <w:spacing w:line="400" w:lineRule="exact"/>
              <w:jc w:val="center"/>
              <w:rPr>
                <w:szCs w:val="21"/>
                <w:highlight w:val="none"/>
              </w:rPr>
            </w:pPr>
            <w:r>
              <w:rPr>
                <w:rFonts w:hint="eastAsia"/>
                <w:szCs w:val="21"/>
                <w:highlight w:val="none"/>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745" w:type="dxa"/>
            <w:tcBorders>
              <w:tl2br w:val="nil"/>
              <w:tr2bl w:val="nil"/>
            </w:tcBorders>
            <w:vAlign w:val="center"/>
          </w:tcPr>
          <w:p>
            <w:pPr>
              <w:spacing w:line="400" w:lineRule="exact"/>
              <w:jc w:val="center"/>
              <w:rPr>
                <w:szCs w:val="21"/>
                <w:highlight w:val="none"/>
              </w:rPr>
            </w:pPr>
            <w:r>
              <w:rPr>
                <w:rFonts w:hint="eastAsia"/>
                <w:szCs w:val="21"/>
                <w:highlight w:val="none"/>
              </w:rPr>
              <w:t>1</w:t>
            </w:r>
          </w:p>
        </w:tc>
        <w:tc>
          <w:tcPr>
            <w:tcW w:w="1293" w:type="dxa"/>
            <w:tcBorders>
              <w:tl2br w:val="nil"/>
              <w:tr2bl w:val="nil"/>
            </w:tcBorders>
            <w:vAlign w:val="center"/>
          </w:tcPr>
          <w:p>
            <w:pPr>
              <w:spacing w:line="400" w:lineRule="exact"/>
              <w:jc w:val="center"/>
              <w:rPr>
                <w:szCs w:val="21"/>
                <w:highlight w:val="none"/>
              </w:rPr>
            </w:pPr>
            <w:r>
              <w:rPr>
                <w:rFonts w:hint="eastAsia"/>
                <w:szCs w:val="21"/>
                <w:highlight w:val="none"/>
              </w:rPr>
              <w:t>界标</w:t>
            </w:r>
          </w:p>
        </w:tc>
        <w:tc>
          <w:tcPr>
            <w:tcW w:w="2261"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一级保护区边界</w:t>
            </w:r>
          </w:p>
        </w:tc>
        <w:tc>
          <w:tcPr>
            <w:tcW w:w="846"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6</w:t>
            </w:r>
          </w:p>
        </w:tc>
        <w:tc>
          <w:tcPr>
            <w:tcW w:w="1082" w:type="dxa"/>
            <w:tcBorders>
              <w:tl2br w:val="nil"/>
              <w:tr2bl w:val="nil"/>
            </w:tcBorders>
            <w:vAlign w:val="center"/>
          </w:tcPr>
          <w:p>
            <w:pPr>
              <w:spacing w:line="400" w:lineRule="exact"/>
              <w:jc w:val="center"/>
              <w:rPr>
                <w:rFonts w:hint="eastAsia"/>
                <w:szCs w:val="21"/>
                <w:highlight w:val="none"/>
                <w:lang w:val="en-US" w:eastAsia="zh-CN"/>
              </w:rPr>
            </w:pPr>
            <w:r>
              <w:rPr>
                <w:rFonts w:hint="eastAsia"/>
                <w:szCs w:val="21"/>
                <w:highlight w:val="none"/>
                <w:lang w:val="en-US" w:eastAsia="zh-CN"/>
              </w:rPr>
              <w:t>J1</w:t>
            </w:r>
            <w:r>
              <w:rPr>
                <w:rFonts w:hint="eastAsia" w:ascii="宋体" w:hAnsi="宋体" w:eastAsia="宋体" w:cs="宋体"/>
                <w:szCs w:val="21"/>
                <w:highlight w:val="none"/>
                <w:lang w:val="en-US" w:eastAsia="zh-CN"/>
              </w:rPr>
              <w:t>～</w:t>
            </w:r>
            <w:r>
              <w:rPr>
                <w:rFonts w:hint="eastAsia"/>
                <w:szCs w:val="21"/>
                <w:highlight w:val="none"/>
                <w:lang w:val="en-US" w:eastAsia="zh-CN"/>
              </w:rPr>
              <w:t>J6</w:t>
            </w:r>
          </w:p>
        </w:tc>
        <w:tc>
          <w:tcPr>
            <w:tcW w:w="1943" w:type="dxa"/>
            <w:tcBorders>
              <w:tl2br w:val="nil"/>
              <w:tr2bl w:val="nil"/>
            </w:tcBorders>
            <w:vAlign w:val="center"/>
          </w:tcPr>
          <w:p>
            <w:pPr>
              <w:spacing w:line="400" w:lineRule="exact"/>
              <w:jc w:val="center"/>
              <w:rPr>
                <w:szCs w:val="21"/>
                <w:highlight w:val="none"/>
              </w:rPr>
            </w:pPr>
            <w:r>
              <w:rPr>
                <w:rFonts w:hint="eastAsia"/>
                <w:szCs w:val="21"/>
                <w:highlight w:val="none"/>
              </w:rPr>
              <w:t>根据实际情况调整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745" w:type="dxa"/>
            <w:tcBorders>
              <w:tl2br w:val="nil"/>
              <w:tr2bl w:val="nil"/>
            </w:tcBorders>
            <w:vAlign w:val="center"/>
          </w:tcPr>
          <w:p>
            <w:pPr>
              <w:spacing w:line="400" w:lineRule="exact"/>
              <w:jc w:val="center"/>
              <w:rPr>
                <w:szCs w:val="21"/>
                <w:highlight w:val="none"/>
              </w:rPr>
            </w:pPr>
            <w:r>
              <w:rPr>
                <w:rFonts w:hint="eastAsia"/>
                <w:szCs w:val="21"/>
                <w:highlight w:val="none"/>
              </w:rPr>
              <w:t>2</w:t>
            </w:r>
          </w:p>
        </w:tc>
        <w:tc>
          <w:tcPr>
            <w:tcW w:w="1293" w:type="dxa"/>
            <w:tcBorders>
              <w:tl2br w:val="nil"/>
              <w:tr2bl w:val="nil"/>
            </w:tcBorders>
            <w:vAlign w:val="center"/>
          </w:tcPr>
          <w:p>
            <w:pPr>
              <w:spacing w:line="400" w:lineRule="exact"/>
              <w:jc w:val="center"/>
              <w:rPr>
                <w:szCs w:val="21"/>
                <w:highlight w:val="none"/>
              </w:rPr>
            </w:pPr>
            <w:r>
              <w:rPr>
                <w:rFonts w:hint="eastAsia"/>
                <w:szCs w:val="21"/>
                <w:highlight w:val="none"/>
              </w:rPr>
              <w:t>交通警示牌</w:t>
            </w:r>
          </w:p>
        </w:tc>
        <w:tc>
          <w:tcPr>
            <w:tcW w:w="2261"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132乡村公路及乡道进出保护区的位置</w:t>
            </w:r>
          </w:p>
        </w:tc>
        <w:tc>
          <w:tcPr>
            <w:tcW w:w="846"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4</w:t>
            </w:r>
          </w:p>
        </w:tc>
        <w:tc>
          <w:tcPr>
            <w:tcW w:w="1082" w:type="dxa"/>
            <w:tcBorders>
              <w:tl2br w:val="nil"/>
              <w:tr2bl w:val="nil"/>
            </w:tcBorders>
            <w:vAlign w:val="center"/>
          </w:tcPr>
          <w:p>
            <w:pPr>
              <w:spacing w:line="400" w:lineRule="exact"/>
              <w:jc w:val="center"/>
              <w:rPr>
                <w:rFonts w:hint="eastAsia"/>
                <w:szCs w:val="21"/>
                <w:highlight w:val="none"/>
                <w:lang w:val="en-US" w:eastAsia="zh-CN"/>
              </w:rPr>
            </w:pPr>
            <w:r>
              <w:rPr>
                <w:rFonts w:hint="eastAsia"/>
                <w:szCs w:val="21"/>
                <w:highlight w:val="none"/>
                <w:lang w:val="en-US" w:eastAsia="zh-CN"/>
              </w:rPr>
              <w:t>T1</w:t>
            </w:r>
            <w:r>
              <w:rPr>
                <w:rFonts w:hint="eastAsia" w:ascii="宋体" w:hAnsi="宋体" w:eastAsia="宋体" w:cs="宋体"/>
                <w:szCs w:val="21"/>
                <w:highlight w:val="none"/>
                <w:lang w:val="en-US" w:eastAsia="zh-CN"/>
              </w:rPr>
              <w:t>～</w:t>
            </w:r>
            <w:r>
              <w:rPr>
                <w:rFonts w:hint="eastAsia"/>
                <w:szCs w:val="21"/>
                <w:highlight w:val="none"/>
                <w:lang w:val="en-US" w:eastAsia="zh-CN"/>
              </w:rPr>
              <w:t>T4</w:t>
            </w:r>
          </w:p>
        </w:tc>
        <w:tc>
          <w:tcPr>
            <w:tcW w:w="1943" w:type="dxa"/>
            <w:tcBorders>
              <w:tl2br w:val="nil"/>
              <w:tr2bl w:val="nil"/>
            </w:tcBorders>
            <w:vAlign w:val="center"/>
          </w:tcPr>
          <w:p>
            <w:pPr>
              <w:spacing w:line="400" w:lineRule="exact"/>
              <w:jc w:val="center"/>
              <w:rPr>
                <w:szCs w:val="21"/>
                <w:highlight w:val="none"/>
              </w:rPr>
            </w:pPr>
            <w:r>
              <w:rPr>
                <w:rFonts w:hint="eastAsia"/>
                <w:szCs w:val="21"/>
                <w:highlight w:val="none"/>
              </w:rPr>
              <w:t>根据实际情况调整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70" w:hRule="atLeast"/>
          <w:jc w:val="center"/>
        </w:trPr>
        <w:tc>
          <w:tcPr>
            <w:tcW w:w="745"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3</w:t>
            </w:r>
          </w:p>
        </w:tc>
        <w:tc>
          <w:tcPr>
            <w:tcW w:w="1293" w:type="dxa"/>
            <w:tcBorders>
              <w:tl2br w:val="nil"/>
              <w:tr2bl w:val="nil"/>
            </w:tcBorders>
            <w:vAlign w:val="center"/>
          </w:tcPr>
          <w:p>
            <w:pPr>
              <w:spacing w:line="400" w:lineRule="exact"/>
              <w:jc w:val="center"/>
              <w:rPr>
                <w:szCs w:val="21"/>
                <w:highlight w:val="none"/>
              </w:rPr>
            </w:pPr>
            <w:r>
              <w:rPr>
                <w:rFonts w:hint="eastAsia"/>
                <w:szCs w:val="21"/>
                <w:highlight w:val="none"/>
              </w:rPr>
              <w:t>宣传牌</w:t>
            </w:r>
          </w:p>
        </w:tc>
        <w:tc>
          <w:tcPr>
            <w:tcW w:w="2261" w:type="dxa"/>
            <w:tcBorders>
              <w:tl2br w:val="nil"/>
              <w:tr2bl w:val="nil"/>
            </w:tcBorders>
            <w:vAlign w:val="center"/>
          </w:tcPr>
          <w:p>
            <w:pPr>
              <w:spacing w:line="400" w:lineRule="exact"/>
              <w:jc w:val="center"/>
              <w:rPr>
                <w:rFonts w:hint="default" w:eastAsiaTheme="minorEastAsia"/>
                <w:szCs w:val="21"/>
                <w:highlight w:val="none"/>
                <w:lang w:val="en-US" w:eastAsia="zh-CN"/>
              </w:rPr>
            </w:pPr>
            <w:r>
              <w:rPr>
                <w:rFonts w:hint="eastAsia"/>
                <w:szCs w:val="21"/>
                <w:highlight w:val="none"/>
                <w:lang w:val="en-US" w:eastAsia="zh-CN"/>
              </w:rPr>
              <w:t>长仑水厂</w:t>
            </w:r>
          </w:p>
        </w:tc>
        <w:tc>
          <w:tcPr>
            <w:tcW w:w="846" w:type="dxa"/>
            <w:tcBorders>
              <w:tl2br w:val="nil"/>
              <w:tr2bl w:val="nil"/>
            </w:tcBorders>
            <w:vAlign w:val="center"/>
          </w:tcPr>
          <w:p>
            <w:pPr>
              <w:spacing w:line="400" w:lineRule="exact"/>
              <w:jc w:val="center"/>
              <w:rPr>
                <w:rFonts w:hint="eastAsia" w:eastAsiaTheme="minorEastAsia"/>
                <w:szCs w:val="21"/>
                <w:highlight w:val="none"/>
                <w:lang w:eastAsia="zh-CN"/>
              </w:rPr>
            </w:pPr>
            <w:r>
              <w:rPr>
                <w:rFonts w:hint="eastAsia"/>
                <w:szCs w:val="21"/>
                <w:highlight w:val="none"/>
                <w:lang w:val="en-US" w:eastAsia="zh-CN"/>
              </w:rPr>
              <w:t>1</w:t>
            </w:r>
          </w:p>
        </w:tc>
        <w:tc>
          <w:tcPr>
            <w:tcW w:w="1082" w:type="dxa"/>
            <w:tcBorders>
              <w:tl2br w:val="nil"/>
              <w:tr2bl w:val="nil"/>
            </w:tcBorders>
            <w:vAlign w:val="center"/>
          </w:tcPr>
          <w:p>
            <w:pPr>
              <w:spacing w:line="400" w:lineRule="exact"/>
              <w:jc w:val="center"/>
              <w:rPr>
                <w:rFonts w:hint="eastAsia" w:eastAsiaTheme="minorEastAsia"/>
                <w:szCs w:val="21"/>
                <w:highlight w:val="none"/>
                <w:lang w:val="en-US" w:eastAsia="zh-CN"/>
              </w:rPr>
            </w:pPr>
            <w:r>
              <w:rPr>
                <w:rFonts w:hint="eastAsia"/>
                <w:szCs w:val="21"/>
                <w:highlight w:val="none"/>
                <w:lang w:val="en-US" w:eastAsia="zh-CN"/>
              </w:rPr>
              <w:t>X1</w:t>
            </w:r>
          </w:p>
        </w:tc>
        <w:tc>
          <w:tcPr>
            <w:tcW w:w="1943" w:type="dxa"/>
            <w:tcBorders>
              <w:tl2br w:val="nil"/>
              <w:tr2bl w:val="nil"/>
            </w:tcBorders>
            <w:vAlign w:val="center"/>
          </w:tcPr>
          <w:p>
            <w:pPr>
              <w:spacing w:line="400" w:lineRule="exact"/>
              <w:jc w:val="center"/>
              <w:rPr>
                <w:szCs w:val="21"/>
                <w:highlight w:val="none"/>
              </w:rPr>
            </w:pPr>
            <w:r>
              <w:rPr>
                <w:rFonts w:hint="eastAsia"/>
                <w:szCs w:val="21"/>
                <w:highlight w:val="none"/>
              </w:rPr>
              <w:t>根据实际情况调整</w:t>
            </w:r>
          </w:p>
        </w:tc>
      </w:tr>
      <w:bookmarkEnd w:id="154"/>
      <w:bookmarkEnd w:id="155"/>
    </w:tbl>
    <w:p>
      <w:pPr>
        <w:pStyle w:val="5"/>
        <w:spacing w:before="156" w:after="156"/>
      </w:pPr>
      <w:bookmarkStart w:id="156" w:name="_Toc453061605"/>
      <w:bookmarkStart w:id="157" w:name="_Toc438805145"/>
      <w:bookmarkStart w:id="158" w:name="_Toc453061759"/>
      <w:bookmarkStart w:id="159" w:name="_Toc28969"/>
      <w:bookmarkStart w:id="160" w:name="_Toc7491"/>
      <w:r>
        <w:rPr>
          <w:rFonts w:hint="eastAsia"/>
        </w:rPr>
        <w:t>5.1.4饮用水水源保护区图形标志的构造</w:t>
      </w:r>
      <w:bookmarkEnd w:id="156"/>
      <w:bookmarkEnd w:id="157"/>
      <w:bookmarkEnd w:id="158"/>
      <w:bookmarkEnd w:id="159"/>
      <w:bookmarkEnd w:id="160"/>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（1）颜色</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饮用水水源保护区图形标的基本色为蓝色，"两滴水"为绿色，"饮用水杯"为白色,文字为蓝色。</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饮用水水源保护区道路警示牌的颜色一般道路为蓝底、白边，图案背景和文字为白色。</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饮用水水源保护区宣传牌颜色由各地方政府根据实际情况确定。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（2）尺寸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饮用水水源保护区标志的尺寸见《饮用水水源保护区标志技术要求》（HJ/T433—2008）附录B。</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饮用水水源保护区标志的尺寸可根据实际情况按比例缩放。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（3） 支持方式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饮用水水源保护区界标宜采用双柱式的支持方式，尺寸可参考 GB5768。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饮用水水源保护区交通警示牌的支持方式形式可多样，但必须符合GB5768和GB5863 的规定。</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饮用水水源保护区宣传牌的支持方式由地方主管部门根据实际情况确定。</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标志柱的结构设计可参考GB576中交通标志柱的结构设计进行。</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（4）材质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 xml:space="preserve">饮用水水源保护区标志应遵循耐久、经济的原则，宜采用铝合金板、合成树脂类板材等材质。饮用水水源保护区界标如有必要，也可采用大理石等材质。 </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标志表面宜采用反光材料。道路警示牌的反光性能按照 GB5768 执行。</w:t>
      </w:r>
    </w:p>
    <w:p>
      <w:pPr>
        <w:pStyle w:val="5"/>
        <w:spacing w:before="156" w:after="156"/>
        <w:rPr>
          <w:rFonts w:hint="eastAsia"/>
        </w:rPr>
      </w:pPr>
      <w:bookmarkStart w:id="161" w:name="_Toc453061606"/>
      <w:bookmarkStart w:id="162" w:name="_Toc438805146"/>
      <w:bookmarkStart w:id="163" w:name="_Toc453061760"/>
      <w:bookmarkStart w:id="164" w:name="_Toc13718"/>
      <w:bookmarkStart w:id="165" w:name="_Toc8851"/>
      <w:r>
        <w:rPr>
          <w:rFonts w:hint="eastAsia"/>
        </w:rPr>
        <w:t>5.1.5饮用水水源保护区图形标志的制作</w:t>
      </w:r>
      <w:bookmarkEnd w:id="161"/>
      <w:bookmarkEnd w:id="162"/>
      <w:bookmarkEnd w:id="163"/>
      <w:bookmarkEnd w:id="164"/>
      <w:bookmarkEnd w:id="165"/>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饮用水水源保护区标志由各级地方人民政府设立，国家环境保护行政主管部门统一监制。</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标志的加工要求、外观质量及其测试方法可参照JT/T279的有关规定执行。</w:t>
      </w:r>
      <w:bookmarkStart w:id="166" w:name="_Toc453061761"/>
      <w:bookmarkStart w:id="167" w:name="_Toc453061607"/>
      <w:bookmarkStart w:id="168" w:name="_Toc25592"/>
      <w:bookmarkStart w:id="169" w:name="_Toc14284"/>
    </w:p>
    <w:p>
      <w:pPr>
        <w:keepNext w:val="0"/>
        <w:keepLines w:val="0"/>
        <w:pageBreakBefore w:val="0"/>
        <w:widowControl w:val="0"/>
        <w:kinsoku/>
        <w:wordWrap/>
        <w:overflowPunct/>
        <w:topLinePunct w:val="0"/>
        <w:autoSpaceDE w:val="0"/>
        <w:autoSpaceDN w:val="0"/>
        <w:bidi w:val="0"/>
        <w:adjustRightInd/>
        <w:snapToGrid w:val="0"/>
        <w:spacing w:line="360" w:lineRule="auto"/>
        <w:textAlignment w:val="auto"/>
        <w:outlineLvl w:val="2"/>
        <w:rPr>
          <w:rFonts w:hint="eastAsia" w:ascii="宋体" w:hAnsi="宋体" w:eastAsia="宋体" w:cs="宋体"/>
          <w:sz w:val="30"/>
        </w:rPr>
      </w:pPr>
      <w:r>
        <w:rPr>
          <w:rFonts w:hint="eastAsia" w:ascii="宋体" w:hAnsi="宋体" w:eastAsia="宋体" w:cs="宋体"/>
          <w:sz w:val="30"/>
        </w:rPr>
        <w:t>5.1.6 隔离网设置</w:t>
      </w:r>
      <w:bookmarkEnd w:id="166"/>
      <w:bookmarkEnd w:id="167"/>
      <w:bookmarkEnd w:id="168"/>
      <w:bookmarkEnd w:id="169"/>
    </w:p>
    <w:p>
      <w:pPr>
        <w:adjustRightInd w:val="0"/>
        <w:snapToGrid w:val="0"/>
        <w:spacing w:line="360" w:lineRule="auto"/>
        <w:ind w:firstLine="480" w:firstLineChars="200"/>
        <w:jc w:val="left"/>
        <w:rPr>
          <w:rFonts w:hint="eastAsia" w:ascii="Calibri" w:hAnsi="Calibri" w:eastAsia="宋体" w:cs="宋体"/>
          <w:sz w:val="24"/>
          <w:szCs w:val="22"/>
          <w:lang w:eastAsia="zh-CN" w:bidi="ar"/>
        </w:rPr>
      </w:pPr>
      <w:r>
        <w:rPr>
          <w:rFonts w:hint="eastAsia" w:ascii="Calibri" w:hAnsi="Calibri" w:eastAsia="宋体" w:cs="宋体"/>
          <w:sz w:val="24"/>
          <w:szCs w:val="22"/>
          <w:lang w:eastAsia="zh-CN" w:bidi="ar"/>
        </w:rPr>
        <w:t>保护区隔离网为保护区的外边界，共</w:t>
      </w:r>
      <w:r>
        <w:rPr>
          <w:rFonts w:hint="eastAsia" w:ascii="Calibri" w:hAnsi="Calibri" w:eastAsia="宋体" w:cs="宋体"/>
          <w:sz w:val="24"/>
          <w:szCs w:val="22"/>
          <w:lang w:val="en-US" w:eastAsia="zh-CN" w:bidi="ar"/>
        </w:rPr>
        <w:t>583m</w:t>
      </w:r>
      <w:r>
        <w:rPr>
          <w:rFonts w:hint="eastAsia" w:ascii="Calibri" w:hAnsi="Calibri" w:eastAsia="宋体" w:cs="宋体"/>
          <w:sz w:val="24"/>
          <w:szCs w:val="22"/>
          <w:lang w:eastAsia="zh-CN" w:bidi="ar"/>
        </w:rPr>
        <w:t>。</w:t>
      </w:r>
      <w:bookmarkStart w:id="170" w:name="_Toc19587"/>
      <w:bookmarkStart w:id="171" w:name="_Toc29843"/>
    </w:p>
    <w:p>
      <w:pPr>
        <w:pStyle w:val="4"/>
        <w:spacing w:before="156" w:after="156"/>
        <w:rPr>
          <w:rFonts w:hint="eastAsia"/>
        </w:rPr>
      </w:pPr>
      <w:r>
        <w:rPr>
          <w:rFonts w:hint="eastAsia"/>
        </w:rPr>
        <w:t>5.2 饮用水水源保护区日常监测</w:t>
      </w:r>
      <w:bookmarkEnd w:id="170"/>
      <w:bookmarkEnd w:id="171"/>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饮用水水源保护区后续日常检测要求依据环办函【2012】1266 号《全国集中式生活饮用水水源地水质监测实施方案》和《2019年全省生态环境监测方案》进行日常监测。</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1、监测点位</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具备采样条件的，在抽水井采样。如不具备采样条件，在自来水厂的汇水区 （加氯前）采样。</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val="en-US" w:eastAsia="zh-CN" w:bidi="ar"/>
        </w:rPr>
        <w:t>2、</w:t>
      </w:r>
      <w:r>
        <w:rPr>
          <w:rFonts w:hint="eastAsia" w:ascii="Calibri" w:hAnsi="Calibri" w:eastAsia="宋体" w:cs="宋体"/>
          <w:sz w:val="24"/>
          <w:szCs w:val="22"/>
          <w:lang w:bidi="ar"/>
        </w:rPr>
        <w:t>监测采样频次及要求</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地下水饮用水水源地每季度采样监测1次，如遇异常情况，则须加密监测，每2年开展1次水质全分析监测。可委托具备全分析能力并取得计量认证的其他环境监测单位，或委托所属省级环境监测站完成全分析工作。在地方环保主管部门许可条件下，可适当发挥相关检测机构的作用。</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3、监测指标</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日常监测：《地下水质量标准》（GB/T 14848-2017）中表 1 中的 39 项，并统计取水量。全分析指标为《地下水质量标准》（GB/T 14848-2017）中的93 项。</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4、水质监测结果及时上报</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湘阴县环境监测站于7 月15 日及次年 1 月15 日前向省（区、市）环境监测中心（站）报送上一季度地下水饮用水水源地水质监测数据。</w:t>
      </w:r>
    </w:p>
    <w:p>
      <w:pPr>
        <w:pStyle w:val="4"/>
        <w:spacing w:before="156" w:after="156"/>
        <w:rPr>
          <w:rFonts w:hint="eastAsia"/>
        </w:rPr>
      </w:pPr>
      <w:bookmarkStart w:id="172" w:name="_Toc17340"/>
      <w:bookmarkStart w:id="173" w:name="_Toc17691"/>
      <w:r>
        <w:rPr>
          <w:rFonts w:hint="eastAsia"/>
        </w:rPr>
        <w:t>5.3 饮用水水源保护区环境监督管理要求</w:t>
      </w:r>
      <w:bookmarkEnd w:id="172"/>
      <w:bookmarkEnd w:id="173"/>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根据《湖南省饮用水水源保护条例》，在饮用水水源保护区禁止以下行为：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一、保护区内全部禁止</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（一）新建、扩建水上加油站、油库、制药、造纸、化工等严重污染水体的 建设项目，或者改建增加排污量的建设项目；</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（二）使用毒鱼、炸鱼等方法进行捕捞；</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（三）排放倾倒工业废渣、城镇垃圾、医疗垃圾和其他废弃物，或者贮存、堆放固体废弃物和其他污染物；</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（四）使用剧毒和高残留农药，滥用化肥；</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（五）投肥养鱼；</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（六）其他可能污染饮用水水体的行为。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二、在饮用水水源二级保护区内，还禁止下列行为：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（一）设置排污口；</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（二）新建、改建、扩建排放污染物的建设项目；</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（三）设置畜禽养殖场、养殖小区；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（四）设置装卸垃圾、油类及其他有毒有害物品的码头；</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（五）水上运输剧毒化学品及国家禁止运输的其他危险化学品；</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（六）使用农药。</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三、在饮用水水源一级保护区内，除了二级保护区的禁止行为外，还禁止下列行为：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（一）新建、改建、扩建与供水设施和保护水源无关的建设项目；在饮用水</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水源一级保护区划定前已建成的与供水设施和保护水源无关的建设项目，由县级以上人民政府责令拆除或者关闭。</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（二）水上餐饮；</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（三）网箱养殖、旅游、游泳、垂钓。</w:t>
      </w:r>
    </w:p>
    <w:p>
      <w:pPr>
        <w:pStyle w:val="4"/>
        <w:spacing w:before="156" w:after="156"/>
      </w:pPr>
      <w:bookmarkStart w:id="174" w:name="_Toc26550"/>
      <w:bookmarkStart w:id="175" w:name="_Toc2653"/>
      <w:r>
        <w:rPr>
          <w:rFonts w:hint="eastAsia"/>
        </w:rPr>
        <w:t>5.4 饮用水水源保护区风险防范与应急预案</w:t>
      </w:r>
      <w:bookmarkEnd w:id="174"/>
      <w:bookmarkEnd w:id="175"/>
    </w:p>
    <w:p>
      <w:pPr>
        <w:keepNext w:val="0"/>
        <w:keepLines w:val="0"/>
        <w:pageBreakBefore w:val="0"/>
        <w:widowControl w:val="0"/>
        <w:kinsoku/>
        <w:wordWrap/>
        <w:overflowPunct/>
        <w:topLinePunct w:val="0"/>
        <w:autoSpaceDE w:val="0"/>
        <w:autoSpaceDN w:val="0"/>
        <w:bidi w:val="0"/>
        <w:adjustRightInd/>
        <w:snapToGrid w:val="0"/>
        <w:spacing w:line="360" w:lineRule="auto"/>
        <w:textAlignment w:val="auto"/>
        <w:outlineLvl w:val="2"/>
        <w:rPr>
          <w:rFonts w:ascii="宋体" w:hAnsi="宋体" w:eastAsia="宋体" w:cs="宋体"/>
          <w:sz w:val="30"/>
        </w:rPr>
      </w:pPr>
      <w:bookmarkStart w:id="176" w:name="_Toc500"/>
      <w:bookmarkStart w:id="177" w:name="_Toc19018"/>
      <w:bookmarkStart w:id="178" w:name="_Toc29622"/>
      <w:r>
        <w:rPr>
          <w:rFonts w:hint="eastAsia" w:asciiTheme="minorEastAsia" w:hAnsiTheme="minorEastAsia" w:eastAsiaTheme="minorEastAsia" w:cstheme="minorEastAsia"/>
          <w:b/>
          <w:sz w:val="30"/>
        </w:rPr>
        <w:t xml:space="preserve">5.4.1 </w:t>
      </w:r>
      <w:r>
        <w:rPr>
          <w:rFonts w:ascii="宋体" w:hAnsi="宋体" w:eastAsia="宋体" w:cs="宋体"/>
          <w:sz w:val="30"/>
        </w:rPr>
        <w:t>保护区内的风险定性分析</w:t>
      </w:r>
      <w:bookmarkEnd w:id="176"/>
      <w:bookmarkEnd w:id="177"/>
      <w:bookmarkEnd w:id="178"/>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《湖南省饮用水水源保护条例》在“第五章 监督管理”中，对饮用水水源保护区的环境监督管理有明确要求：</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1、湘阴县人民政府应当组织协调县环境保护局、水务局等有关部门，按照各自职责定期对饮用水水源水质进行监测，整合监测资源，加强水质在线监测监控和预警能力建设，完善监测信息系统和共享机制。饮用水供水单位应当加强对饮用水水源取水口的水质监测工作，发现异常情况的，应当采取有效措施，并按照有关规定向环境保护主管部门报告。</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2、饮用水水源保护区的水质应当不低于国家规定的标准。一级保护区的水质应达到国家《地下水质量标准》Ⅲ类水质标准，并符合国家《生活饮用水卫生标准》的各项要求。饮用水水源水质信息统一由县湘阴县环境保护局每半年在门户网站或者当地主要媒体上公开。</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3、湘阴县环境保护局应当会同县水务局定期组织开展对饮用水水源水质、水量和水源保护情况的综合评估，并将评估结果报告本级人民政府。</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4、在突发水污染事件等特殊时段，湘阴县环境保护局、水务局和卫生计生等主管部门以及有关单位应当扩大监测范围，增加监测频次和项目，及时掌握饮用水水质水量状况，发现异常情况的，应当及时向本级人民政府报告，并采取有效措施防止污染饮用水水源。</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5、湘阴县环境保护局、水务局等部门应当建立巡查制度，对饮用水水源保 护区进行巡查。发现问题应当及时采取措施并向有关主管部门报告。</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6、湘阴县环境保护局应当会同有关部门加强对饮用水水源保护区及有关区域内污染物排放情况的监督检查，定期开展安全隐患排查，发现饮用水水源受到污染或者可能受到污染的，应当根据相应情况及时制止和查处。</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（一）风险源评价指标</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参照《集中式饮用水水源环境保护指南（试行）》中附件三，分析潜在事件， 筛选风险源。水源地保护区域风险源评价指标如下：</w:t>
      </w:r>
    </w:p>
    <w:p>
      <w:pPr>
        <w:keepNext/>
        <w:keepLines/>
        <w:pageBreakBefore w:val="0"/>
        <w:widowControl w:val="0"/>
        <w:kinsoku/>
        <w:wordWrap/>
        <w:overflowPunct/>
        <w:topLinePunct w:val="0"/>
        <w:autoSpaceDE/>
        <w:autoSpaceDN/>
        <w:bidi w:val="0"/>
        <w:adjustRightInd/>
        <w:snapToGrid/>
        <w:spacing w:beforeLines="0" w:afterLines="0" w:line="360" w:lineRule="auto"/>
        <w:ind w:firstLine="480" w:firstLineChars="200"/>
        <w:textAlignment w:val="auto"/>
        <w:outlineLvl w:val="9"/>
        <w:rPr>
          <w:rFonts w:hint="eastAsia" w:ascii="Times New Roman" w:hAnsi="Times New Roman" w:eastAsia="宋体"/>
          <w:sz w:val="24"/>
          <w:szCs w:val="22"/>
        </w:rPr>
      </w:pPr>
      <w:r>
        <w:rPr>
          <w:rFonts w:hint="eastAsia" w:ascii="Times New Roman" w:hAnsi="Times New Roman" w:eastAsia="宋体"/>
          <w:sz w:val="24"/>
          <w:szCs w:val="22"/>
        </w:rPr>
        <w:t>1、固定源</w:t>
      </w:r>
    </w:p>
    <w:p>
      <w:pPr>
        <w:spacing w:line="400" w:lineRule="exact"/>
        <w:jc w:val="center"/>
        <w:rPr>
          <w:rFonts w:hint="eastAsia"/>
          <w:b/>
          <w:szCs w:val="21"/>
          <w:highlight w:val="none"/>
        </w:rPr>
      </w:pPr>
    </w:p>
    <w:p>
      <w:pPr>
        <w:spacing w:line="400" w:lineRule="exact"/>
        <w:jc w:val="center"/>
        <w:rPr>
          <w:rFonts w:hint="eastAsia"/>
          <w:b/>
          <w:szCs w:val="21"/>
          <w:highlight w:val="none"/>
        </w:rPr>
      </w:pPr>
    </w:p>
    <w:p>
      <w:pPr>
        <w:spacing w:line="400" w:lineRule="exact"/>
        <w:jc w:val="center"/>
        <w:rPr>
          <w:rFonts w:hint="eastAsia"/>
          <w:b/>
          <w:szCs w:val="21"/>
          <w:highlight w:val="none"/>
        </w:rPr>
      </w:pPr>
    </w:p>
    <w:p>
      <w:pPr>
        <w:spacing w:line="400" w:lineRule="exact"/>
        <w:jc w:val="center"/>
        <w:rPr>
          <w:rFonts w:hint="eastAsia"/>
          <w:b/>
          <w:szCs w:val="21"/>
          <w:highlight w:val="none"/>
        </w:rPr>
      </w:pPr>
    </w:p>
    <w:p>
      <w:pPr>
        <w:spacing w:line="400" w:lineRule="exact"/>
        <w:jc w:val="center"/>
        <w:rPr>
          <w:rFonts w:hint="eastAsia"/>
          <w:b/>
          <w:szCs w:val="21"/>
          <w:highlight w:val="none"/>
        </w:rPr>
      </w:pPr>
    </w:p>
    <w:p>
      <w:pPr>
        <w:spacing w:line="400" w:lineRule="exact"/>
        <w:jc w:val="center"/>
        <w:rPr>
          <w:rFonts w:hint="eastAsia"/>
          <w:b/>
          <w:szCs w:val="21"/>
          <w:highlight w:val="none"/>
        </w:rPr>
      </w:pPr>
      <w:r>
        <w:rPr>
          <w:rFonts w:hint="eastAsia"/>
          <w:b/>
          <w:szCs w:val="21"/>
          <w:highlight w:val="none"/>
        </w:rPr>
        <w:t>表</w:t>
      </w:r>
      <w:r>
        <w:rPr>
          <w:rFonts w:hint="eastAsia"/>
          <w:b/>
          <w:szCs w:val="21"/>
          <w:highlight w:val="none"/>
          <w:lang w:val="en-US" w:eastAsia="zh-CN"/>
        </w:rPr>
        <w:t>5</w:t>
      </w:r>
      <w:r>
        <w:rPr>
          <w:rFonts w:hint="eastAsia"/>
          <w:b/>
          <w:szCs w:val="21"/>
          <w:highlight w:val="none"/>
        </w:rPr>
        <w:t>-</w:t>
      </w:r>
      <w:r>
        <w:rPr>
          <w:rFonts w:hint="eastAsia"/>
          <w:b/>
          <w:szCs w:val="21"/>
          <w:highlight w:val="none"/>
          <w:lang w:val="en-US" w:eastAsia="zh-CN"/>
        </w:rPr>
        <w:t>2</w:t>
      </w:r>
      <w:r>
        <w:rPr>
          <w:rFonts w:hint="eastAsia"/>
          <w:b/>
          <w:szCs w:val="21"/>
          <w:highlight w:val="none"/>
        </w:rPr>
        <w:t xml:space="preserve"> 固定源评价指标及评分值（Rp）</w:t>
      </w:r>
    </w:p>
    <w:tbl>
      <w:tblPr>
        <w:tblStyle w:val="19"/>
        <w:tblW w:w="4998" w:type="pct"/>
        <w:jc w:val="center"/>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Layout w:type="autofit"/>
        <w:tblCellMar>
          <w:top w:w="0" w:type="dxa"/>
          <w:left w:w="0" w:type="dxa"/>
          <w:bottom w:w="0" w:type="dxa"/>
          <w:right w:w="0" w:type="dxa"/>
        </w:tblCellMar>
      </w:tblPr>
      <w:tblGrid>
        <w:gridCol w:w="1013"/>
        <w:gridCol w:w="876"/>
        <w:gridCol w:w="914"/>
        <w:gridCol w:w="977"/>
        <w:gridCol w:w="914"/>
        <w:gridCol w:w="930"/>
        <w:gridCol w:w="894"/>
        <w:gridCol w:w="788"/>
        <w:gridCol w:w="848"/>
        <w:gridCol w:w="943"/>
      </w:tblGrid>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风险源</w:t>
            </w:r>
          </w:p>
        </w:tc>
        <w:tc>
          <w:tcPr>
            <w:tcW w:w="1520" w:type="pct"/>
            <w:gridSpan w:val="3"/>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一级保护区</w:t>
            </w:r>
          </w:p>
        </w:tc>
        <w:tc>
          <w:tcPr>
            <w:tcW w:w="1504" w:type="pct"/>
            <w:gridSpan w:val="3"/>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二级保护区</w:t>
            </w:r>
          </w:p>
        </w:tc>
        <w:tc>
          <w:tcPr>
            <w:tcW w:w="1417" w:type="pct"/>
            <w:gridSpan w:val="3"/>
            <w:tcBorders>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准保护区</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tc>
        <w:tc>
          <w:tcPr>
            <w:tcW w:w="481"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502"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（P1）</w:t>
            </w:r>
          </w:p>
        </w:tc>
        <w:tc>
          <w:tcPr>
            <w:tcW w:w="535"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w:t>
            </w:r>
          </w:p>
        </w:tc>
        <w:tc>
          <w:tcPr>
            <w:tcW w:w="502"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511"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（P2）</w:t>
            </w:r>
          </w:p>
        </w:tc>
        <w:tc>
          <w:tcPr>
            <w:tcW w:w="490"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w:t>
            </w:r>
          </w:p>
        </w:tc>
        <w:tc>
          <w:tcPr>
            <w:tcW w:w="433"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值</w:t>
            </w:r>
          </w:p>
        </w:tc>
        <w:tc>
          <w:tcPr>
            <w:tcW w:w="466"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（P3）</w:t>
            </w:r>
          </w:p>
        </w:tc>
        <w:tc>
          <w:tcPr>
            <w:tcW w:w="517" w:type="pct"/>
            <w:tcBorders>
              <w:top w:val="single" w:color="000000" w:sz="4" w:space="0"/>
              <w:left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石油化</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工行业</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（个）</w:t>
            </w:r>
          </w:p>
        </w:tc>
        <w:tc>
          <w:tcPr>
            <w:tcW w:w="481"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&gt;2</w:t>
            </w:r>
          </w:p>
        </w:tc>
        <w:tc>
          <w:tcPr>
            <w:tcW w:w="511"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&gt;10</w:t>
            </w:r>
          </w:p>
        </w:tc>
        <w:tc>
          <w:tcPr>
            <w:tcW w:w="466" w:type="pct"/>
            <w:tcBorders>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垃圾填</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埋场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（处）</w:t>
            </w:r>
          </w:p>
        </w:tc>
        <w:tc>
          <w:tcPr>
            <w:tcW w:w="48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&gt;2</w:t>
            </w:r>
          </w:p>
        </w:tc>
        <w:tc>
          <w:tcPr>
            <w:tcW w:w="51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&gt;3</w:t>
            </w:r>
          </w:p>
        </w:tc>
        <w:tc>
          <w:tcPr>
            <w:tcW w:w="466"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top w:val="single" w:color="000000" w:sz="4" w:space="0"/>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危险废</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弃物填</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埋场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（处）</w:t>
            </w:r>
          </w:p>
        </w:tc>
        <w:tc>
          <w:tcPr>
            <w:tcW w:w="48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&gt;1</w:t>
            </w:r>
          </w:p>
        </w:tc>
        <w:tc>
          <w:tcPr>
            <w:tcW w:w="51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&gt;2</w:t>
            </w:r>
          </w:p>
        </w:tc>
        <w:tc>
          <w:tcPr>
            <w:tcW w:w="466"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top w:val="single" w:color="000000" w:sz="4" w:space="0"/>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尾矿库</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（座）</w:t>
            </w:r>
          </w:p>
        </w:tc>
        <w:tc>
          <w:tcPr>
            <w:tcW w:w="48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&gt;4</w:t>
            </w:r>
          </w:p>
        </w:tc>
        <w:tc>
          <w:tcPr>
            <w:tcW w:w="51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&gt;6</w:t>
            </w:r>
          </w:p>
        </w:tc>
        <w:tc>
          <w:tcPr>
            <w:tcW w:w="466"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top w:val="single" w:color="000000" w:sz="4" w:space="0"/>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加油站</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（座）</w:t>
            </w:r>
          </w:p>
        </w:tc>
        <w:tc>
          <w:tcPr>
            <w:tcW w:w="48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&gt;8</w:t>
            </w:r>
          </w:p>
        </w:tc>
        <w:tc>
          <w:tcPr>
            <w:tcW w:w="51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&gt;10</w:t>
            </w:r>
          </w:p>
        </w:tc>
        <w:tc>
          <w:tcPr>
            <w:tcW w:w="466"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top w:val="single" w:color="000000" w:sz="4" w:space="0"/>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油品储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罐（座）</w:t>
            </w:r>
          </w:p>
        </w:tc>
        <w:tc>
          <w:tcPr>
            <w:tcW w:w="48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&gt;5</w:t>
            </w:r>
          </w:p>
        </w:tc>
        <w:tc>
          <w:tcPr>
            <w:tcW w:w="51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&gt;7</w:t>
            </w:r>
          </w:p>
        </w:tc>
        <w:tc>
          <w:tcPr>
            <w:tcW w:w="466"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top w:val="single" w:color="000000" w:sz="4" w:space="0"/>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码头吞</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吐量</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（万吨/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年）</w:t>
            </w:r>
          </w:p>
        </w:tc>
        <w:tc>
          <w:tcPr>
            <w:tcW w:w="48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&lt;0.1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&gt;0.1, &lt;1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10~50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&gt;50</w:t>
            </w:r>
          </w:p>
        </w:tc>
        <w:tc>
          <w:tcPr>
            <w:tcW w:w="511"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&lt;0.1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&gt;0.1,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10~50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&gt;50</w:t>
            </w:r>
          </w:p>
        </w:tc>
        <w:tc>
          <w:tcPr>
            <w:tcW w:w="466" w:type="pct"/>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tc>
        <w:tc>
          <w:tcPr>
            <w:tcW w:w="517" w:type="pct"/>
            <w:tcBorders>
              <w:top w:val="single" w:color="000000" w:sz="4" w:space="0"/>
              <w:left w:val="single" w:color="000000" w:sz="4" w:space="0"/>
              <w:bottom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57" w:type="pct"/>
            <w:tcBorders>
              <w:top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污水处</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理设施</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（万吨/ 年）</w:t>
            </w:r>
          </w:p>
        </w:tc>
        <w:tc>
          <w:tcPr>
            <w:tcW w:w="481"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502"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35"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502"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9~10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&gt;10</w:t>
            </w:r>
          </w:p>
        </w:tc>
        <w:tc>
          <w:tcPr>
            <w:tcW w:w="511"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490"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val="en-US" w:eastAsia="zh-CN"/>
              </w:rPr>
              <w:t>0</w:t>
            </w:r>
          </w:p>
        </w:tc>
        <w:tc>
          <w:tcPr>
            <w:tcW w:w="433"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10~20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20~30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&gt;30</w:t>
            </w:r>
          </w:p>
        </w:tc>
        <w:tc>
          <w:tcPr>
            <w:tcW w:w="466" w:type="pct"/>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9</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517" w:type="pct"/>
            <w:tcBorders>
              <w:top w:val="single" w:color="000000" w:sz="4" w:space="0"/>
              <w:left w:val="single" w:color="000000" w:sz="4" w:space="0"/>
              <w:right w:val="single" w:color="000000"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bl>
    <w:p>
      <w:pPr>
        <w:keepNext/>
        <w:keepLines/>
        <w:pageBreakBefore w:val="0"/>
        <w:widowControl w:val="0"/>
        <w:kinsoku/>
        <w:wordWrap/>
        <w:overflowPunct/>
        <w:topLinePunct w:val="0"/>
        <w:autoSpaceDE/>
        <w:autoSpaceDN/>
        <w:bidi w:val="0"/>
        <w:adjustRightInd/>
        <w:snapToGrid/>
        <w:spacing w:beforeLines="0" w:afterLines="0" w:line="360" w:lineRule="auto"/>
        <w:ind w:firstLine="480" w:firstLineChars="200"/>
        <w:textAlignment w:val="auto"/>
        <w:outlineLvl w:val="9"/>
        <w:rPr>
          <w:rFonts w:hint="eastAsia" w:ascii="Times New Roman" w:hAnsi="Times New Roman" w:eastAsia="宋体"/>
          <w:sz w:val="24"/>
          <w:szCs w:val="22"/>
        </w:rPr>
      </w:pPr>
      <w:r>
        <w:rPr>
          <w:rFonts w:hint="eastAsia" w:ascii="Times New Roman" w:hAnsi="Times New Roman" w:eastAsia="宋体"/>
          <w:sz w:val="24"/>
          <w:szCs w:val="22"/>
        </w:rPr>
        <w:t>2、流动源</w:t>
      </w:r>
    </w:p>
    <w:p>
      <w:pPr>
        <w:spacing w:line="400" w:lineRule="exact"/>
        <w:jc w:val="center"/>
        <w:rPr>
          <w:rFonts w:hint="eastAsia"/>
          <w:b/>
          <w:szCs w:val="21"/>
          <w:highlight w:val="none"/>
        </w:rPr>
      </w:pPr>
      <w:r>
        <w:rPr>
          <w:rFonts w:hint="eastAsia"/>
          <w:b/>
          <w:szCs w:val="21"/>
          <w:highlight w:val="none"/>
        </w:rPr>
        <w:t>表</w:t>
      </w:r>
      <w:r>
        <w:rPr>
          <w:rFonts w:hint="eastAsia"/>
          <w:b/>
          <w:szCs w:val="21"/>
          <w:highlight w:val="none"/>
          <w:lang w:val="en-US" w:eastAsia="zh-CN"/>
        </w:rPr>
        <w:t>5</w:t>
      </w:r>
      <w:r>
        <w:rPr>
          <w:rFonts w:hint="eastAsia"/>
          <w:b/>
          <w:szCs w:val="21"/>
          <w:highlight w:val="none"/>
        </w:rPr>
        <w:t>-</w:t>
      </w:r>
      <w:r>
        <w:rPr>
          <w:rFonts w:hint="eastAsia"/>
          <w:b/>
          <w:szCs w:val="21"/>
          <w:highlight w:val="none"/>
          <w:lang w:val="en-US" w:eastAsia="zh-CN"/>
        </w:rPr>
        <w:t>3</w:t>
      </w:r>
      <w:r>
        <w:rPr>
          <w:rFonts w:hint="eastAsia"/>
          <w:b/>
          <w:szCs w:val="21"/>
          <w:highlight w:val="none"/>
        </w:rPr>
        <w:t xml:space="preserve"> 流动源评价指标及评分值（Rf）</w:t>
      </w:r>
    </w:p>
    <w:tbl>
      <w:tblPr>
        <w:tblStyle w:val="19"/>
        <w:tblW w:w="9178" w:type="dxa"/>
        <w:jc w:val="center"/>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Layout w:type="fixed"/>
        <w:tblCellMar>
          <w:top w:w="0" w:type="dxa"/>
          <w:left w:w="0" w:type="dxa"/>
          <w:bottom w:w="0" w:type="dxa"/>
          <w:right w:w="0" w:type="dxa"/>
        </w:tblCellMar>
      </w:tblPr>
      <w:tblGrid>
        <w:gridCol w:w="434"/>
        <w:gridCol w:w="689"/>
        <w:gridCol w:w="838"/>
        <w:gridCol w:w="721"/>
        <w:gridCol w:w="2263"/>
        <w:gridCol w:w="889"/>
        <w:gridCol w:w="659"/>
        <w:gridCol w:w="1302"/>
        <w:gridCol w:w="593"/>
        <w:gridCol w:w="790"/>
      </w:tblGrid>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434" w:type="dxa"/>
            <w:vMerge w:val="restar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风险源</w:t>
            </w:r>
          </w:p>
        </w:tc>
        <w:tc>
          <w:tcPr>
            <w:tcW w:w="2248" w:type="dxa"/>
            <w:gridSpan w:val="3"/>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一级保护区</w:t>
            </w:r>
          </w:p>
        </w:tc>
        <w:tc>
          <w:tcPr>
            <w:tcW w:w="3811" w:type="dxa"/>
            <w:gridSpan w:val="3"/>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二级保护区</w:t>
            </w:r>
          </w:p>
        </w:tc>
        <w:tc>
          <w:tcPr>
            <w:tcW w:w="2685" w:type="dxa"/>
            <w:gridSpan w:val="3"/>
            <w:tcBorders>
              <w:left w:val="single" w:color="000000" w:sz="4" w:space="0"/>
              <w:bottom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准保护区</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434" w:type="dxa"/>
            <w:vMerge w:val="continue"/>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tc>
        <w:tc>
          <w:tcPr>
            <w:tcW w:w="68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838"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（F1）</w:t>
            </w:r>
          </w:p>
        </w:tc>
        <w:tc>
          <w:tcPr>
            <w:tcW w:w="721"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目评分</w:t>
            </w:r>
          </w:p>
        </w:tc>
        <w:tc>
          <w:tcPr>
            <w:tcW w:w="2263"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88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（F2）</w:t>
            </w:r>
          </w:p>
        </w:tc>
        <w:tc>
          <w:tcPr>
            <w:tcW w:w="65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本项目评分</w:t>
            </w:r>
          </w:p>
        </w:tc>
        <w:tc>
          <w:tcPr>
            <w:tcW w:w="1302"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593"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（F3）</w:t>
            </w:r>
          </w:p>
        </w:tc>
        <w:tc>
          <w:tcPr>
            <w:tcW w:w="790" w:type="dxa"/>
            <w:tcBorders>
              <w:top w:val="single" w:color="000000" w:sz="4" w:space="0"/>
              <w:left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本项目评</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分</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434" w:type="dxa"/>
            <w:tcBorders>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运</w:t>
            </w:r>
          </w:p>
        </w:tc>
        <w:tc>
          <w:tcPr>
            <w:tcW w:w="689"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危险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品运</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输或</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L&gt;2r</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L&lt;2r</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d</w:t>
            </w:r>
          </w:p>
        </w:tc>
        <w:tc>
          <w:tcPr>
            <w:tcW w:w="838"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9</w:t>
            </w:r>
          </w:p>
        </w:tc>
        <w:tc>
          <w:tcPr>
            <w:tcW w:w="721"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Calibri" w:hAnsi="Calibri"/>
                <w:b w:val="0"/>
                <w:bCs/>
                <w:sz w:val="21"/>
                <w:szCs w:val="21"/>
                <w:lang w:val="en-US" w:eastAsia="zh-CN"/>
              </w:rPr>
            </w:pPr>
            <w:r>
              <w:rPr>
                <w:rFonts w:hint="eastAsia" w:ascii="Calibri" w:hAnsi="Calibri"/>
                <w:b w:val="0"/>
                <w:bCs/>
                <w:sz w:val="21"/>
                <w:szCs w:val="21"/>
                <w:lang w:val="en-US" w:eastAsia="zh-CN"/>
              </w:rPr>
              <w:t>0</w:t>
            </w:r>
          </w:p>
        </w:tc>
        <w:tc>
          <w:tcPr>
            <w:tcW w:w="2263"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有路仅可行走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有路但不能通行机动车</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有机动车通行</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有运输路线且长度较短L&lt;rd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rd&lt;L&lt;2rd或有小型桥梁</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L&gt;2rd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有危险品运输；或有单车道跨线桥</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有危险品运输rd&lt;L&lt;2rd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有危险品运输且L&gt;2rd</w:t>
            </w:r>
          </w:p>
        </w:tc>
        <w:tc>
          <w:tcPr>
            <w:tcW w:w="889"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9</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659"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c>
          <w:tcPr>
            <w:tcW w:w="1302"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L&lt;2rd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有危险品运输且rd&lt;L&lt;2rd 有危险品运输且L&gt;2rd</w:t>
            </w:r>
          </w:p>
        </w:tc>
        <w:tc>
          <w:tcPr>
            <w:tcW w:w="593"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tc>
        <w:tc>
          <w:tcPr>
            <w:tcW w:w="790" w:type="dxa"/>
            <w:tcBorders>
              <w:left w:val="single" w:color="000000" w:sz="4" w:space="0"/>
              <w:bottom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434" w:type="dxa"/>
            <w:tcBorders>
              <w:top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船</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舶</w:t>
            </w:r>
          </w:p>
        </w:tc>
        <w:tc>
          <w:tcPr>
            <w:tcW w:w="68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838"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721"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2263"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航线L&lt;rd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航线rd&lt;L&lt;2rd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航线L&gt;2rd</w:t>
            </w:r>
          </w:p>
        </w:tc>
        <w:tc>
          <w:tcPr>
            <w:tcW w:w="88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65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c>
          <w:tcPr>
            <w:tcW w:w="1302"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航线L&lt;rd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航线rd&lt;L&lt;2rd</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航线L&gt;2rd</w:t>
            </w:r>
          </w:p>
        </w:tc>
        <w:tc>
          <w:tcPr>
            <w:tcW w:w="593"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tc>
        <w:tc>
          <w:tcPr>
            <w:tcW w:w="790" w:type="dxa"/>
            <w:tcBorders>
              <w:top w:val="single" w:color="000000" w:sz="4" w:space="0"/>
              <w:left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bl>
    <w:p>
      <w:pPr>
        <w:autoSpaceDE w:val="0"/>
        <w:autoSpaceDN w:val="0"/>
        <w:snapToGrid w:val="0"/>
        <w:spacing w:line="360" w:lineRule="auto"/>
        <w:ind w:left="60"/>
        <w:rPr>
          <w:rFonts w:ascii="宋体" w:hAnsi="宋体" w:eastAsia="宋体" w:cs="宋体"/>
          <w:sz w:val="21"/>
          <w:szCs w:val="21"/>
        </w:rPr>
      </w:pPr>
      <w:r>
        <w:rPr>
          <w:rFonts w:ascii="宋体" w:hAnsi="宋体" w:eastAsia="宋体" w:cs="宋体"/>
          <w:sz w:val="21"/>
          <w:szCs w:val="21"/>
        </w:rPr>
        <w:t>注：</w:t>
      </w:r>
      <w:r>
        <w:rPr>
          <w:rFonts w:eastAsia="Times New Roman"/>
          <w:spacing w:val="52"/>
          <w:sz w:val="21"/>
          <w:szCs w:val="21"/>
        </w:rPr>
        <w:t>L</w:t>
      </w:r>
      <w:r>
        <w:rPr>
          <w:rFonts w:ascii="宋体" w:hAnsi="宋体" w:eastAsia="宋体" w:cs="宋体"/>
          <w:sz w:val="21"/>
          <w:szCs w:val="21"/>
        </w:rPr>
        <w:t>为公路或铁路的路线长度；</w:t>
      </w:r>
      <w:r>
        <w:rPr>
          <w:rFonts w:eastAsia="Times New Roman"/>
          <w:sz w:val="21"/>
          <w:szCs w:val="21"/>
        </w:rPr>
        <w:t>r</w:t>
      </w:r>
      <w:r>
        <w:rPr>
          <w:rFonts w:eastAsia="Times New Roman"/>
          <w:spacing w:val="33"/>
          <w:position w:val="-2"/>
          <w:sz w:val="21"/>
          <w:szCs w:val="21"/>
        </w:rPr>
        <w:t>d</w:t>
      </w:r>
      <w:r>
        <w:rPr>
          <w:rFonts w:ascii="宋体" w:hAnsi="宋体" w:eastAsia="宋体" w:cs="宋体"/>
          <w:sz w:val="21"/>
          <w:szCs w:val="21"/>
        </w:rPr>
        <w:t>为风险源所在保护区范围的当量半径。</w:t>
      </w:r>
    </w:p>
    <w:p>
      <w:pPr>
        <w:keepNext/>
        <w:keepLines/>
        <w:pageBreakBefore w:val="0"/>
        <w:widowControl w:val="0"/>
        <w:kinsoku/>
        <w:wordWrap/>
        <w:overflowPunct/>
        <w:topLinePunct w:val="0"/>
        <w:autoSpaceDE/>
        <w:autoSpaceDN/>
        <w:bidi w:val="0"/>
        <w:adjustRightInd/>
        <w:snapToGrid/>
        <w:spacing w:beforeLines="0" w:afterLines="0" w:line="360" w:lineRule="auto"/>
        <w:ind w:firstLine="480" w:firstLineChars="200"/>
        <w:textAlignment w:val="auto"/>
        <w:outlineLvl w:val="9"/>
        <w:rPr>
          <w:rFonts w:hint="eastAsia" w:ascii="Times New Roman" w:hAnsi="Times New Roman" w:eastAsia="宋体"/>
          <w:sz w:val="24"/>
          <w:szCs w:val="22"/>
        </w:rPr>
      </w:pPr>
      <w:r>
        <w:rPr>
          <w:rFonts w:hint="eastAsia" w:ascii="Times New Roman" w:hAnsi="Times New Roman" w:eastAsia="宋体"/>
          <w:sz w:val="24"/>
          <w:szCs w:val="22"/>
        </w:rPr>
        <w:t>3、非点源</w:t>
      </w:r>
    </w:p>
    <w:p>
      <w:pPr>
        <w:spacing w:line="400" w:lineRule="exact"/>
        <w:jc w:val="center"/>
        <w:rPr>
          <w:rFonts w:hint="eastAsia"/>
          <w:b/>
          <w:szCs w:val="21"/>
          <w:highlight w:val="none"/>
        </w:rPr>
      </w:pPr>
      <w:r>
        <w:rPr>
          <w:rFonts w:hint="eastAsia"/>
          <w:b/>
          <w:szCs w:val="21"/>
          <w:highlight w:val="none"/>
        </w:rPr>
        <w:t>表</w:t>
      </w:r>
      <w:r>
        <w:rPr>
          <w:rFonts w:hint="eastAsia"/>
          <w:b/>
          <w:szCs w:val="21"/>
          <w:highlight w:val="none"/>
          <w:lang w:val="en-US" w:eastAsia="zh-CN"/>
        </w:rPr>
        <w:t>5</w:t>
      </w:r>
      <w:r>
        <w:rPr>
          <w:rFonts w:hint="eastAsia"/>
          <w:b/>
          <w:szCs w:val="21"/>
          <w:highlight w:val="none"/>
        </w:rPr>
        <w:t>-</w:t>
      </w:r>
      <w:r>
        <w:rPr>
          <w:rFonts w:hint="eastAsia"/>
          <w:b/>
          <w:szCs w:val="21"/>
          <w:highlight w:val="none"/>
          <w:lang w:val="en-US" w:eastAsia="zh-CN"/>
        </w:rPr>
        <w:t>4</w:t>
      </w:r>
      <w:r>
        <w:rPr>
          <w:rFonts w:hint="eastAsia"/>
          <w:b/>
          <w:szCs w:val="21"/>
          <w:highlight w:val="none"/>
        </w:rPr>
        <w:t xml:space="preserve"> 非点源评价指标及评分值（Ry）</w:t>
      </w:r>
    </w:p>
    <w:tbl>
      <w:tblPr>
        <w:tblStyle w:val="19"/>
        <w:tblW w:w="9195" w:type="dxa"/>
        <w:jc w:val="center"/>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Layout w:type="fixed"/>
        <w:tblCellMar>
          <w:top w:w="0" w:type="dxa"/>
          <w:left w:w="0" w:type="dxa"/>
          <w:bottom w:w="0" w:type="dxa"/>
          <w:right w:w="0" w:type="dxa"/>
        </w:tblCellMar>
      </w:tblPr>
      <w:tblGrid>
        <w:gridCol w:w="549"/>
        <w:gridCol w:w="1316"/>
        <w:gridCol w:w="864"/>
        <w:gridCol w:w="769"/>
        <w:gridCol w:w="1224"/>
        <w:gridCol w:w="963"/>
        <w:gridCol w:w="724"/>
        <w:gridCol w:w="1068"/>
        <w:gridCol w:w="922"/>
        <w:gridCol w:w="796"/>
      </w:tblGrid>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49" w:type="dxa"/>
            <w:vMerge w:val="restar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风险源</w:t>
            </w:r>
          </w:p>
        </w:tc>
        <w:tc>
          <w:tcPr>
            <w:tcW w:w="2949" w:type="dxa"/>
            <w:gridSpan w:val="3"/>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一级保护区</w:t>
            </w:r>
          </w:p>
        </w:tc>
        <w:tc>
          <w:tcPr>
            <w:tcW w:w="2911" w:type="dxa"/>
            <w:gridSpan w:val="3"/>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二级保护区</w:t>
            </w:r>
          </w:p>
        </w:tc>
        <w:tc>
          <w:tcPr>
            <w:tcW w:w="2786" w:type="dxa"/>
            <w:gridSpan w:val="3"/>
            <w:tcBorders>
              <w:left w:val="single" w:color="000000" w:sz="4" w:space="0"/>
              <w:bottom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准保护区</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49" w:type="dxa"/>
            <w:vMerge w:val="continue"/>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p>
        </w:tc>
        <w:tc>
          <w:tcPr>
            <w:tcW w:w="1316"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864"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（Y1）</w:t>
            </w:r>
          </w:p>
        </w:tc>
        <w:tc>
          <w:tcPr>
            <w:tcW w:w="76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本项目评分</w:t>
            </w:r>
          </w:p>
        </w:tc>
        <w:tc>
          <w:tcPr>
            <w:tcW w:w="1224"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963"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（Y3）</w:t>
            </w:r>
          </w:p>
        </w:tc>
        <w:tc>
          <w:tcPr>
            <w:tcW w:w="724"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本项目评分</w:t>
            </w:r>
          </w:p>
        </w:tc>
        <w:tc>
          <w:tcPr>
            <w:tcW w:w="1068"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指标值</w:t>
            </w:r>
          </w:p>
        </w:tc>
        <w:tc>
          <w:tcPr>
            <w:tcW w:w="922"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评分值</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（Y3）</w:t>
            </w:r>
          </w:p>
        </w:tc>
        <w:tc>
          <w:tcPr>
            <w:tcW w:w="796" w:type="dxa"/>
            <w:tcBorders>
              <w:top w:val="single" w:color="000000" w:sz="4" w:space="0"/>
              <w:left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本项目评分</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49" w:type="dxa"/>
            <w:tcBorders>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耕地面积所占比例</w:t>
            </w:r>
          </w:p>
        </w:tc>
        <w:tc>
          <w:tcPr>
            <w:tcW w:w="1316"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存在</w:t>
            </w:r>
          </w:p>
        </w:tc>
        <w:tc>
          <w:tcPr>
            <w:tcW w:w="864"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769"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1224"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5%~10% 10%~20% 20%~30% 30%~40% 50%~60% 60%~70% 70%~80%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＞80%</w:t>
            </w:r>
          </w:p>
        </w:tc>
        <w:tc>
          <w:tcPr>
            <w:tcW w:w="963"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9</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10</w:t>
            </w:r>
          </w:p>
        </w:tc>
        <w:tc>
          <w:tcPr>
            <w:tcW w:w="724"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1068"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20%~30% 30%~40% 40%~50% 60%~70% 70%~80%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＞80%</w:t>
            </w:r>
          </w:p>
        </w:tc>
        <w:tc>
          <w:tcPr>
            <w:tcW w:w="922" w:type="dxa"/>
            <w:tcBorders>
              <w:left w:val="single" w:color="000000" w:sz="4" w:space="0"/>
              <w:bottom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4</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6</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7</w:t>
            </w:r>
          </w:p>
        </w:tc>
        <w:tc>
          <w:tcPr>
            <w:tcW w:w="796" w:type="dxa"/>
            <w:tcBorders>
              <w:left w:val="single" w:color="000000" w:sz="4" w:space="0"/>
              <w:bottom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r>
        <w:tblPrEx>
          <w:tblBorders>
            <w:top w:val="single" w:color="000000" w:sz="12" w:space="0"/>
            <w:left w:val="single" w:color="000000" w:sz="12" w:space="0"/>
            <w:bottom w:val="single" w:color="000000" w:sz="12" w:space="0"/>
            <w:right w:val="single" w:color="000000" w:sz="4" w:space="0"/>
            <w:insideH w:val="single" w:color="000000" w:sz="12" w:space="0"/>
            <w:insideV w:val="single" w:color="000000" w:sz="12" w:space="0"/>
          </w:tblBorders>
          <w:tblCellMar>
            <w:top w:w="0" w:type="dxa"/>
            <w:left w:w="0" w:type="dxa"/>
            <w:bottom w:w="0" w:type="dxa"/>
            <w:right w:w="0" w:type="dxa"/>
          </w:tblCellMar>
        </w:tblPrEx>
        <w:trPr>
          <w:cantSplit/>
          <w:trHeight w:val="0" w:hRule="atLeast"/>
          <w:jc w:val="center"/>
        </w:trPr>
        <w:tc>
          <w:tcPr>
            <w:tcW w:w="549" w:type="dxa"/>
            <w:tcBorders>
              <w:top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生态缓冲带</w:t>
            </w:r>
          </w:p>
        </w:tc>
        <w:tc>
          <w:tcPr>
            <w:tcW w:w="1316"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宽度＞50m</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宽度≤50m</w:t>
            </w:r>
          </w:p>
        </w:tc>
        <w:tc>
          <w:tcPr>
            <w:tcW w:w="864"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tc>
        <w:tc>
          <w:tcPr>
            <w:tcW w:w="769"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1224"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宽度＞40m</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宽度≤40m</w:t>
            </w:r>
          </w:p>
        </w:tc>
        <w:tc>
          <w:tcPr>
            <w:tcW w:w="963"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tc>
        <w:tc>
          <w:tcPr>
            <w:tcW w:w="724"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tc>
        <w:tc>
          <w:tcPr>
            <w:tcW w:w="1068"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无</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宽度＞30m</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宽度≤30m</w:t>
            </w:r>
          </w:p>
        </w:tc>
        <w:tc>
          <w:tcPr>
            <w:tcW w:w="922" w:type="dxa"/>
            <w:tcBorders>
              <w:top w:val="single" w:color="000000" w:sz="4" w:space="0"/>
              <w:left w:val="single" w:color="000000"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0</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2</w:t>
            </w:r>
          </w:p>
        </w:tc>
        <w:tc>
          <w:tcPr>
            <w:tcW w:w="796" w:type="dxa"/>
            <w:tcBorders>
              <w:top w:val="single" w:color="000000" w:sz="4" w:space="0"/>
              <w:left w:val="single" w:color="000000" w:sz="4" w:space="0"/>
              <w:right w:val="single" w:color="000000"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b w:val="0"/>
                <w:bCs/>
                <w:sz w:val="21"/>
                <w:szCs w:val="21"/>
                <w:lang w:eastAsia="zh-CN"/>
              </w:rPr>
            </w:pPr>
            <w:r>
              <w:rPr>
                <w:rFonts w:hint="eastAsia" w:ascii="Calibri" w:hAnsi="Calibri"/>
                <w:b w:val="0"/>
                <w:bCs/>
                <w:sz w:val="21"/>
                <w:szCs w:val="21"/>
                <w:lang w:eastAsia="zh-CN"/>
              </w:rPr>
              <w:t>/</w:t>
            </w:r>
          </w:p>
        </w:tc>
      </w:tr>
    </w:tbl>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（二）风险源计算</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通过风险源项分析并根据风险源所在保护区内的影响程度和影响范围，按照固定源、流动源和非点源分别对水源存在的风险进行评价。</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固定源：Rp =P1+P2+P3</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流动源：Rf =F1 +F2+F3</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非点源：Ry =Y1 +Y2 +Y3</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Rp、Rf、Ry分别为表4-3，表4-4和表4-5中所列的各种潜在风险源评分值。本地下水饮用水水源地保护区环境风险值为：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Rp=P1+P2+P3=0（一级保护区内无固定源，P1=</w:t>
      </w:r>
      <w:r>
        <w:rPr>
          <w:rFonts w:hint="eastAsia" w:ascii="Calibri" w:hAnsi="Calibri" w:eastAsia="宋体" w:cs="宋体"/>
          <w:sz w:val="24"/>
          <w:szCs w:val="22"/>
          <w:lang w:val="en-US" w:eastAsia="zh-CN" w:bidi="ar"/>
        </w:rPr>
        <w:t>0</w:t>
      </w:r>
      <w:r>
        <w:rPr>
          <w:rFonts w:hint="eastAsia" w:ascii="Calibri" w:hAnsi="Calibri" w:eastAsia="宋体" w:cs="宋体"/>
          <w:sz w:val="24"/>
          <w:szCs w:val="22"/>
          <w:lang w:bidi="ar"/>
        </w:rPr>
        <w:t>）；</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Rf=F1+F2+F3=0（一级保护区无交通穿越，水域范围内无航道，F1=</w:t>
      </w:r>
      <w:r>
        <w:rPr>
          <w:rFonts w:hint="eastAsia" w:ascii="Calibri" w:hAnsi="Calibri" w:eastAsia="宋体" w:cs="宋体"/>
          <w:sz w:val="24"/>
          <w:szCs w:val="22"/>
          <w:lang w:val="en-US" w:eastAsia="zh-CN" w:bidi="ar"/>
        </w:rPr>
        <w:t>0</w:t>
      </w:r>
      <w:r>
        <w:rPr>
          <w:rFonts w:hint="eastAsia" w:ascii="Calibri" w:hAnsi="Calibri" w:eastAsia="宋体" w:cs="宋体"/>
          <w:sz w:val="24"/>
          <w:szCs w:val="22"/>
          <w:lang w:bidi="ar"/>
        </w:rPr>
        <w:t>）；</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Ry=Y1+Y2+Y3=10（一级保护区内有农田，Y1=10）。</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（三）风险源评估</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一般来说，环境风险值的可接受程度分别以Rp（或Rf、Ry）≤3作为背景值，</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当3&lt;Rp（或Rf、Ry）≤7时，应按照《集中式地表水饮用水水源地环境应急管理工作指南（试行）》采取风险防范措施；当7&lt;Rp（或Rf、Ry）≤9时，应采取风险预警措施；当Rp（或Rf、Ry）&gt;9时，应采取风险应急措施。</w:t>
      </w:r>
    </w:p>
    <w:p>
      <w:pPr>
        <w:pStyle w:val="5"/>
        <w:spacing w:before="156" w:after="156"/>
        <w:rPr>
          <w:rFonts w:hint="eastAsia" w:ascii="Times New Roman" w:hAnsi="Times New Roman" w:cs="Times New Roman"/>
        </w:rPr>
      </w:pPr>
      <w:bookmarkStart w:id="179" w:name="_Toc2901"/>
      <w:bookmarkStart w:id="180" w:name="_Toc13491"/>
      <w:bookmarkStart w:id="181" w:name="_Toc13123"/>
      <w:r>
        <w:rPr>
          <w:rFonts w:hint="eastAsia" w:ascii="Times New Roman" w:hAnsi="Times New Roman" w:cs="Times New Roman"/>
        </w:rPr>
        <w:t>5.4.2 风险应急措施和应急预案</w:t>
      </w:r>
      <w:bookmarkEnd w:id="179"/>
      <w:bookmarkEnd w:id="180"/>
      <w:bookmarkEnd w:id="181"/>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本水源地Rf为</w:t>
      </w:r>
      <w:r>
        <w:rPr>
          <w:rFonts w:hint="eastAsia" w:ascii="Calibri" w:hAnsi="Calibri" w:eastAsia="宋体" w:cs="宋体"/>
          <w:sz w:val="24"/>
          <w:szCs w:val="22"/>
          <w:lang w:val="en-US" w:eastAsia="zh-CN" w:bidi="ar"/>
        </w:rPr>
        <w:t>10</w:t>
      </w:r>
      <w:r>
        <w:rPr>
          <w:rFonts w:hint="eastAsia" w:ascii="Calibri" w:hAnsi="Calibri" w:eastAsia="宋体" w:cs="宋体"/>
          <w:sz w:val="24"/>
          <w:szCs w:val="22"/>
          <w:lang w:bidi="ar"/>
        </w:rPr>
        <w:t>&gt;9，应采取风险应急措施。</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1、本水源地Rf&gt;9，应采取风险应急措施。（1）在本报告4.3章节提出了一级保护区农田逐步退出、近期实施生态种植的措施和要求，农田退出后，本水源地的环境风险可以接受。</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2、由于目前国家和地方均未出台地下水饮用水应急预案编制指南，建议江阴县人民政府根据需要自行确定全县农村集中式饮用水水源地应急预案编制和应急演练的相关要求。一旦发生取水井源水水质监测超标，迅速查找原因，建议按照《集中式地表饮用水应急预案编制指南》（生态环境部公告2018 年第 1 号）红色预警的要求制定现场处置方案。</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(1)事故发生情景：取水口水质超标。</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(2)警戒范围：事故发生地点至水源保护区边界；</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(3)预警要求：</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①首先切断水源、10分钟内关闭供水、保护取水口，设专人巡视监测水源水质变化。</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②接到信息后指挥中心人员五分钟内到位，一切行动听指挥；</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③各岗位的主要负责人十分钟以内到现场，各司其责、各负其责、各级专职人员及时到位；</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④迅速排查事故原因以及确定处理方案，杜绝事态蔓延；</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⑤及时上报领导，如实通报事故情况及所采取的防治措施；</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⑥切断交通路线，严禁往返车辆进入事故发生地，实行交通管制；</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⑦指挥机构专职人员坚守岗位，不得随意离岗，直至警报解除后；</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⑧严格控制人群来往，做好群众思想工作，减少群众恐慌及忧虑，及时制定群众临时饮用水方案，必要时疏散人口，转移安全地带；</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⑨及时取样监测、监测项目根据事故特征而定，取样频率视事故情况及污染物特征而定，警报解除后追踪监测为连续 3-5 天，水质稳定达标后方能恢复运转。</w:t>
      </w:r>
    </w:p>
    <w:p>
      <w:pPr>
        <w:adjustRightInd w:val="0"/>
        <w:snapToGrid w:val="0"/>
        <w:spacing w:line="360" w:lineRule="auto"/>
        <w:ind w:firstLine="480" w:firstLineChars="200"/>
        <w:jc w:val="left"/>
        <w:rPr>
          <w:rFonts w:ascii="Calibri" w:hAnsi="Calibri" w:eastAsia="宋体" w:cs="宋体"/>
          <w:sz w:val="24"/>
          <w:szCs w:val="22"/>
          <w:lang w:bidi="ar"/>
        </w:rPr>
      </w:pPr>
      <w:r>
        <w:rPr>
          <w:rFonts w:hint="eastAsia" w:ascii="Calibri" w:hAnsi="Calibri" w:eastAsia="宋体" w:cs="宋体"/>
          <w:sz w:val="24"/>
          <w:szCs w:val="22"/>
          <w:lang w:bidi="ar"/>
        </w:rPr>
        <w:t>⑩迅速修复由于事故造成的环境破坏及善后处理事宜</w:t>
      </w:r>
      <w:r>
        <w:rPr>
          <w:rFonts w:hint="eastAsia" w:ascii="Calibri" w:hAnsi="Calibri" w:eastAsia="宋体" w:cs="宋体"/>
          <w:sz w:val="24"/>
          <w:szCs w:val="22"/>
          <w:lang w:eastAsia="zh-CN" w:bidi="ar"/>
        </w:rPr>
        <w:t>。</w:t>
      </w:r>
      <w:r>
        <w:rPr>
          <w:rFonts w:ascii="Calibri" w:hAnsi="Calibri" w:eastAsia="宋体" w:cs="宋体"/>
          <w:sz w:val="24"/>
          <w:szCs w:val="22"/>
          <w:lang w:bidi="ar"/>
        </w:rPr>
        <w:br w:type="page"/>
      </w:r>
    </w:p>
    <w:p>
      <w:pPr>
        <w:pStyle w:val="3"/>
        <w:spacing w:before="156" w:after="156"/>
        <w:rPr>
          <w:lang w:bidi="ar"/>
        </w:rPr>
      </w:pPr>
      <w:bookmarkStart w:id="182" w:name="_Toc1529"/>
      <w:bookmarkStart w:id="183" w:name="_Toc19711"/>
      <w:r>
        <w:rPr>
          <w:rFonts w:hint="eastAsia"/>
          <w:lang w:bidi="ar"/>
        </w:rPr>
        <w:t>第六章 饮用水源保护保障措施</w:t>
      </w:r>
      <w:bookmarkEnd w:id="182"/>
      <w:bookmarkEnd w:id="183"/>
    </w:p>
    <w:p>
      <w:pPr>
        <w:pStyle w:val="4"/>
        <w:spacing w:before="156" w:after="156"/>
        <w:rPr>
          <w:b/>
        </w:rPr>
      </w:pPr>
      <w:bookmarkStart w:id="184" w:name="_Toc19413"/>
      <w:bookmarkStart w:id="185" w:name="_Toc21774"/>
      <w:r>
        <w:rPr>
          <w:rFonts w:hint="eastAsia"/>
        </w:rPr>
        <w:t>6.1 资金保障</w:t>
      </w:r>
      <w:bookmarkEnd w:id="184"/>
      <w:bookmarkEnd w:id="185"/>
    </w:p>
    <w:p>
      <w:pPr>
        <w:adjustRightInd w:val="0"/>
        <w:snapToGrid w:val="0"/>
        <w:spacing w:line="360" w:lineRule="auto"/>
        <w:ind w:firstLine="480" w:firstLineChars="200"/>
        <w:jc w:val="left"/>
        <w:rPr>
          <w:rFonts w:hint="eastAsia" w:ascii="Calibri" w:hAnsi="Calibri" w:eastAsia="宋体" w:cs="宋体"/>
          <w:sz w:val="24"/>
          <w:szCs w:val="22"/>
          <w:lang w:val="en-US" w:eastAsia="zh-CN" w:bidi="ar"/>
        </w:rPr>
      </w:pPr>
      <w:r>
        <w:rPr>
          <w:rFonts w:hint="eastAsia" w:ascii="Calibri" w:hAnsi="Calibri" w:eastAsia="宋体" w:cs="宋体"/>
          <w:sz w:val="24"/>
          <w:szCs w:val="22"/>
          <w:lang w:bidi="ar"/>
        </w:rPr>
        <w:t>根据前面章节的分析，本饮用水水源保护区需要实施的环境保护项目包括：饮用水源保护标志标牌设立，保护区污染整治、水质常规监测、日常监管等工程，根据《集中式饮用水水源保护指南》（环办【2012】50 号）附件5“饮用水水源环境保护项目设计”，估算本保护区环境保护项目投资约为</w:t>
      </w:r>
      <w:r>
        <w:rPr>
          <w:rFonts w:hint="eastAsia" w:ascii="Calibri" w:hAnsi="Calibri" w:eastAsia="宋体" w:cs="宋体"/>
          <w:sz w:val="24"/>
          <w:szCs w:val="22"/>
          <w:lang w:val="en-US" w:eastAsia="zh-CN" w:bidi="ar"/>
        </w:rPr>
        <w:t>40.52万元。</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sz w:val="24"/>
          <w:szCs w:val="22"/>
          <w:lang w:val="en-US" w:eastAsia="zh-CN"/>
        </w:rPr>
      </w:pPr>
      <w:r>
        <w:rPr>
          <w:rFonts w:hint="eastAsia" w:ascii="Calibri" w:hAnsi="Calibri"/>
          <w:b/>
          <w:sz w:val="21"/>
          <w:szCs w:val="21"/>
          <w:lang w:eastAsia="zh-CN"/>
        </w:rPr>
        <w:t>表</w:t>
      </w:r>
      <w:r>
        <w:rPr>
          <w:rFonts w:hint="eastAsia" w:ascii="Times New Roman" w:eastAsia="宋体"/>
          <w:b/>
          <w:sz w:val="21"/>
          <w:szCs w:val="21"/>
          <w:lang w:val="en-US" w:eastAsia="zh-CN"/>
        </w:rPr>
        <w:t>6-1</w:t>
      </w:r>
      <w:r>
        <w:rPr>
          <w:rFonts w:hint="eastAsia" w:ascii="Calibri" w:hAnsi="Calibri"/>
          <w:b/>
          <w:sz w:val="21"/>
          <w:szCs w:val="21"/>
          <w:lang w:eastAsia="zh-CN"/>
        </w:rPr>
        <w:t xml:space="preserve"> 保护区环境保护项目及投资</w:t>
      </w:r>
    </w:p>
    <w:tbl>
      <w:tblPr>
        <w:tblStyle w:val="19"/>
        <w:tblW w:w="8222"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72"/>
        <w:gridCol w:w="2878"/>
        <w:gridCol w:w="1491"/>
        <w:gridCol w:w="883"/>
        <w:gridCol w:w="1082"/>
        <w:gridCol w:w="121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编号</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工程和费用名称</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工程量</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单价（万元）</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投资估算（万元）</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一</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设立标牌标识</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4.4</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界标</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6个</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0.4</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2.4</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2</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交通警示牌（危险品禁运标志牌与交通警示牌合建）</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4个</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0.4</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1.6</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3</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宣传牌</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1块</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0.4</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0.4</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二</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一级保护区污染整治措施</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19.13</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四格净化池</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2套</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0.8</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1.6</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2</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垃圾桶</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3个</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0.01</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0.03</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3</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隔离网</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583米</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0.03</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17.5</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三</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环境监测、监管</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26</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水质监测（含2年一次全分析）</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4</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每年费用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2</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饮用水水源保护区划分</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8</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3</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环境监管</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建档、巡查等</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5</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4</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应急预案</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6</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6</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6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5</w:t>
            </w:r>
          </w:p>
        </w:tc>
        <w:tc>
          <w:tcPr>
            <w:tcW w:w="28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宣传手册</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10048份</w:t>
            </w: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0.0003</w:t>
            </w: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r>
              <w:rPr>
                <w:rFonts w:hint="eastAsia" w:ascii="Calibri" w:hAnsi="Calibri" w:eastAsia="宋体" w:cs="Times New Roman"/>
                <w:b w:val="0"/>
                <w:bCs/>
                <w:sz w:val="21"/>
                <w:szCs w:val="21"/>
                <w:lang w:val="en-US" w:eastAsia="zh-CN"/>
              </w:rPr>
              <w:t>3</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0" w:hRule="atLeast"/>
          <w:jc w:val="center"/>
        </w:trPr>
        <w:tc>
          <w:tcPr>
            <w:tcW w:w="355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合计</w:t>
            </w:r>
          </w:p>
        </w:tc>
        <w:tc>
          <w:tcPr>
            <w:tcW w:w="14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8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p>
        </w:tc>
        <w:tc>
          <w:tcPr>
            <w:tcW w:w="10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bCs w:val="0"/>
                <w:sz w:val="21"/>
                <w:szCs w:val="21"/>
                <w:lang w:val="en-US" w:eastAsia="zh-CN"/>
              </w:rPr>
            </w:pPr>
            <w:r>
              <w:rPr>
                <w:rFonts w:hint="eastAsia" w:ascii="Calibri" w:hAnsi="Calibri" w:eastAsia="宋体" w:cs="Times New Roman"/>
                <w:b/>
                <w:bCs w:val="0"/>
                <w:sz w:val="21"/>
                <w:szCs w:val="21"/>
                <w:lang w:val="en-US" w:eastAsia="zh-CN"/>
              </w:rPr>
              <w:t>49.53</w:t>
            </w:r>
          </w:p>
        </w:tc>
        <w:tc>
          <w:tcPr>
            <w:tcW w:w="12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Calibri" w:hAnsi="Calibri" w:eastAsia="宋体" w:cs="Times New Roman"/>
                <w:b w:val="0"/>
                <w:bCs/>
                <w:sz w:val="21"/>
                <w:szCs w:val="21"/>
                <w:lang w:val="en-US" w:eastAsia="zh-CN"/>
              </w:rPr>
            </w:pPr>
          </w:p>
        </w:tc>
      </w:tr>
    </w:tbl>
    <w:p>
      <w:pPr>
        <w:pStyle w:val="4"/>
        <w:spacing w:before="156" w:after="156"/>
        <w:rPr>
          <w:rFonts w:hint="eastAsia" w:cs="Times New Roman"/>
        </w:rPr>
      </w:pPr>
      <w:bookmarkStart w:id="186" w:name="_Toc19369"/>
      <w:bookmarkStart w:id="187" w:name="_Toc25038"/>
      <w:r>
        <w:rPr>
          <w:rFonts w:hint="eastAsia" w:cs="Times New Roman"/>
        </w:rPr>
        <w:t>6.2 法律法规与政策制度保障</w:t>
      </w:r>
      <w:bookmarkEnd w:id="186"/>
      <w:bookmarkEnd w:id="187"/>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湘阴县人民政府已于201</w:t>
      </w:r>
      <w:r>
        <w:rPr>
          <w:rFonts w:hint="eastAsia" w:ascii="Calibri" w:hAnsi="Calibri" w:eastAsia="宋体" w:cs="宋体"/>
          <w:sz w:val="24"/>
          <w:szCs w:val="22"/>
          <w:lang w:val="en-US" w:eastAsia="zh-CN" w:bidi="ar"/>
        </w:rPr>
        <w:t>3</w:t>
      </w:r>
      <w:r>
        <w:rPr>
          <w:rFonts w:hint="eastAsia" w:ascii="Calibri" w:hAnsi="Calibri" w:eastAsia="宋体" w:cs="宋体"/>
          <w:sz w:val="24"/>
          <w:szCs w:val="22"/>
          <w:lang w:bidi="ar"/>
        </w:rPr>
        <w:t>年</w:t>
      </w:r>
      <w:r>
        <w:rPr>
          <w:rFonts w:hint="eastAsia" w:ascii="Calibri" w:hAnsi="Calibri" w:eastAsia="宋体" w:cs="宋体"/>
          <w:sz w:val="24"/>
          <w:szCs w:val="22"/>
          <w:lang w:val="en-US" w:eastAsia="zh-CN" w:bidi="ar"/>
        </w:rPr>
        <w:t>8</w:t>
      </w:r>
      <w:r>
        <w:rPr>
          <w:rFonts w:hint="eastAsia" w:ascii="Calibri" w:hAnsi="Calibri" w:eastAsia="宋体" w:cs="宋体"/>
          <w:sz w:val="24"/>
          <w:szCs w:val="22"/>
          <w:lang w:bidi="ar"/>
        </w:rPr>
        <w:t>月制定出台了《湘阴县饮用水水源保护区管理</w:t>
      </w:r>
      <w:r>
        <w:rPr>
          <w:rFonts w:hint="eastAsia" w:ascii="Calibri" w:hAnsi="Calibri" w:eastAsia="宋体" w:cs="宋体"/>
          <w:sz w:val="24"/>
          <w:szCs w:val="22"/>
          <w:lang w:val="en-US" w:eastAsia="zh-CN" w:bidi="ar"/>
        </w:rPr>
        <w:t>暂行</w:t>
      </w:r>
      <w:r>
        <w:rPr>
          <w:rFonts w:hint="eastAsia" w:ascii="Calibri" w:hAnsi="Calibri" w:eastAsia="宋体" w:cs="宋体"/>
          <w:sz w:val="24"/>
          <w:szCs w:val="22"/>
          <w:lang w:bidi="ar"/>
        </w:rPr>
        <w:t>办法》，并以规范性文件形式（</w:t>
      </w:r>
      <w:r>
        <w:rPr>
          <w:rFonts w:hint="eastAsia" w:ascii="Calibri" w:hAnsi="Calibri" w:eastAsia="宋体" w:cs="宋体"/>
          <w:sz w:val="24"/>
          <w:szCs w:val="22"/>
          <w:lang w:val="en-US" w:eastAsia="zh-CN" w:bidi="ar"/>
        </w:rPr>
        <w:t>湘阴</w:t>
      </w:r>
      <w:r>
        <w:rPr>
          <w:rFonts w:hint="eastAsia" w:ascii="Calibri" w:hAnsi="Calibri" w:eastAsia="宋体" w:cs="宋体"/>
          <w:sz w:val="24"/>
          <w:szCs w:val="22"/>
          <w:lang w:bidi="ar"/>
        </w:rPr>
        <w:t>政办发【201</w:t>
      </w:r>
      <w:r>
        <w:rPr>
          <w:rFonts w:hint="eastAsia" w:ascii="Calibri" w:hAnsi="Calibri" w:eastAsia="宋体" w:cs="宋体"/>
          <w:sz w:val="24"/>
          <w:szCs w:val="22"/>
          <w:lang w:val="en-US" w:eastAsia="zh-CN" w:bidi="ar"/>
        </w:rPr>
        <w:t>3</w:t>
      </w: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39</w:t>
      </w:r>
      <w:r>
        <w:rPr>
          <w:rFonts w:hint="eastAsia" w:ascii="Calibri" w:hAnsi="Calibri" w:eastAsia="宋体" w:cs="宋体"/>
          <w:sz w:val="24"/>
          <w:szCs w:val="22"/>
          <w:lang w:bidi="ar"/>
        </w:rPr>
        <w:t>号）下发到各乡、镇人民政府及县直有关单位。</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《湘阴县饮用水水源保护区管理暂行办法》共分总则、饮用水源保护区范围和水质标准</w:t>
      </w:r>
      <w:r>
        <w:rPr>
          <w:rFonts w:hint="eastAsia" w:ascii="Calibri" w:hAnsi="Calibri" w:eastAsia="宋体" w:cs="宋体"/>
          <w:sz w:val="24"/>
          <w:szCs w:val="22"/>
          <w:lang w:eastAsia="zh-CN" w:bidi="ar"/>
        </w:rPr>
        <w:t>、饮用水水源保护区污染防治、</w:t>
      </w:r>
      <w:r>
        <w:rPr>
          <w:rFonts w:hint="eastAsia" w:ascii="Calibri" w:hAnsi="Calibri" w:eastAsia="宋体" w:cs="宋体"/>
          <w:sz w:val="24"/>
          <w:szCs w:val="22"/>
          <w:lang w:bidi="ar"/>
        </w:rPr>
        <w:t>监督管理、</w:t>
      </w:r>
      <w:r>
        <w:rPr>
          <w:rFonts w:hint="eastAsia" w:ascii="Calibri" w:hAnsi="Calibri" w:eastAsia="宋体" w:cs="宋体"/>
          <w:sz w:val="24"/>
          <w:szCs w:val="22"/>
          <w:lang w:val="en-US" w:eastAsia="zh-CN" w:bidi="ar"/>
        </w:rPr>
        <w:t>奖励和处罚</w:t>
      </w:r>
      <w:r>
        <w:rPr>
          <w:rFonts w:hint="eastAsia" w:ascii="Calibri" w:hAnsi="Calibri" w:eastAsia="宋体" w:cs="宋体"/>
          <w:sz w:val="24"/>
          <w:szCs w:val="22"/>
          <w:lang w:bidi="ar"/>
        </w:rPr>
        <w:t>、附则</w:t>
      </w:r>
      <w:r>
        <w:rPr>
          <w:rFonts w:hint="eastAsia" w:ascii="Calibri" w:hAnsi="Calibri" w:eastAsia="宋体" w:cs="宋体"/>
          <w:sz w:val="24"/>
          <w:szCs w:val="22"/>
          <w:lang w:val="en-US" w:eastAsia="zh-CN" w:bidi="ar"/>
        </w:rPr>
        <w:t>六</w:t>
      </w:r>
      <w:r>
        <w:rPr>
          <w:rFonts w:hint="eastAsia" w:ascii="Calibri" w:hAnsi="Calibri" w:eastAsia="宋体" w:cs="宋体"/>
          <w:sz w:val="24"/>
          <w:szCs w:val="22"/>
          <w:lang w:bidi="ar"/>
        </w:rPr>
        <w:t>章</w:t>
      </w:r>
      <w:r>
        <w:rPr>
          <w:rFonts w:hint="eastAsia" w:ascii="Calibri" w:hAnsi="Calibri" w:eastAsia="宋体" w:cs="宋体"/>
          <w:sz w:val="24"/>
          <w:szCs w:val="22"/>
          <w:lang w:val="en-US" w:eastAsia="zh-CN" w:bidi="ar"/>
        </w:rPr>
        <w:t>共38</w:t>
      </w:r>
      <w:r>
        <w:rPr>
          <w:rFonts w:hint="eastAsia" w:ascii="Calibri" w:hAnsi="Calibri" w:eastAsia="宋体" w:cs="宋体"/>
          <w:sz w:val="24"/>
          <w:szCs w:val="22"/>
          <w:lang w:bidi="ar"/>
        </w:rPr>
        <w:t>条。</w:t>
      </w:r>
      <w:bookmarkStart w:id="188" w:name="_Toc453061774"/>
      <w:bookmarkStart w:id="189" w:name="_Toc453061620"/>
    </w:p>
    <w:bookmarkEnd w:id="188"/>
    <w:bookmarkEnd w:id="189"/>
    <w:p>
      <w:pPr>
        <w:pStyle w:val="4"/>
        <w:spacing w:beforeLines="0" w:afterLines="0" w:line="360" w:lineRule="auto"/>
        <w:rPr>
          <w:rFonts w:ascii="Times New Roman" w:hAnsi="Times New Roman"/>
        </w:rPr>
      </w:pPr>
      <w:bookmarkStart w:id="190" w:name="_Toc21880"/>
      <w:bookmarkStart w:id="191" w:name="_Toc7330"/>
      <w:bookmarkStart w:id="192" w:name="_Toc7865"/>
      <w:bookmarkStart w:id="193" w:name="_Toc453061776"/>
      <w:bookmarkStart w:id="194" w:name="_Toc7410"/>
      <w:bookmarkStart w:id="195" w:name="_Toc10883"/>
      <w:bookmarkStart w:id="196" w:name="_Toc453061622"/>
      <w:r>
        <w:rPr>
          <w:rFonts w:ascii="Times New Roman" w:hAnsi="Times New Roman"/>
        </w:rPr>
        <w:t>6.3 组织分工与管理保障</w:t>
      </w:r>
      <w:bookmarkEnd w:id="190"/>
      <w:bookmarkEnd w:id="191"/>
      <w:bookmarkEnd w:id="192"/>
    </w:p>
    <w:p>
      <w:pPr>
        <w:adjustRightInd w:val="0"/>
        <w:snapToGrid w:val="0"/>
        <w:spacing w:line="360" w:lineRule="auto"/>
        <w:ind w:firstLine="480" w:firstLineChars="200"/>
        <w:jc w:val="left"/>
        <w:rPr>
          <w:rFonts w:hint="eastAsia" w:ascii="Calibri" w:hAnsi="Calibri" w:eastAsia="宋体" w:cs="宋体"/>
          <w:sz w:val="24"/>
          <w:szCs w:val="22"/>
          <w:lang w:bidi="ar"/>
        </w:rPr>
      </w:pPr>
      <w:bookmarkStart w:id="197" w:name="_Toc453061621"/>
      <w:bookmarkStart w:id="198" w:name="_Toc453061775"/>
      <w:r>
        <w:rPr>
          <w:rFonts w:hint="eastAsia" w:ascii="Calibri" w:hAnsi="Calibri" w:eastAsia="宋体" w:cs="宋体"/>
          <w:sz w:val="24"/>
          <w:szCs w:val="22"/>
          <w:lang w:bidi="ar"/>
        </w:rPr>
        <w:t>各有关行政管理部门，应当按照各自的职责，做好本地下水饮用水水源保护区环境保护工作。</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（1）县水土水资源局负责会同有关部门编制水资源保护规划和饮用水水源建设达标规划，并上报省水利厅审批。</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2）县环保局负责饮用水水源保护区生态环境保护与污染防治工作；负责污染源监督管理，依法实施水污染物排放许可证制度，在饮用水水源保护区及其周围地区实行污染物总量控制；负责饮用水水源保护区的水质监控；负责对环境违法案件的调查处理。</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（3）县规划、发改、工信、招商等部门根据全县国民经济和社会发展规划</w:t>
      </w:r>
      <w:r>
        <w:rPr>
          <w:rFonts w:hint="eastAsia" w:ascii="Calibri" w:hAnsi="Calibri" w:eastAsia="宋体" w:cs="宋体"/>
          <w:sz w:val="24"/>
          <w:szCs w:val="22"/>
          <w:lang w:eastAsia="zh-CN" w:bidi="ar"/>
        </w:rPr>
        <w:t>，</w:t>
      </w:r>
      <w:r>
        <w:rPr>
          <w:rFonts w:hint="eastAsia" w:ascii="Calibri" w:hAnsi="Calibri" w:eastAsia="宋体" w:cs="宋体"/>
          <w:sz w:val="24"/>
          <w:szCs w:val="22"/>
          <w:lang w:bidi="ar"/>
        </w:rPr>
        <w:t>负责做好饮用水水源保护区内及城区的土地利用规划、产业规划的调整，严禁污染水源项目落地。</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（4）县住建局及乡镇政府负责生活污水处理设施、生活垃圾处理设施建设和管理，防止生活污水、垃圾等污染饮用水水源。</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（5）县自然资源局负责饮用水水源保护区土地管理，纠正、查处违法用地。</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6）县农业局负责饮用水水源保护区农业生产面源污染治理工作，鼓励农业生态耕作，测土配方，加强农药、化肥的监管，严格控制化肥和农药过量使用，禁止使用剧毒和高残留农药；督促饮用水水源保护区一级保护区范围内的菜地逐步退出。</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7</w:t>
      </w:r>
      <w:r>
        <w:rPr>
          <w:rFonts w:hint="eastAsia" w:ascii="Calibri" w:hAnsi="Calibri" w:eastAsia="宋体" w:cs="宋体"/>
          <w:sz w:val="24"/>
          <w:szCs w:val="22"/>
          <w:lang w:bidi="ar"/>
        </w:rPr>
        <w:t>）县卫生局负责饮用水水源卫生质量的监督管理；制定饮水公共卫生事件应急预案，并对饮用水水源的卫生状况进行定期监测；加强对居民饮水卫生知识的教育和宣传。</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8</w:t>
      </w:r>
      <w:r>
        <w:rPr>
          <w:rFonts w:hint="eastAsia" w:ascii="Calibri" w:hAnsi="Calibri" w:eastAsia="宋体" w:cs="宋体"/>
          <w:sz w:val="24"/>
          <w:szCs w:val="22"/>
          <w:lang w:bidi="ar"/>
        </w:rPr>
        <w:t>）县财政局负责落实饮用水水源地保护管理工作经费。</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9</w:t>
      </w:r>
      <w:r>
        <w:rPr>
          <w:rFonts w:hint="eastAsia" w:ascii="Calibri" w:hAnsi="Calibri" w:eastAsia="宋体" w:cs="宋体"/>
          <w:sz w:val="24"/>
          <w:szCs w:val="22"/>
          <w:lang w:bidi="ar"/>
        </w:rPr>
        <w:t>）县直其他职能部门根据各自职责，配合做好饮用水水源地保护管理相关工作。</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w:t>
      </w:r>
      <w:r>
        <w:rPr>
          <w:rFonts w:hint="eastAsia" w:ascii="Calibri" w:hAnsi="Calibri" w:eastAsia="宋体" w:cs="宋体"/>
          <w:sz w:val="24"/>
          <w:szCs w:val="22"/>
          <w:lang w:val="en-US" w:eastAsia="zh-CN" w:bidi="ar"/>
        </w:rPr>
        <w:t>10</w:t>
      </w:r>
      <w:r>
        <w:rPr>
          <w:rFonts w:hint="eastAsia" w:ascii="Calibri" w:hAnsi="Calibri" w:eastAsia="宋体" w:cs="宋体"/>
          <w:sz w:val="24"/>
          <w:szCs w:val="22"/>
          <w:lang w:bidi="ar"/>
        </w:rPr>
        <w:t>）饮用水水源保护区所在地乡镇、社区、村委会应教育和督促居民保护饮用水水源，保障生活污水、垃圾收集处理系统正常运转，支持配合有关部门查处各类污染、破坏饮用水水源的违法行为。</w:t>
      </w:r>
    </w:p>
    <w:p>
      <w:pPr>
        <w:pStyle w:val="4"/>
        <w:numPr>
          <w:ilvl w:val="1"/>
          <w:numId w:val="3"/>
        </w:numPr>
        <w:spacing w:beforeLines="0" w:afterLines="0" w:line="360" w:lineRule="auto"/>
        <w:rPr>
          <w:rFonts w:ascii="Times New Roman" w:hAnsi="Times New Roman"/>
          <w:b w:val="0"/>
          <w:bCs/>
        </w:rPr>
      </w:pPr>
      <w:bookmarkStart w:id="199" w:name="_Toc3683"/>
      <w:bookmarkStart w:id="200" w:name="_Toc10828"/>
      <w:bookmarkStart w:id="201" w:name="_Toc2209"/>
      <w:r>
        <w:rPr>
          <w:rFonts w:ascii="Times New Roman" w:hAnsi="Times New Roman"/>
          <w:b w:val="0"/>
          <w:bCs/>
        </w:rPr>
        <w:t>宣传与教育</w:t>
      </w:r>
      <w:bookmarkEnd w:id="197"/>
      <w:bookmarkEnd w:id="198"/>
      <w:bookmarkEnd w:id="199"/>
      <w:bookmarkEnd w:id="200"/>
      <w:bookmarkEnd w:id="201"/>
    </w:p>
    <w:p>
      <w:pPr>
        <w:pStyle w:val="5"/>
        <w:spacing w:before="156" w:after="156"/>
        <w:rPr>
          <w:rFonts w:hint="eastAsia" w:ascii="Times New Roman" w:hAnsi="Times New Roman" w:cs="Times New Roman"/>
        </w:rPr>
      </w:pPr>
      <w:bookmarkStart w:id="202" w:name="_Toc27070"/>
      <w:bookmarkStart w:id="203" w:name="_Toc19039"/>
      <w:r>
        <w:rPr>
          <w:rFonts w:hint="eastAsia" w:ascii="Times New Roman" w:hAnsi="Times New Roman" w:cs="Times New Roman"/>
        </w:rPr>
        <w:t>6.4.1建立公众参与机制</w:t>
      </w:r>
      <w:bookmarkEnd w:id="202"/>
      <w:bookmarkEnd w:id="203"/>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饮用水水源保护区建设不单纯是政府的事，而是社会各界和全体村民的共同事业。要明确社会公众在饮用水水源保护中的作用。实施公众参与机制应采取以下两方面措施：制定公众参与的保障措施，确保政府在生态乡镇创建项目决策过程中的公众参与，形成公众参与的制度；制定鼓励公众参与的政策，要采取经济措施，要对在饮用水水源保护与可持续利用中参与执法、监督、生产、资源开发与保护、科学研究、宣传教育、人员培训、决策咨询等方面做出显著贡献的单位 和个人给予精神和物质奖励。</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ascii="Times New Roman" w:hAnsi="Times New Roman" w:eastAsia="宋体" w:cs="Times New Roman"/>
          <w:sz w:val="28"/>
          <w:szCs w:val="28"/>
        </w:rPr>
      </w:pPr>
      <w:bookmarkStart w:id="204" w:name="_Toc29573"/>
      <w:bookmarkStart w:id="205" w:name="_Toc8827"/>
      <w:r>
        <w:rPr>
          <w:rFonts w:hint="eastAsia" w:ascii="Times New Roman" w:hAnsi="Times New Roman" w:eastAsia="宋体" w:cs="Times New Roman"/>
          <w:sz w:val="28"/>
          <w:szCs w:val="28"/>
        </w:rPr>
        <w:t>6.4.2</w:t>
      </w:r>
      <w:r>
        <w:rPr>
          <w:rFonts w:ascii="Times New Roman" w:hAnsi="Times New Roman" w:eastAsia="宋体" w:cs="Times New Roman"/>
          <w:sz w:val="28"/>
          <w:szCs w:val="28"/>
        </w:rPr>
        <w:t>强化媒体宣教机制</w:t>
      </w:r>
      <w:bookmarkEnd w:id="204"/>
      <w:bookmarkEnd w:id="205"/>
    </w:p>
    <w:p>
      <w:pPr>
        <w:adjustRightInd w:val="0"/>
        <w:snapToGrid w:val="0"/>
        <w:spacing w:line="360" w:lineRule="auto"/>
        <w:ind w:firstLine="480" w:firstLineChars="200"/>
        <w:jc w:val="left"/>
        <w:rPr>
          <w:rFonts w:hint="eastAsia" w:ascii="Calibri" w:hAnsi="Calibri" w:eastAsia="宋体" w:cs="宋体"/>
          <w:sz w:val="24"/>
          <w:szCs w:val="22"/>
          <w:lang w:eastAsia="zh-CN" w:bidi="ar"/>
        </w:rPr>
      </w:pPr>
      <w:r>
        <w:rPr>
          <w:rFonts w:hint="eastAsia" w:ascii="Calibri" w:hAnsi="Calibri" w:eastAsia="宋体" w:cs="宋体"/>
          <w:sz w:val="24"/>
          <w:szCs w:val="22"/>
          <w:lang w:bidi="ar"/>
        </w:rPr>
        <w:t>充分利用报刊、电视、广播等宣传阵地，宣传饮用水水源保护区建设与保护工作，同时，深入拓展微信、手机报等新兴媒介。增强水源保护区宣传策划的前瞻性和针对性，注重策划和组织重大环境新闻报道活动，紧紧围绕饮用水水源保护区建设和保护中心工作，以及创新性工作经验和社会普遍关注的热点问题，进行科学分析，做好专题策划，组织、发动媒体深入采访、追踪报道，切实增强报道的影响力</w:t>
      </w:r>
      <w:r>
        <w:rPr>
          <w:rFonts w:hint="eastAsia" w:ascii="Calibri" w:hAnsi="Calibri" w:eastAsia="宋体" w:cs="宋体"/>
          <w:sz w:val="24"/>
          <w:szCs w:val="22"/>
          <w:lang w:eastAsia="zh-CN" w:bidi="ar"/>
        </w:rPr>
        <w:t>。</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同时，着眼于维护群众的权益，组织报道群众关心的问题。广泛开展宣教活动。积极开展丰富多彩的环保宣传活动，以“6.5”世界环境日、“3.22”世界水日等重大节日为契机，开展形式多样的饮用水水源保护宣传教育活动，组织宣教活动进机关、进企业、进社区、进学校。</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加强部门协作，积极联合相关部门、新闻媒体等参与到活动的组织和宣传上来，扩大宣传教育影响。</w:t>
      </w:r>
    </w:p>
    <w:p>
      <w:pPr>
        <w:adjustRightInd w:val="0"/>
        <w:snapToGrid w:val="0"/>
        <w:spacing w:line="360" w:lineRule="auto"/>
        <w:ind w:firstLine="480" w:firstLineChars="200"/>
        <w:jc w:val="left"/>
        <w:rPr>
          <w:rFonts w:hint="eastAsia" w:ascii="Calibri" w:hAnsi="Calibri" w:eastAsia="宋体" w:cs="宋体"/>
          <w:sz w:val="24"/>
          <w:szCs w:val="22"/>
          <w:lang w:bidi="ar"/>
        </w:rPr>
      </w:pPr>
      <w:r>
        <w:rPr>
          <w:rFonts w:hint="eastAsia" w:ascii="Calibri" w:hAnsi="Calibri" w:eastAsia="宋体" w:cs="宋体"/>
          <w:sz w:val="24"/>
          <w:szCs w:val="22"/>
          <w:lang w:bidi="ar"/>
        </w:rPr>
        <w:t>积极拓宽宣传渠道。以环境监察、环境监测为载体，在饮用水水源保护行政执法过程中宣传相关法律法规和环保知识，增强企业和个人饮用水水源保护意识。以保护区周边设置固定环保宣传牌，悬挂环保宣传标语，发放环保宣传资料等，提升公众环保意识。</w:t>
      </w:r>
    </w:p>
    <w:bookmarkEnd w:id="193"/>
    <w:bookmarkEnd w:id="194"/>
    <w:bookmarkEnd w:id="195"/>
    <w:bookmarkEnd w:id="196"/>
    <w:p>
      <w:pPr>
        <w:pStyle w:val="3"/>
        <w:spacing w:beforeLines="0" w:afterLines="0" w:line="360" w:lineRule="auto"/>
        <w:jc w:val="both"/>
      </w:pPr>
      <w:bookmarkStart w:id="206" w:name="_Toc14236"/>
      <w:bookmarkStart w:id="207" w:name="_Toc14732"/>
      <w:bookmarkStart w:id="208" w:name="_Toc12050"/>
      <w:r>
        <w:t>附件</w:t>
      </w:r>
      <w:bookmarkEnd w:id="206"/>
      <w:bookmarkEnd w:id="207"/>
      <w:bookmarkEnd w:id="208"/>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附件1  水质监测报告</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附件2  专家论证意见</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附件3  政府各部门意见</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附件4  论证意见、部门意见落实</w:t>
      </w:r>
    </w:p>
    <w:p>
      <w:pPr>
        <w:adjustRightInd w:val="0"/>
        <w:snapToGrid w:val="0"/>
        <w:spacing w:line="360" w:lineRule="auto"/>
        <w:ind w:firstLine="480" w:firstLineChars="200"/>
        <w:rPr>
          <w:rFonts w:ascii="Times New Roman" w:hAnsi="Times New Roman" w:cs="Times New Roman"/>
        </w:rPr>
      </w:pPr>
      <w:r>
        <w:rPr>
          <w:rFonts w:ascii="Times New Roman" w:hAnsi="Times New Roman" w:eastAsia="宋体" w:cs="Times New Roman"/>
          <w:sz w:val="24"/>
          <w:szCs w:val="22"/>
        </w:rPr>
        <w:t xml:space="preserve">附件5  </w:t>
      </w:r>
      <w:r>
        <w:rPr>
          <w:rFonts w:hint="eastAsia" w:ascii="Times New Roman" w:hAnsi="Times New Roman" w:eastAsia="宋体" w:cs="Times New Roman"/>
          <w:sz w:val="24"/>
          <w:szCs w:val="22"/>
          <w:lang w:eastAsia="zh-CN"/>
        </w:rPr>
        <w:t>石塘镇长仑水厂</w:t>
      </w:r>
      <w:r>
        <w:rPr>
          <w:rFonts w:hint="eastAsia" w:ascii="Times New Roman" w:hAnsi="Times New Roman" w:eastAsia="宋体" w:cs="Times New Roman"/>
          <w:sz w:val="24"/>
          <w:szCs w:val="22"/>
          <w:lang w:val="en-US" w:eastAsia="zh-CN"/>
        </w:rPr>
        <w:t>3号</w:t>
      </w:r>
      <w:r>
        <w:rPr>
          <w:rFonts w:ascii="Times New Roman" w:hAnsi="Times New Roman" w:eastAsia="宋体" w:cs="Times New Roman"/>
          <w:sz w:val="24"/>
          <w:szCs w:val="22"/>
        </w:rPr>
        <w:t>水井的水文、地质、成井的完工报告</w:t>
      </w:r>
    </w:p>
    <w:p>
      <w:pPr>
        <w:pStyle w:val="3"/>
        <w:spacing w:beforeLines="0" w:afterLines="0" w:line="360" w:lineRule="auto"/>
        <w:jc w:val="both"/>
      </w:pPr>
      <w:bookmarkStart w:id="209" w:name="_Toc31521"/>
      <w:bookmarkStart w:id="210" w:name="_Toc453061777"/>
      <w:bookmarkStart w:id="211" w:name="_Toc453061623"/>
      <w:bookmarkStart w:id="212" w:name="_Toc19021"/>
      <w:bookmarkStart w:id="213" w:name="_Toc17334"/>
      <w:r>
        <w:t>附表</w:t>
      </w:r>
      <w:bookmarkEnd w:id="209"/>
      <w:bookmarkEnd w:id="210"/>
      <w:bookmarkEnd w:id="211"/>
      <w:bookmarkEnd w:id="212"/>
      <w:bookmarkEnd w:id="213"/>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附表1 饮用水源地地表水系状况调查表</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附表</w:t>
      </w:r>
      <w:r>
        <w:rPr>
          <w:rFonts w:hint="eastAsia" w:ascii="Times New Roman" w:hAnsi="Times New Roman" w:eastAsia="宋体" w:cs="Times New Roman"/>
          <w:sz w:val="24"/>
          <w:szCs w:val="22"/>
          <w:lang w:val="en-US" w:eastAsia="zh-CN"/>
        </w:rPr>
        <w:t>2</w:t>
      </w:r>
      <w:r>
        <w:rPr>
          <w:rFonts w:ascii="Times New Roman" w:hAnsi="Times New Roman" w:eastAsia="宋体" w:cs="Times New Roman"/>
          <w:sz w:val="24"/>
          <w:szCs w:val="22"/>
        </w:rPr>
        <w:t xml:space="preserve"> 饮用水水源地基础状况表</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附表</w:t>
      </w:r>
      <w:r>
        <w:rPr>
          <w:rFonts w:hint="eastAsia" w:ascii="Times New Roman" w:hAnsi="Times New Roman" w:eastAsia="宋体" w:cs="Times New Roman"/>
          <w:sz w:val="24"/>
          <w:szCs w:val="22"/>
          <w:lang w:val="en-US" w:eastAsia="zh-CN"/>
        </w:rPr>
        <w:t>3</w:t>
      </w:r>
      <w:r>
        <w:rPr>
          <w:rFonts w:ascii="Times New Roman" w:hAnsi="Times New Roman" w:eastAsia="宋体" w:cs="Times New Roman"/>
          <w:sz w:val="24"/>
          <w:szCs w:val="22"/>
        </w:rPr>
        <w:t xml:space="preserve"> 饮用水水源保护区环境状况调查表</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附表</w:t>
      </w:r>
      <w:r>
        <w:rPr>
          <w:rFonts w:hint="eastAsia" w:ascii="Times New Roman" w:hAnsi="Times New Roman" w:eastAsia="宋体" w:cs="Times New Roman"/>
          <w:sz w:val="24"/>
          <w:szCs w:val="22"/>
          <w:lang w:val="en-US" w:eastAsia="zh-CN"/>
        </w:rPr>
        <w:t>4</w:t>
      </w:r>
      <w:r>
        <w:rPr>
          <w:rFonts w:ascii="Times New Roman" w:hAnsi="Times New Roman" w:eastAsia="宋体" w:cs="Times New Roman"/>
          <w:sz w:val="24"/>
          <w:szCs w:val="22"/>
        </w:rPr>
        <w:t xml:space="preserve"> 饮用水源取水口及监测断面位置信息</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附表</w:t>
      </w:r>
      <w:r>
        <w:rPr>
          <w:rFonts w:hint="eastAsia" w:ascii="Times New Roman" w:hAnsi="Times New Roman" w:eastAsia="宋体" w:cs="Times New Roman"/>
          <w:sz w:val="24"/>
          <w:szCs w:val="22"/>
          <w:lang w:val="en-US" w:eastAsia="zh-CN"/>
        </w:rPr>
        <w:t>5</w:t>
      </w:r>
      <w:r>
        <w:rPr>
          <w:rFonts w:ascii="Times New Roman" w:hAnsi="Times New Roman" w:eastAsia="宋体" w:cs="Times New Roman"/>
          <w:sz w:val="24"/>
          <w:szCs w:val="22"/>
        </w:rPr>
        <w:t xml:space="preserve"> 饮用水水源保护区登记表</w:t>
      </w:r>
    </w:p>
    <w:p>
      <w:pPr>
        <w:pStyle w:val="3"/>
        <w:spacing w:beforeLines="0" w:afterLines="0" w:line="360" w:lineRule="auto"/>
        <w:jc w:val="both"/>
      </w:pPr>
      <w:bookmarkStart w:id="214" w:name="_Toc453061624"/>
      <w:bookmarkStart w:id="215" w:name="_Toc453061778"/>
      <w:bookmarkStart w:id="216" w:name="_Toc3320"/>
      <w:bookmarkStart w:id="217" w:name="_Toc2238"/>
      <w:bookmarkStart w:id="218" w:name="_Toc11004"/>
      <w:r>
        <w:t>附图</w:t>
      </w:r>
      <w:bookmarkEnd w:id="214"/>
      <w:bookmarkEnd w:id="215"/>
      <w:bookmarkEnd w:id="216"/>
      <w:bookmarkEnd w:id="217"/>
      <w:bookmarkEnd w:id="218"/>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附图1  区域水系与饮用水水源地分布图</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附图2  湘阴县</w:t>
      </w:r>
      <w:r>
        <w:rPr>
          <w:rFonts w:hint="eastAsia" w:ascii="Times New Roman" w:hAnsi="Times New Roman" w:eastAsia="宋体" w:cs="Times New Roman"/>
          <w:sz w:val="24"/>
          <w:szCs w:val="22"/>
          <w:lang w:eastAsia="zh-CN"/>
        </w:rPr>
        <w:t>石塘镇长仑水厂地下水</w:t>
      </w:r>
      <w:r>
        <w:rPr>
          <w:rFonts w:ascii="Times New Roman" w:hAnsi="Times New Roman" w:eastAsia="宋体" w:cs="Times New Roman"/>
          <w:sz w:val="24"/>
          <w:szCs w:val="22"/>
        </w:rPr>
        <w:t>饮用水源保护区划分结果图</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附图3  饮用水水源保护区污染源分布图</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附图4  饮用水水源保护区土地利用图</w:t>
      </w:r>
    </w:p>
    <w:p>
      <w:pPr>
        <w:adjustRightInd w:val="0"/>
        <w:snapToGrid w:val="0"/>
        <w:spacing w:line="360" w:lineRule="auto"/>
        <w:ind w:firstLine="480" w:firstLineChars="200"/>
        <w:rPr>
          <w:rFonts w:ascii="Times New Roman" w:hAnsi="Times New Roman" w:eastAsia="宋体" w:cs="Times New Roman"/>
          <w:sz w:val="24"/>
          <w:szCs w:val="22"/>
        </w:rPr>
      </w:pPr>
      <w:r>
        <w:rPr>
          <w:rFonts w:ascii="Times New Roman" w:hAnsi="Times New Roman" w:eastAsia="宋体" w:cs="Times New Roman"/>
          <w:sz w:val="24"/>
          <w:szCs w:val="22"/>
        </w:rPr>
        <w:t>附图5  饮用水水源水质监测断面分布图</w:t>
      </w:r>
    </w:p>
    <w:p>
      <w:pPr>
        <w:adjustRightInd w:val="0"/>
        <w:snapToGrid w:val="0"/>
        <w:spacing w:line="360" w:lineRule="auto"/>
        <w:ind w:left="1439" w:leftChars="228" w:hanging="960" w:hangingChars="400"/>
        <w:rPr>
          <w:rFonts w:hint="eastAsia" w:ascii="Times New Roman" w:hAnsi="Times New Roman" w:eastAsia="宋体" w:cs="Times New Roman"/>
          <w:sz w:val="24"/>
          <w:szCs w:val="22"/>
          <w:lang w:eastAsia="zh-CN"/>
        </w:rPr>
      </w:pPr>
      <w:r>
        <w:rPr>
          <w:rFonts w:ascii="Times New Roman" w:hAnsi="Times New Roman" w:eastAsia="宋体" w:cs="Times New Roman"/>
          <w:sz w:val="24"/>
          <w:szCs w:val="22"/>
        </w:rPr>
        <w:t>附图6  湘阴县</w:t>
      </w:r>
      <w:r>
        <w:rPr>
          <w:rFonts w:hint="eastAsia" w:ascii="Times New Roman" w:hAnsi="Times New Roman" w:eastAsia="宋体" w:cs="Times New Roman"/>
          <w:sz w:val="24"/>
          <w:szCs w:val="22"/>
          <w:lang w:eastAsia="zh-CN"/>
        </w:rPr>
        <w:t>石塘镇长仑水厂地下水</w:t>
      </w:r>
      <w:r>
        <w:rPr>
          <w:rFonts w:ascii="Times New Roman" w:hAnsi="Times New Roman" w:eastAsia="宋体" w:cs="Times New Roman"/>
          <w:sz w:val="24"/>
          <w:szCs w:val="22"/>
        </w:rPr>
        <w:t>饮用水源保护区标志设</w:t>
      </w:r>
      <w:r>
        <w:rPr>
          <w:rFonts w:hint="eastAsia" w:ascii="Times New Roman" w:hAnsi="Times New Roman" w:eastAsia="宋体" w:cs="Times New Roman"/>
          <w:sz w:val="24"/>
          <w:szCs w:val="22"/>
          <w:lang w:eastAsia="zh-CN"/>
        </w:rPr>
        <w:t>设置图</w:t>
      </w:r>
    </w:p>
    <w:p>
      <w:pPr>
        <w:adjustRightInd w:val="0"/>
        <w:snapToGrid w:val="0"/>
        <w:spacing w:line="360" w:lineRule="auto"/>
        <w:ind w:firstLine="480" w:firstLineChars="200"/>
        <w:jc w:val="left"/>
        <w:rPr>
          <w:rFonts w:ascii="Calibri" w:hAnsi="Calibri" w:eastAsia="宋体" w:cs="宋体"/>
          <w:sz w:val="24"/>
          <w:szCs w:val="22"/>
          <w:lang w:bidi="ar"/>
        </w:rPr>
      </w:pPr>
    </w:p>
    <w:sectPr>
      <w:pgSz w:w="11905" w:h="16838"/>
      <w:pgMar w:top="1134" w:right="1417" w:bottom="1134" w:left="1417" w:header="850" w:footer="992" w:gutter="0"/>
      <w:paperSrc/>
      <w:pgBorders>
        <w:top w:val="none" w:sz="0" w:space="0"/>
        <w:left w:val="none" w:sz="0" w:space="0"/>
        <w:bottom w:val="none" w:sz="0" w:space="0"/>
        <w:right w:val="none" w:sz="0" w:space="0"/>
      </w:pgBorders>
      <w:pgNumType w:fmt="decimal"/>
      <w:cols w:space="0" w:num="1"/>
      <w:rtlGutter w:val="0"/>
      <w:docGrid w:type="lines"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altName w:val="Calibri"/>
    <w:panose1 w:val="020F0302020204030204"/>
    <w:charset w:val="00"/>
    <w:family w:val="swiss"/>
    <w:pitch w:val="default"/>
    <w:sig w:usb0="00000000" w:usb1="00000000" w:usb2="00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Arial Narrow">
    <w:altName w:val="Arial"/>
    <w:panose1 w:val="020B0606020202030204"/>
    <w:charset w:val="00"/>
    <w:family w:val="swiss"/>
    <w:pitch w:val="default"/>
    <w:sig w:usb0="00000000" w:usb1="00000000" w:usb2="00000000" w:usb3="00000000" w:csb0="2000009F" w:csb1="DFD7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both"/>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both"/>
      <w:rPr>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both"/>
      <w:rPr>
        <w:sz w:val="21"/>
        <w:szCs w:val="21"/>
      </w:rPr>
    </w:pPr>
    <w:r>
      <w:rPr>
        <w:sz w:val="21"/>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Vs2AVAgAAEwQAAA4AAABkcnMvZTJvRG9jLnhtbK1TTY7TMBTeI3EH&#10;y3uatIiZqm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TVs2AVAgAAEwQAAA4AAAAAAAAA&#10;AQAgAAAAHwEAAGRycy9lMm9Eb2MueG1sUEsFBgAAAAAGAAYAWQEAAKYFAAAAAA==&#10;">
              <v:fill on="f" focussize="0,0"/>
              <v:stroke on="f" weight="0.5pt"/>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55F7F6D"/>
    <w:multiLevelType w:val="singleLevel"/>
    <w:tmpl w:val="B55F7F6D"/>
    <w:lvl w:ilvl="0" w:tentative="0">
      <w:start w:val="1"/>
      <w:numFmt w:val="decimal"/>
      <w:suff w:val="nothing"/>
      <w:lvlText w:val="%1、"/>
      <w:lvlJc w:val="left"/>
    </w:lvl>
  </w:abstractNum>
  <w:abstractNum w:abstractNumId="1">
    <w:nsid w:val="BA494403"/>
    <w:multiLevelType w:val="singleLevel"/>
    <w:tmpl w:val="BA494403"/>
    <w:lvl w:ilvl="0" w:tentative="0">
      <w:start w:val="1"/>
      <w:numFmt w:val="decimal"/>
      <w:suff w:val="nothing"/>
      <w:lvlText w:val="（%1）"/>
      <w:lvlJc w:val="left"/>
    </w:lvl>
  </w:abstractNum>
  <w:abstractNum w:abstractNumId="2">
    <w:nsid w:val="6CA41AC6"/>
    <w:multiLevelType w:val="multilevel"/>
    <w:tmpl w:val="6CA41AC6"/>
    <w:lvl w:ilvl="0" w:tentative="0">
      <w:start w:val="6"/>
      <w:numFmt w:val="decimal"/>
      <w:lvlText w:val="%1"/>
      <w:lvlJc w:val="left"/>
      <w:pPr>
        <w:ind w:left="405" w:hanging="405"/>
      </w:pPr>
      <w:rPr>
        <w:rFonts w:hint="default"/>
      </w:rPr>
    </w:lvl>
    <w:lvl w:ilvl="1" w:tentative="0">
      <w:start w:val="4"/>
      <w:numFmt w:val="decimal"/>
      <w:lvlText w:val="%1.%2"/>
      <w:lvlJc w:val="left"/>
      <w:pPr>
        <w:ind w:left="405" w:hanging="40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val="0"/>
  <w:bordersDoNotSurroundFooter w:val="0"/>
  <w:documentProtection w:enforcement="0"/>
  <w:defaultTabStop w:val="420"/>
  <w:drawingGridHorizontalSpacing w:val="210"/>
  <w:drawingGridVerticalSpacing w:val="158"/>
  <w:displayHorizontalDrawingGridEvery w:val="1"/>
  <w:displayVerticalDrawingGridEvery w:val="2"/>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5DC2520"/>
    <w:rsid w:val="000204D2"/>
    <w:rsid w:val="00051BF8"/>
    <w:rsid w:val="000E4788"/>
    <w:rsid w:val="000E731B"/>
    <w:rsid w:val="000E75A6"/>
    <w:rsid w:val="001A087E"/>
    <w:rsid w:val="001C77E5"/>
    <w:rsid w:val="002462F9"/>
    <w:rsid w:val="003C73A6"/>
    <w:rsid w:val="004A5EB5"/>
    <w:rsid w:val="00504BD9"/>
    <w:rsid w:val="005A56F1"/>
    <w:rsid w:val="006B0189"/>
    <w:rsid w:val="008C12BB"/>
    <w:rsid w:val="00B0014C"/>
    <w:rsid w:val="00B11B83"/>
    <w:rsid w:val="00B84A58"/>
    <w:rsid w:val="00B84D3D"/>
    <w:rsid w:val="00C90D61"/>
    <w:rsid w:val="00E376AB"/>
    <w:rsid w:val="00E65FDB"/>
    <w:rsid w:val="00EB265E"/>
    <w:rsid w:val="00F844CF"/>
    <w:rsid w:val="01EC2732"/>
    <w:rsid w:val="01FC428B"/>
    <w:rsid w:val="02C2771C"/>
    <w:rsid w:val="03361EA0"/>
    <w:rsid w:val="03C01E2C"/>
    <w:rsid w:val="03E477B9"/>
    <w:rsid w:val="04471762"/>
    <w:rsid w:val="04EE6527"/>
    <w:rsid w:val="074B34F7"/>
    <w:rsid w:val="09334185"/>
    <w:rsid w:val="09C4386A"/>
    <w:rsid w:val="0C774A1E"/>
    <w:rsid w:val="0D18025A"/>
    <w:rsid w:val="0D6F25E0"/>
    <w:rsid w:val="0DCA7827"/>
    <w:rsid w:val="0DD47B7B"/>
    <w:rsid w:val="0E100C79"/>
    <w:rsid w:val="0ECA79B0"/>
    <w:rsid w:val="0FB3110B"/>
    <w:rsid w:val="10371310"/>
    <w:rsid w:val="104F6395"/>
    <w:rsid w:val="10DC64F9"/>
    <w:rsid w:val="11202607"/>
    <w:rsid w:val="115E61D2"/>
    <w:rsid w:val="12056783"/>
    <w:rsid w:val="12914539"/>
    <w:rsid w:val="135336AE"/>
    <w:rsid w:val="14DA1493"/>
    <w:rsid w:val="15DA797B"/>
    <w:rsid w:val="15F50851"/>
    <w:rsid w:val="168F2A25"/>
    <w:rsid w:val="177F182D"/>
    <w:rsid w:val="19071809"/>
    <w:rsid w:val="19DA3FC6"/>
    <w:rsid w:val="1BAE6530"/>
    <w:rsid w:val="1C6D26D1"/>
    <w:rsid w:val="1EB80FB0"/>
    <w:rsid w:val="1FA51E44"/>
    <w:rsid w:val="208C194E"/>
    <w:rsid w:val="221B2526"/>
    <w:rsid w:val="228C7F74"/>
    <w:rsid w:val="229365E7"/>
    <w:rsid w:val="229E5E69"/>
    <w:rsid w:val="22CE7F0B"/>
    <w:rsid w:val="24AA75D9"/>
    <w:rsid w:val="24FA58B3"/>
    <w:rsid w:val="250D2063"/>
    <w:rsid w:val="2532105E"/>
    <w:rsid w:val="25C17DAC"/>
    <w:rsid w:val="288F18C3"/>
    <w:rsid w:val="2A796DAD"/>
    <w:rsid w:val="2BB777CE"/>
    <w:rsid w:val="2C626E04"/>
    <w:rsid w:val="2D153DAB"/>
    <w:rsid w:val="2DDD160E"/>
    <w:rsid w:val="2E42187E"/>
    <w:rsid w:val="2FCB63F5"/>
    <w:rsid w:val="32284A86"/>
    <w:rsid w:val="32814F59"/>
    <w:rsid w:val="3429526A"/>
    <w:rsid w:val="344A71E7"/>
    <w:rsid w:val="376C170B"/>
    <w:rsid w:val="39270778"/>
    <w:rsid w:val="394F1A5C"/>
    <w:rsid w:val="398F340D"/>
    <w:rsid w:val="3A1E626B"/>
    <w:rsid w:val="3B446D95"/>
    <w:rsid w:val="3B7D7A23"/>
    <w:rsid w:val="3E1B3E65"/>
    <w:rsid w:val="3E563F30"/>
    <w:rsid w:val="3E932CA0"/>
    <w:rsid w:val="3E955FAD"/>
    <w:rsid w:val="3E9A4B62"/>
    <w:rsid w:val="3EE01B8A"/>
    <w:rsid w:val="3F043669"/>
    <w:rsid w:val="3FF67C74"/>
    <w:rsid w:val="40F558BF"/>
    <w:rsid w:val="40F9521B"/>
    <w:rsid w:val="417C51E1"/>
    <w:rsid w:val="42E96641"/>
    <w:rsid w:val="4361077C"/>
    <w:rsid w:val="438A0F9A"/>
    <w:rsid w:val="45273182"/>
    <w:rsid w:val="472202C6"/>
    <w:rsid w:val="478F62B4"/>
    <w:rsid w:val="47C25900"/>
    <w:rsid w:val="49F12D77"/>
    <w:rsid w:val="4B00457C"/>
    <w:rsid w:val="4C400689"/>
    <w:rsid w:val="4D410A36"/>
    <w:rsid w:val="4D5758DE"/>
    <w:rsid w:val="4D9C715E"/>
    <w:rsid w:val="4EF21B71"/>
    <w:rsid w:val="4F683950"/>
    <w:rsid w:val="4F6E19A8"/>
    <w:rsid w:val="4FCA42ED"/>
    <w:rsid w:val="4FD0030D"/>
    <w:rsid w:val="50016CC4"/>
    <w:rsid w:val="50A06880"/>
    <w:rsid w:val="50FB167B"/>
    <w:rsid w:val="516E140D"/>
    <w:rsid w:val="519E0DD8"/>
    <w:rsid w:val="51B104D5"/>
    <w:rsid w:val="51FB5C60"/>
    <w:rsid w:val="521F5D9B"/>
    <w:rsid w:val="522709EE"/>
    <w:rsid w:val="54E129CC"/>
    <w:rsid w:val="557C4BBD"/>
    <w:rsid w:val="56962EF2"/>
    <w:rsid w:val="56DD7F3C"/>
    <w:rsid w:val="578D3431"/>
    <w:rsid w:val="57925A4A"/>
    <w:rsid w:val="59F74C51"/>
    <w:rsid w:val="5ACB65AF"/>
    <w:rsid w:val="5BBB1BB9"/>
    <w:rsid w:val="5C1C69CA"/>
    <w:rsid w:val="5C7308A0"/>
    <w:rsid w:val="5EBB7496"/>
    <w:rsid w:val="5F14364D"/>
    <w:rsid w:val="620A7D21"/>
    <w:rsid w:val="639B608B"/>
    <w:rsid w:val="63CC0E5A"/>
    <w:rsid w:val="65CD5293"/>
    <w:rsid w:val="65DC2520"/>
    <w:rsid w:val="66BA0587"/>
    <w:rsid w:val="6A8737F8"/>
    <w:rsid w:val="6B465CAD"/>
    <w:rsid w:val="6BE85AD6"/>
    <w:rsid w:val="6C0620F7"/>
    <w:rsid w:val="6C1B5395"/>
    <w:rsid w:val="6C2827B8"/>
    <w:rsid w:val="6E577598"/>
    <w:rsid w:val="6E676AA8"/>
    <w:rsid w:val="6F7426CF"/>
    <w:rsid w:val="6F9755F5"/>
    <w:rsid w:val="7008696D"/>
    <w:rsid w:val="702A658B"/>
    <w:rsid w:val="704F3E81"/>
    <w:rsid w:val="707014B2"/>
    <w:rsid w:val="70F804F6"/>
    <w:rsid w:val="719C1094"/>
    <w:rsid w:val="721C0593"/>
    <w:rsid w:val="7286168F"/>
    <w:rsid w:val="73903748"/>
    <w:rsid w:val="74225DAC"/>
    <w:rsid w:val="743D6EC5"/>
    <w:rsid w:val="74931ECC"/>
    <w:rsid w:val="74E740E0"/>
    <w:rsid w:val="75663551"/>
    <w:rsid w:val="75AE02B7"/>
    <w:rsid w:val="762969AA"/>
    <w:rsid w:val="76F72534"/>
    <w:rsid w:val="77E72D62"/>
    <w:rsid w:val="786679FF"/>
    <w:rsid w:val="78A30F4D"/>
    <w:rsid w:val="7AB80B77"/>
    <w:rsid w:val="7D445560"/>
    <w:rsid w:val="7DA25910"/>
    <w:rsid w:val="7DAB07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24"/>
    <w:qFormat/>
    <w:uiPriority w:val="0"/>
    <w:pPr>
      <w:keepNext/>
      <w:keepLines/>
      <w:spacing w:before="50" w:beforeLines="50" w:after="50" w:afterLines="50" w:line="500" w:lineRule="exact"/>
      <w:jc w:val="center"/>
      <w:outlineLvl w:val="0"/>
    </w:pPr>
    <w:rPr>
      <w:rFonts w:ascii="Times New Roman" w:hAnsi="Times New Roman" w:eastAsia="黑体" w:cs="Times New Roman"/>
      <w:kern w:val="44"/>
      <w:sz w:val="36"/>
      <w:szCs w:val="44"/>
    </w:rPr>
  </w:style>
  <w:style w:type="paragraph" w:styleId="4">
    <w:name w:val="heading 2"/>
    <w:basedOn w:val="1"/>
    <w:next w:val="1"/>
    <w:link w:val="23"/>
    <w:unhideWhenUsed/>
    <w:qFormat/>
    <w:uiPriority w:val="0"/>
    <w:pPr>
      <w:keepNext/>
      <w:keepLines/>
      <w:spacing w:before="50" w:beforeLines="50" w:after="50" w:afterLines="50" w:line="400" w:lineRule="exact"/>
      <w:outlineLvl w:val="1"/>
    </w:pPr>
    <w:rPr>
      <w:rFonts w:ascii="Arial" w:hAnsi="Arial" w:eastAsia="黑体" w:cs="Times New Roman"/>
      <w:sz w:val="32"/>
      <w:szCs w:val="32"/>
    </w:rPr>
  </w:style>
  <w:style w:type="paragraph" w:styleId="5">
    <w:name w:val="heading 3"/>
    <w:basedOn w:val="1"/>
    <w:next w:val="1"/>
    <w:link w:val="25"/>
    <w:unhideWhenUsed/>
    <w:qFormat/>
    <w:uiPriority w:val="0"/>
    <w:pPr>
      <w:keepNext/>
      <w:keepLines/>
      <w:adjustRightInd w:val="0"/>
      <w:snapToGrid w:val="0"/>
      <w:spacing w:before="50" w:beforeLines="50" w:after="50" w:afterLines="50" w:line="400" w:lineRule="exact"/>
      <w:outlineLvl w:val="2"/>
    </w:pPr>
    <w:rPr>
      <w:rFonts w:ascii="Times New Roman" w:hAnsi="Times New Roman" w:eastAsia="黑体" w:cs="Times New Roman"/>
      <w:sz w:val="30"/>
      <w:szCs w:val="32"/>
    </w:rPr>
  </w:style>
  <w:style w:type="paragraph" w:styleId="6">
    <w:name w:val="heading 4"/>
    <w:basedOn w:val="1"/>
    <w:next w:val="1"/>
    <w:unhideWhenUsed/>
    <w:qFormat/>
    <w:uiPriority w:val="0"/>
    <w:pPr>
      <w:keepNext/>
      <w:keepLines/>
      <w:spacing w:before="50" w:beforeLines="50" w:after="50" w:afterLines="50" w:line="400" w:lineRule="exact"/>
      <w:outlineLvl w:val="3"/>
    </w:pPr>
    <w:rPr>
      <w:rFonts w:eastAsia="黑体" w:asciiTheme="majorHAnsi" w:hAnsiTheme="majorHAnsi" w:cstheme="majorBidi"/>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2">
    <w:name w:val="Body Text 2"/>
    <w:basedOn w:val="1"/>
    <w:uiPriority w:val="0"/>
    <w:pPr>
      <w:spacing w:after="120" w:afterLines="0" w:afterAutospacing="0" w:line="480" w:lineRule="auto"/>
    </w:pPr>
  </w:style>
  <w:style w:type="paragraph" w:styleId="7">
    <w:name w:val="toc 7"/>
    <w:basedOn w:val="1"/>
    <w:next w:val="1"/>
    <w:qFormat/>
    <w:uiPriority w:val="0"/>
    <w:pPr>
      <w:ind w:left="2520" w:leftChars="1200"/>
    </w:pPr>
  </w:style>
  <w:style w:type="paragraph" w:styleId="8">
    <w:name w:val="toc 5"/>
    <w:basedOn w:val="1"/>
    <w:next w:val="1"/>
    <w:qFormat/>
    <w:uiPriority w:val="0"/>
    <w:pPr>
      <w:ind w:left="1680" w:leftChars="800"/>
    </w:pPr>
  </w:style>
  <w:style w:type="paragraph" w:styleId="9">
    <w:name w:val="toc 3"/>
    <w:basedOn w:val="1"/>
    <w:next w:val="1"/>
    <w:qFormat/>
    <w:uiPriority w:val="39"/>
    <w:pPr>
      <w:ind w:left="840" w:leftChars="400"/>
    </w:pPr>
  </w:style>
  <w:style w:type="paragraph" w:styleId="10">
    <w:name w:val="toc 8"/>
    <w:basedOn w:val="1"/>
    <w:next w:val="1"/>
    <w:qFormat/>
    <w:uiPriority w:val="0"/>
    <w:pPr>
      <w:ind w:left="2940" w:leftChars="1400"/>
    </w:pPr>
  </w:style>
  <w:style w:type="paragraph" w:styleId="11">
    <w:name w:val="Balloon Text"/>
    <w:basedOn w:val="1"/>
    <w:link w:val="26"/>
    <w:qFormat/>
    <w:uiPriority w:val="0"/>
    <w:rPr>
      <w:sz w:val="18"/>
      <w:szCs w:val="18"/>
    </w:rPr>
  </w:style>
  <w:style w:type="paragraph" w:styleId="12">
    <w:name w:val="footer"/>
    <w:basedOn w:val="1"/>
    <w:qFormat/>
    <w:uiPriority w:val="0"/>
    <w:pPr>
      <w:tabs>
        <w:tab w:val="center" w:pos="4153"/>
        <w:tab w:val="right" w:pos="8306"/>
      </w:tabs>
      <w:jc w:val="left"/>
    </w:pPr>
    <w:rPr>
      <w:sz w:val="18"/>
      <w:szCs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qFormat/>
    <w:uiPriority w:val="39"/>
  </w:style>
  <w:style w:type="paragraph" w:styleId="15">
    <w:name w:val="toc 4"/>
    <w:basedOn w:val="1"/>
    <w:next w:val="1"/>
    <w:qFormat/>
    <w:uiPriority w:val="39"/>
    <w:pPr>
      <w:ind w:left="1260" w:leftChars="600"/>
    </w:pPr>
  </w:style>
  <w:style w:type="paragraph" w:styleId="16">
    <w:name w:val="toc 6"/>
    <w:basedOn w:val="1"/>
    <w:next w:val="1"/>
    <w:qFormat/>
    <w:uiPriority w:val="0"/>
    <w:pPr>
      <w:ind w:left="2100" w:leftChars="1000"/>
    </w:pPr>
  </w:style>
  <w:style w:type="paragraph" w:styleId="17">
    <w:name w:val="toc 2"/>
    <w:basedOn w:val="1"/>
    <w:next w:val="1"/>
    <w:qFormat/>
    <w:uiPriority w:val="39"/>
    <w:pPr>
      <w:ind w:left="420" w:leftChars="200"/>
    </w:pPr>
  </w:style>
  <w:style w:type="paragraph" w:styleId="18">
    <w:name w:val="toc 9"/>
    <w:basedOn w:val="1"/>
    <w:next w:val="1"/>
    <w:qFormat/>
    <w:uiPriority w:val="0"/>
    <w:pPr>
      <w:ind w:left="3360" w:leftChars="1600"/>
    </w:pPr>
  </w:style>
  <w:style w:type="table" w:styleId="20">
    <w:name w:val="Table Grid"/>
    <w:basedOn w:val="1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Hyperlink"/>
    <w:basedOn w:val="21"/>
    <w:unhideWhenUsed/>
    <w:qFormat/>
    <w:uiPriority w:val="99"/>
    <w:rPr>
      <w:color w:val="0563C1" w:themeColor="hyperlink"/>
      <w:u w:val="single"/>
      <w14:textFill>
        <w14:solidFill>
          <w14:schemeClr w14:val="hlink"/>
        </w14:solidFill>
      </w14:textFill>
    </w:rPr>
  </w:style>
  <w:style w:type="character" w:customStyle="1" w:styleId="23">
    <w:name w:val="标题 2 Char"/>
    <w:basedOn w:val="21"/>
    <w:link w:val="4"/>
    <w:qFormat/>
    <w:uiPriority w:val="0"/>
    <w:rPr>
      <w:rFonts w:ascii="Arial" w:hAnsi="Arial" w:eastAsia="黑体"/>
      <w:kern w:val="2"/>
      <w:sz w:val="32"/>
      <w:szCs w:val="32"/>
    </w:rPr>
  </w:style>
  <w:style w:type="character" w:customStyle="1" w:styleId="24">
    <w:name w:val="标题 1 Char"/>
    <w:basedOn w:val="21"/>
    <w:link w:val="3"/>
    <w:qFormat/>
    <w:uiPriority w:val="0"/>
    <w:rPr>
      <w:rFonts w:eastAsia="黑体"/>
      <w:kern w:val="44"/>
      <w:sz w:val="36"/>
      <w:szCs w:val="44"/>
    </w:rPr>
  </w:style>
  <w:style w:type="character" w:customStyle="1" w:styleId="25">
    <w:name w:val="标题 3 Char"/>
    <w:basedOn w:val="21"/>
    <w:link w:val="5"/>
    <w:qFormat/>
    <w:uiPriority w:val="0"/>
    <w:rPr>
      <w:rFonts w:eastAsia="黑体"/>
      <w:kern w:val="2"/>
      <w:sz w:val="30"/>
      <w:szCs w:val="32"/>
    </w:rPr>
  </w:style>
  <w:style w:type="character" w:customStyle="1" w:styleId="26">
    <w:name w:val="批注框文本 Char"/>
    <w:basedOn w:val="21"/>
    <w:link w:val="11"/>
    <w:qFormat/>
    <w:uiPriority w:val="0"/>
    <w:rPr>
      <w:rFonts w:asciiTheme="minorHAnsi" w:hAnsiTheme="minorHAnsi" w:eastAsiaTheme="minorEastAsia" w:cstheme="minorBidi"/>
      <w:kern w:val="2"/>
      <w:sz w:val="18"/>
      <w:szCs w:val="18"/>
    </w:rPr>
  </w:style>
  <w:style w:type="paragraph" w:styleId="27">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customXml" Target="../customXml/item2.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69DE22-6214-48C6-821B-DE052B9A4B70}">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Pages>
  <Words>4284</Words>
  <Characters>24422</Characters>
  <Lines>203</Lines>
  <Paragraphs>57</Paragraphs>
  <TotalTime>4</TotalTime>
  <ScaleCrop>false</ScaleCrop>
  <LinksUpToDate>false</LinksUpToDate>
  <CharactersWithSpaces>28649</CharactersWithSpaces>
  <Application>WPS Office_11.1.0.9513_F1E327BC-269C-435d-A152-05C5408002CA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2016-06-07T07:15:00Z</dcterms:created>
  <dc:creator>Administrator</dc:creator>
  <cp:lastModifiedBy>记`忆</cp:lastModifiedBy>
  <cp:lastPrinted>2016-08-07T01:15:00Z</cp:lastPrinted>
  <dcterms:modified xsi:type="dcterms:W3CDTF">2020-03-07T02:54:49Z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