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480" w:lineRule="auto"/>
        <w:jc w:val="center"/>
        <w:rPr>
          <w:rFonts w:hint="default" w:ascii="Times New Roman" w:hAnsi="Times New Roman" w:cs="Times New Roman"/>
          <w:b/>
          <w:color w:val="auto"/>
          <w:sz w:val="72"/>
          <w:szCs w:val="72"/>
          <w:u w:val="none" w:color="auto"/>
        </w:rPr>
      </w:pPr>
    </w:p>
    <w:p>
      <w:pPr>
        <w:spacing w:before="156" w:beforeLines="50" w:line="480" w:lineRule="auto"/>
        <w:jc w:val="center"/>
        <w:rPr>
          <w:rFonts w:hint="default" w:ascii="Times New Roman" w:hAnsi="Times New Roman" w:cs="Times New Roman"/>
          <w:b/>
          <w:color w:val="auto"/>
          <w:sz w:val="72"/>
          <w:szCs w:val="72"/>
          <w:u w:val="none" w:color="auto"/>
        </w:rPr>
      </w:pPr>
      <w:r>
        <w:rPr>
          <w:rFonts w:hint="default" w:ascii="Times New Roman" w:hAnsi="Times New Roman" w:cs="Times New Roman"/>
          <w:b/>
          <w:color w:val="auto"/>
          <w:sz w:val="72"/>
          <w:szCs w:val="72"/>
          <w:u w:val="none" w:color="auto"/>
        </w:rPr>
        <w:t>建设项目环境影响报告表</w:t>
      </w:r>
    </w:p>
    <w:p>
      <w:pPr>
        <w:rPr>
          <w:rFonts w:hint="default" w:ascii="Times New Roman" w:hAnsi="Times New Roman" w:cs="Times New Roman"/>
          <w:color w:val="auto"/>
          <w:sz w:val="44"/>
          <w:szCs w:val="44"/>
          <w:u w:val="none" w:color="auto"/>
        </w:rPr>
      </w:pPr>
    </w:p>
    <w:p>
      <w:pPr>
        <w:jc w:val="center"/>
        <w:rPr>
          <w:rFonts w:hint="default" w:ascii="Times New Roman" w:hAnsi="Times New Roman" w:eastAsia="宋体" w:cs="Times New Roman"/>
          <w:color w:val="auto"/>
          <w:sz w:val="32"/>
          <w:szCs w:val="32"/>
          <w:u w:val="none" w:color="auto"/>
          <w:lang w:eastAsia="zh-CN"/>
        </w:rPr>
      </w:pPr>
      <w:r>
        <w:rPr>
          <w:rFonts w:hint="default" w:ascii="Times New Roman" w:hAnsi="Times New Roman" w:cs="Times New Roman"/>
          <w:color w:val="auto"/>
          <w:sz w:val="32"/>
          <w:szCs w:val="32"/>
          <w:u w:val="none" w:color="auto"/>
          <w:lang w:eastAsia="zh-CN"/>
        </w:rPr>
        <w:t>（</w:t>
      </w:r>
      <w:r>
        <w:rPr>
          <w:rFonts w:hint="eastAsia" w:cs="Times New Roman"/>
          <w:color w:val="auto"/>
          <w:sz w:val="32"/>
          <w:szCs w:val="32"/>
          <w:u w:val="none" w:color="auto"/>
          <w:lang w:val="en-US" w:eastAsia="zh-CN"/>
        </w:rPr>
        <w:t>报批</w:t>
      </w:r>
      <w:r>
        <w:rPr>
          <w:rFonts w:hint="default" w:ascii="Times New Roman" w:hAnsi="Times New Roman" w:cs="Times New Roman"/>
          <w:color w:val="auto"/>
          <w:sz w:val="32"/>
          <w:szCs w:val="32"/>
          <w:u w:val="none" w:color="auto"/>
          <w:lang w:eastAsia="zh-CN"/>
        </w:rPr>
        <w:t>稿）</w:t>
      </w: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adjustRightInd w:val="0"/>
        <w:spacing w:line="720" w:lineRule="auto"/>
        <w:ind w:firstLine="1272" w:firstLineChars="396"/>
        <w:rPr>
          <w:rFonts w:hint="default" w:ascii="Times New Roman" w:hAnsi="Times New Roman" w:cs="Times New Roman"/>
          <w:b/>
          <w:bCs w:val="0"/>
          <w:color w:val="auto"/>
          <w:sz w:val="32"/>
          <w:szCs w:val="32"/>
          <w:u w:val="single" w:color="auto"/>
        </w:rPr>
      </w:pPr>
      <w:r>
        <w:rPr>
          <w:rFonts w:hint="default" w:ascii="Times New Roman" w:hAnsi="Times New Roman" w:cs="Times New Roman"/>
          <w:b/>
          <w:bCs w:val="0"/>
          <w:color w:val="auto"/>
          <w:sz w:val="32"/>
          <w:u w:val="single" w:color="auto"/>
        </w:rPr>
        <w:t xml:space="preserve">项目名称：  </w:t>
      </w:r>
      <w:r>
        <w:rPr>
          <w:rFonts w:hint="eastAsia" w:cs="Times New Roman"/>
          <w:b/>
          <w:bCs w:val="0"/>
          <w:color w:val="auto"/>
          <w:spacing w:val="-8"/>
          <w:sz w:val="32"/>
          <w:u w:val="single" w:color="auto"/>
          <w:lang w:eastAsia="zh-CN"/>
        </w:rPr>
        <w:t>年产45万个硅胶制品建设项目</w:t>
      </w:r>
      <w:r>
        <w:rPr>
          <w:rFonts w:hint="default" w:ascii="Times New Roman" w:hAnsi="Times New Roman" w:cs="Times New Roman"/>
          <w:b/>
          <w:bCs w:val="0"/>
          <w:color w:val="auto"/>
          <w:sz w:val="32"/>
          <w:szCs w:val="32"/>
          <w:u w:val="single" w:color="auto"/>
        </w:rPr>
        <w:t xml:space="preserve">  </w:t>
      </w:r>
    </w:p>
    <w:p>
      <w:pPr>
        <w:adjustRightInd w:val="0"/>
        <w:spacing w:line="360" w:lineRule="auto"/>
        <w:ind w:firstLine="630" w:firstLineChars="196"/>
        <w:rPr>
          <w:rFonts w:hint="default" w:ascii="Times New Roman" w:hAnsi="Times New Roman" w:cs="Times New Roman"/>
          <w:b/>
          <w:bCs w:val="0"/>
          <w:color w:val="auto"/>
          <w:sz w:val="32"/>
          <w:u w:val="single" w:color="auto"/>
        </w:rPr>
      </w:pPr>
    </w:p>
    <w:p>
      <w:pPr>
        <w:adjustRightInd w:val="0"/>
        <w:spacing w:line="360" w:lineRule="auto"/>
        <w:rPr>
          <w:rFonts w:hint="default" w:ascii="Times New Roman" w:hAnsi="Times New Roman" w:cs="Times New Roman"/>
          <w:b/>
          <w:bCs w:val="0"/>
          <w:color w:val="auto"/>
          <w:sz w:val="32"/>
          <w:u w:val="single" w:color="auto"/>
        </w:rPr>
      </w:pPr>
      <w:r>
        <w:rPr>
          <w:rFonts w:hint="default" w:ascii="Times New Roman" w:hAnsi="Times New Roman" w:cs="Times New Roman"/>
          <w:b/>
          <w:bCs w:val="0"/>
          <w:color w:val="auto"/>
          <w:sz w:val="32"/>
          <w:u w:val="single" w:color="auto"/>
        </w:rPr>
        <w:t>建设单位：</w:t>
      </w:r>
      <w:r>
        <w:rPr>
          <w:rFonts w:hint="eastAsia" w:cs="Times New Roman"/>
          <w:b/>
          <w:bCs w:val="0"/>
          <w:color w:val="auto"/>
          <w:spacing w:val="-8"/>
          <w:sz w:val="32"/>
          <w:u w:val="single" w:color="auto"/>
          <w:lang w:val="en-US" w:eastAsia="zh-CN"/>
        </w:rPr>
        <w:t xml:space="preserve">      </w:t>
      </w:r>
      <w:r>
        <w:rPr>
          <w:rFonts w:hint="eastAsia" w:cs="Times New Roman"/>
          <w:b/>
          <w:bCs w:val="0"/>
          <w:color w:val="auto"/>
          <w:sz w:val="32"/>
          <w:szCs w:val="22"/>
          <w:u w:val="single" w:color="auto"/>
          <w:lang w:eastAsia="zh-CN"/>
        </w:rPr>
        <w:t>湖南康每达新材料科技有限公司</w:t>
      </w:r>
      <w:r>
        <w:rPr>
          <w:rFonts w:hint="eastAsia" w:ascii="Times New Roman" w:hAnsi="Times New Roman" w:cs="Times New Roman"/>
          <w:b/>
          <w:bCs w:val="0"/>
          <w:color w:val="auto"/>
          <w:sz w:val="32"/>
          <w:szCs w:val="22"/>
          <w:u w:val="single" w:color="auto"/>
          <w:lang w:val="en-US" w:eastAsia="zh-CN"/>
        </w:rPr>
        <w:t xml:space="preserve">  </w:t>
      </w:r>
      <w:r>
        <w:rPr>
          <w:rFonts w:hint="default" w:ascii="Times New Roman" w:hAnsi="Times New Roman" w:cs="Times New Roman"/>
          <w:b/>
          <w:bCs w:val="0"/>
          <w:color w:val="auto"/>
          <w:spacing w:val="-8"/>
          <w:sz w:val="32"/>
          <w:u w:val="single" w:color="auto"/>
        </w:rPr>
        <w:t>（盖章）</w:t>
      </w: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rPr>
          <w:rFonts w:hint="default" w:ascii="Times New Roman" w:hAnsi="Times New Roman" w:cs="Times New Roman"/>
          <w:color w:val="auto"/>
          <w:sz w:val="44"/>
          <w:szCs w:val="44"/>
          <w:u w:val="none" w:color="auto"/>
        </w:rPr>
      </w:pPr>
    </w:p>
    <w:p>
      <w:pPr>
        <w:bidi w:val="0"/>
        <w:jc w:val="center"/>
        <w:rPr>
          <w:rFonts w:hint="eastAsia" w:eastAsia="宋体"/>
          <w:b/>
          <w:bCs/>
          <w:sz w:val="32"/>
          <w:szCs w:val="28"/>
          <w:u w:val="none" w:color="auto"/>
          <w:lang w:val="en-US" w:eastAsia="zh-CN"/>
        </w:rPr>
      </w:pPr>
      <w:r>
        <w:rPr>
          <w:rFonts w:hint="eastAsia"/>
          <w:b/>
          <w:bCs/>
          <w:sz w:val="32"/>
          <w:szCs w:val="28"/>
          <w:u w:val="none" w:color="auto"/>
          <w:lang w:val="en-US" w:eastAsia="zh-CN"/>
        </w:rPr>
        <w:t xml:space="preserve"> 河南金环环境影响评价有限公司</w:t>
      </w:r>
    </w:p>
    <w:p>
      <w:pPr>
        <w:spacing w:before="240" w:beforeLines="100" w:after="240" w:afterLines="100"/>
        <w:jc w:val="center"/>
        <w:rPr>
          <w:b/>
          <w:bCs/>
          <w:sz w:val="36"/>
          <w:szCs w:val="24"/>
          <w:u w:val="none" w:color="auto"/>
        </w:rPr>
      </w:pPr>
      <w:r>
        <w:rPr>
          <w:rFonts w:hint="eastAsia" w:ascii="Times New Roman" w:hAnsi="Times New Roman" w:cs="Times New Roman"/>
          <w:b/>
          <w:bCs/>
          <w:color w:val="auto"/>
          <w:sz w:val="30"/>
          <w:szCs w:val="30"/>
          <w:u w:val="none" w:color="auto"/>
          <w:lang w:val="en-US" w:eastAsia="zh-CN"/>
        </w:rPr>
        <w:t xml:space="preserve">  </w:t>
      </w:r>
      <w:r>
        <w:rPr>
          <w:rFonts w:hint="default" w:ascii="Times New Roman" w:hAnsi="Times New Roman" w:cs="Times New Roman"/>
          <w:b/>
          <w:bCs/>
          <w:color w:val="auto"/>
          <w:sz w:val="30"/>
          <w:szCs w:val="30"/>
          <w:u w:val="none" w:color="auto"/>
        </w:rPr>
        <w:t>日期：20</w:t>
      </w:r>
      <w:r>
        <w:rPr>
          <w:rFonts w:hint="eastAsia" w:cs="Times New Roman"/>
          <w:b/>
          <w:bCs/>
          <w:color w:val="auto"/>
          <w:sz w:val="30"/>
          <w:szCs w:val="30"/>
          <w:u w:val="none" w:color="auto"/>
          <w:lang w:val="en-US" w:eastAsia="zh-CN"/>
        </w:rPr>
        <w:t>20</w:t>
      </w:r>
      <w:r>
        <w:rPr>
          <w:rFonts w:hint="default" w:ascii="Times New Roman" w:hAnsi="Times New Roman" w:cs="Times New Roman"/>
          <w:b/>
          <w:bCs/>
          <w:color w:val="auto"/>
          <w:sz w:val="30"/>
          <w:szCs w:val="30"/>
          <w:u w:val="none" w:color="auto"/>
        </w:rPr>
        <w:t>年</w:t>
      </w:r>
      <w:r>
        <w:rPr>
          <w:rFonts w:hint="eastAsia" w:cs="Times New Roman"/>
          <w:b/>
          <w:bCs/>
          <w:color w:val="auto"/>
          <w:sz w:val="30"/>
          <w:szCs w:val="30"/>
          <w:u w:val="none" w:color="auto"/>
          <w:lang w:val="en-US" w:eastAsia="zh-CN"/>
        </w:rPr>
        <w:t>8</w:t>
      </w:r>
      <w:r>
        <w:rPr>
          <w:rFonts w:hint="default" w:ascii="Times New Roman" w:hAnsi="Times New Roman" w:cs="Times New Roman"/>
          <w:b/>
          <w:bCs/>
          <w:color w:val="auto"/>
          <w:sz w:val="30"/>
          <w:szCs w:val="30"/>
          <w:u w:val="none" w:color="auto"/>
        </w:rPr>
        <w:t>月</w:t>
      </w:r>
    </w:p>
    <w:p>
      <w:pPr>
        <w:spacing w:before="240" w:beforeLines="100" w:after="240" w:afterLines="100" w:line="360" w:lineRule="auto"/>
        <w:jc w:val="center"/>
        <w:rPr>
          <w:b/>
          <w:bCs/>
          <w:sz w:val="36"/>
          <w:szCs w:val="24"/>
          <w:u w:val="none" w:color="auto"/>
        </w:rPr>
      </w:pPr>
    </w:p>
    <w:p>
      <w:pPr>
        <w:spacing w:before="240" w:beforeLines="100" w:after="240" w:afterLines="100" w:line="360" w:lineRule="auto"/>
        <w:jc w:val="center"/>
        <w:rPr>
          <w:rFonts w:hint="eastAsia"/>
          <w:b/>
          <w:bCs/>
          <w:sz w:val="36"/>
          <w:szCs w:val="24"/>
          <w:u w:val="none" w:color="auto"/>
          <w:lang w:val="en-US" w:eastAsia="zh-CN"/>
        </w:rPr>
      </w:pPr>
      <w:r>
        <w:rPr>
          <w:rFonts w:hint="eastAsia"/>
          <w:b/>
          <w:bCs/>
          <w:sz w:val="36"/>
          <w:szCs w:val="24"/>
          <w:u w:val="none" w:color="auto"/>
          <w:lang w:val="en-US" w:eastAsia="zh-CN"/>
        </w:rPr>
        <w:t>专家意见修改清单</w:t>
      </w:r>
    </w:p>
    <w:tbl>
      <w:tblPr>
        <w:tblStyle w:val="41"/>
        <w:tblW w:w="9037" w:type="dxa"/>
        <w:tblInd w:w="-12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5250"/>
        <w:gridCol w:w="28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75"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5250"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专家意见</w:t>
            </w:r>
          </w:p>
        </w:tc>
        <w:tc>
          <w:tcPr>
            <w:tcW w:w="2812"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修改情况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975"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5250" w:type="dxa"/>
            <w:tcBorders>
              <w:tl2br w:val="nil"/>
              <w:tr2bl w:val="nil"/>
            </w:tcBorders>
            <w:vAlign w:val="center"/>
          </w:tcPr>
          <w:p>
            <w:pPr>
              <w:numPr>
                <w:ilvl w:val="0"/>
                <w:numId w:val="0"/>
              </w:numPr>
              <w:tabs>
                <w:tab w:val="left" w:pos="993"/>
              </w:tabs>
              <w:spacing w:line="360" w:lineRule="auto"/>
              <w:jc w:val="both"/>
              <w:rPr>
                <w:rFonts w:hint="default"/>
                <w:b w:val="0"/>
                <w:bCs w:val="0"/>
                <w:sz w:val="24"/>
                <w:szCs w:val="24"/>
                <w:vertAlign w:val="baseline"/>
                <w:lang w:val="en-US" w:eastAsia="zh-CN"/>
              </w:rPr>
            </w:pPr>
            <w:r>
              <w:rPr>
                <w:rFonts w:hint="eastAsia" w:ascii="宋体"/>
                <w:b w:val="0"/>
                <w:bCs w:val="0"/>
                <w:sz w:val="24"/>
                <w:szCs w:val="24"/>
              </w:rPr>
              <w:t>完善项目硅胶、交联剂等主要原辅材料成分及其理化性质；明确各原料形态、储存方式和最大储存量；</w:t>
            </w:r>
            <w:r>
              <w:rPr>
                <w:rFonts w:hint="eastAsia"/>
                <w:b w:val="0"/>
                <w:bCs w:val="0"/>
                <w:sz w:val="24"/>
                <w:szCs w:val="24"/>
              </w:rPr>
              <w:t>提出使用水性油墨的建议。</w:t>
            </w:r>
          </w:p>
        </w:tc>
        <w:tc>
          <w:tcPr>
            <w:tcW w:w="2812"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已完善，具体详见P5-6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75"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5250" w:type="dxa"/>
            <w:tcBorders>
              <w:tl2br w:val="nil"/>
              <w:tr2bl w:val="nil"/>
            </w:tcBorders>
            <w:vAlign w:val="center"/>
          </w:tcPr>
          <w:p>
            <w:pPr>
              <w:numPr>
                <w:ilvl w:val="0"/>
                <w:numId w:val="0"/>
              </w:numPr>
              <w:tabs>
                <w:tab w:val="left" w:pos="993"/>
              </w:tabs>
              <w:spacing w:line="360" w:lineRule="auto"/>
              <w:jc w:val="both"/>
              <w:rPr>
                <w:rFonts w:hint="default"/>
                <w:b w:val="0"/>
                <w:bCs w:val="0"/>
                <w:sz w:val="24"/>
                <w:szCs w:val="24"/>
                <w:vertAlign w:val="baseline"/>
                <w:lang w:val="en-US" w:eastAsia="zh-CN"/>
              </w:rPr>
            </w:pPr>
            <w:r>
              <w:rPr>
                <w:rFonts w:hint="eastAsia"/>
                <w:b w:val="0"/>
                <w:bCs w:val="0"/>
                <w:sz w:val="24"/>
                <w:szCs w:val="24"/>
              </w:rPr>
              <w:t>细化项目产品方案，完善项目设备规格型号及其与产业政策的符合性。</w:t>
            </w:r>
          </w:p>
        </w:tc>
        <w:tc>
          <w:tcPr>
            <w:tcW w:w="2812"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已细化且完善，具体详见P4-5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975"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5250" w:type="dxa"/>
            <w:tcBorders>
              <w:tl2br w:val="nil"/>
              <w:tr2bl w:val="nil"/>
            </w:tcBorders>
            <w:vAlign w:val="center"/>
          </w:tcPr>
          <w:p>
            <w:pPr>
              <w:numPr>
                <w:ilvl w:val="0"/>
                <w:numId w:val="0"/>
              </w:numPr>
              <w:tabs>
                <w:tab w:val="left" w:pos="993"/>
              </w:tabs>
              <w:spacing w:line="360" w:lineRule="auto"/>
              <w:jc w:val="center"/>
              <w:rPr>
                <w:rFonts w:hint="default"/>
                <w:b w:val="0"/>
                <w:bCs w:val="0"/>
                <w:sz w:val="24"/>
                <w:szCs w:val="24"/>
                <w:vertAlign w:val="baseline"/>
                <w:lang w:val="en-US" w:eastAsia="zh-CN"/>
              </w:rPr>
            </w:pPr>
            <w:r>
              <w:rPr>
                <w:rFonts w:hint="eastAsia"/>
                <w:b w:val="0"/>
                <w:bCs w:val="0"/>
                <w:sz w:val="24"/>
                <w:szCs w:val="24"/>
              </w:rPr>
              <w:t>完善项目工艺说明，根据项目主要原料性质校核项目废气污染源强，校核项目废气排放标准。</w:t>
            </w:r>
          </w:p>
        </w:tc>
        <w:tc>
          <w:tcPr>
            <w:tcW w:w="2812"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已核实且完善，具体详见P23-24、P25-26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975"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5250" w:type="dxa"/>
            <w:tcBorders>
              <w:tl2br w:val="nil"/>
              <w:tr2bl w:val="nil"/>
            </w:tcBorders>
            <w:vAlign w:val="center"/>
          </w:tcPr>
          <w:p>
            <w:pPr>
              <w:numPr>
                <w:ilvl w:val="0"/>
                <w:numId w:val="0"/>
              </w:numPr>
              <w:tabs>
                <w:tab w:val="left" w:pos="993"/>
              </w:tabs>
              <w:spacing w:line="360" w:lineRule="auto"/>
              <w:jc w:val="both"/>
              <w:rPr>
                <w:rFonts w:hint="default"/>
                <w:b w:val="0"/>
                <w:bCs w:val="0"/>
                <w:sz w:val="24"/>
                <w:szCs w:val="24"/>
                <w:vertAlign w:val="baseline"/>
                <w:lang w:val="en-US" w:eastAsia="zh-CN"/>
              </w:rPr>
            </w:pPr>
            <w:r>
              <w:rPr>
                <w:rFonts w:hint="eastAsia"/>
                <w:b w:val="0"/>
                <w:bCs w:val="0"/>
                <w:sz w:val="24"/>
                <w:szCs w:val="24"/>
              </w:rPr>
              <w:t>明确项目冷却水使用位置，核实项目用排水量及水平衡；根据园区污水管网及污水处理设施建设运行情况，强化项目依托相关污水处理设施的可行性分析，完善尾水排放途径。</w:t>
            </w:r>
          </w:p>
        </w:tc>
        <w:tc>
          <w:tcPr>
            <w:tcW w:w="2812"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已核实且完善，具体详见P25、6-7、33-35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975"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5250" w:type="dxa"/>
            <w:tcBorders>
              <w:tl2br w:val="nil"/>
              <w:tr2bl w:val="nil"/>
            </w:tcBorders>
            <w:vAlign w:val="center"/>
          </w:tcPr>
          <w:p>
            <w:pPr>
              <w:bidi w:val="0"/>
              <w:spacing w:line="360" w:lineRule="auto"/>
              <w:jc w:val="both"/>
              <w:rPr>
                <w:rFonts w:hint="default"/>
                <w:b w:val="0"/>
                <w:bCs w:val="0"/>
                <w:sz w:val="24"/>
                <w:szCs w:val="24"/>
                <w:vertAlign w:val="baseline"/>
                <w:lang w:val="en-US" w:eastAsia="zh-CN"/>
              </w:rPr>
            </w:pPr>
            <w:r>
              <w:rPr>
                <w:rFonts w:hint="eastAsia" w:ascii="宋体"/>
                <w:b w:val="0"/>
                <w:bCs w:val="0"/>
                <w:sz w:val="24"/>
                <w:szCs w:val="24"/>
              </w:rPr>
              <w:t>完善项目与园区规划及规划环评批复的符合性分析；</w:t>
            </w:r>
            <w:r>
              <w:rPr>
                <w:rFonts w:hint="eastAsia"/>
                <w:b w:val="0"/>
                <w:bCs w:val="0"/>
                <w:sz w:val="24"/>
                <w:szCs w:val="24"/>
              </w:rPr>
              <w:t>补充入园协议等相关附件</w:t>
            </w:r>
          </w:p>
        </w:tc>
        <w:tc>
          <w:tcPr>
            <w:tcW w:w="2812" w:type="dxa"/>
            <w:tcBorders>
              <w:tl2br w:val="nil"/>
              <w:tr2bl w:val="nil"/>
            </w:tcBorders>
            <w:vAlign w:val="center"/>
          </w:tcPr>
          <w:p>
            <w:pPr>
              <w:bidi w:val="0"/>
              <w:spacing w:line="360" w:lineRule="auto"/>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已完善且补充，具体详见P46，附件6、附件7</w:t>
            </w:r>
          </w:p>
        </w:tc>
      </w:tr>
    </w:tbl>
    <w:p>
      <w:pPr>
        <w:bidi w:val="0"/>
        <w:rPr>
          <w:rFonts w:hint="default"/>
          <w:lang w:val="en-US" w:eastAsia="zh-CN"/>
        </w:rPr>
      </w:pPr>
    </w:p>
    <w:p>
      <w:pPr>
        <w:spacing w:before="240" w:beforeLines="100" w:after="240" w:afterLines="100" w:line="360" w:lineRule="auto"/>
        <w:jc w:val="center"/>
        <w:rPr>
          <w:b/>
          <w:bCs/>
          <w:sz w:val="36"/>
          <w:szCs w:val="24"/>
          <w:u w:val="none" w:color="auto"/>
        </w:rPr>
      </w:pPr>
    </w:p>
    <w:p>
      <w:pPr>
        <w:spacing w:before="240" w:beforeLines="100" w:after="240" w:afterLines="100" w:line="360" w:lineRule="auto"/>
        <w:jc w:val="center"/>
        <w:rPr>
          <w:b/>
          <w:bCs/>
          <w:sz w:val="36"/>
          <w:szCs w:val="24"/>
          <w:u w:val="none" w:color="auto"/>
        </w:rPr>
      </w:pPr>
    </w:p>
    <w:p>
      <w:pPr>
        <w:spacing w:before="240" w:beforeLines="100" w:after="240" w:afterLines="100" w:line="360" w:lineRule="auto"/>
        <w:jc w:val="center"/>
        <w:rPr>
          <w:b/>
          <w:bCs/>
          <w:sz w:val="36"/>
          <w:szCs w:val="24"/>
          <w:u w:val="none" w:color="auto"/>
        </w:rPr>
      </w:pPr>
    </w:p>
    <w:p>
      <w:pPr>
        <w:spacing w:before="240" w:beforeLines="100" w:after="240" w:afterLines="100" w:line="360" w:lineRule="auto"/>
        <w:jc w:val="center"/>
        <w:rPr>
          <w:b/>
          <w:bCs/>
          <w:sz w:val="36"/>
          <w:szCs w:val="24"/>
          <w:u w:val="none" w:color="auto"/>
        </w:rPr>
      </w:pPr>
    </w:p>
    <w:p>
      <w:pPr>
        <w:spacing w:before="240" w:beforeLines="100" w:after="240" w:afterLines="100" w:line="360" w:lineRule="auto"/>
        <w:jc w:val="center"/>
        <w:rPr>
          <w:b/>
          <w:bCs/>
          <w:sz w:val="36"/>
          <w:szCs w:val="24"/>
          <w:u w:val="none" w:color="auto"/>
        </w:rPr>
      </w:pPr>
    </w:p>
    <w:p>
      <w:pPr>
        <w:spacing w:before="240" w:beforeLines="100" w:after="240" w:afterLines="100" w:line="360" w:lineRule="auto"/>
        <w:jc w:val="center"/>
        <w:rPr>
          <w:b/>
          <w:bCs/>
          <w:sz w:val="36"/>
          <w:szCs w:val="24"/>
          <w:u w:val="none" w:color="auto"/>
        </w:rPr>
      </w:pPr>
      <w:r>
        <w:rPr>
          <w:b/>
          <w:bCs/>
          <w:sz w:val="36"/>
          <w:szCs w:val="24"/>
          <w:u w:val="none" w:color="auto"/>
        </w:rPr>
        <w:t>《建设项目环境影响报告表》编制说明</w:t>
      </w:r>
    </w:p>
    <w:p>
      <w:pPr>
        <w:spacing w:line="360" w:lineRule="auto"/>
        <w:ind w:right="-29" w:rightChars="-14" w:firstLine="560" w:firstLineChars="200"/>
        <w:rPr>
          <w:sz w:val="28"/>
          <w:szCs w:val="28"/>
          <w:u w:val="none" w:color="auto"/>
        </w:rPr>
      </w:pPr>
      <w:r>
        <w:rPr>
          <w:sz w:val="28"/>
          <w:szCs w:val="28"/>
          <w:u w:val="none" w:color="auto"/>
        </w:rPr>
        <w:t>《建设项目环境影响报告表》由具有从事环境影响评价工作资质的单位编制。</w:t>
      </w:r>
    </w:p>
    <w:p>
      <w:pPr>
        <w:spacing w:line="360" w:lineRule="auto"/>
        <w:ind w:right="-29" w:rightChars="-14" w:firstLine="560" w:firstLineChars="200"/>
        <w:rPr>
          <w:sz w:val="28"/>
          <w:szCs w:val="28"/>
          <w:u w:val="none" w:color="auto"/>
        </w:rPr>
      </w:pPr>
      <w:r>
        <w:rPr>
          <w:sz w:val="28"/>
          <w:szCs w:val="28"/>
          <w:u w:val="none" w:color="auto"/>
        </w:rPr>
        <w:t>1.项目名称——指项目立项批复时的名称，应不超过30个字（两个英文字段作一个汉字）。</w:t>
      </w:r>
    </w:p>
    <w:p>
      <w:pPr>
        <w:spacing w:line="360" w:lineRule="auto"/>
        <w:ind w:right="-29" w:rightChars="-14" w:firstLine="560" w:firstLineChars="200"/>
        <w:rPr>
          <w:sz w:val="28"/>
          <w:szCs w:val="28"/>
          <w:u w:val="none" w:color="auto"/>
        </w:rPr>
      </w:pPr>
      <w:r>
        <w:rPr>
          <w:sz w:val="28"/>
          <w:szCs w:val="28"/>
          <w:u w:val="none" w:color="auto"/>
        </w:rPr>
        <w:t>2.建设地点——指项目所在地详细地址，公路、铁路应填写起止地点。</w:t>
      </w:r>
    </w:p>
    <w:p>
      <w:pPr>
        <w:tabs>
          <w:tab w:val="center" w:pos="4167"/>
        </w:tabs>
        <w:spacing w:line="360" w:lineRule="auto"/>
        <w:ind w:right="-29" w:rightChars="-14" w:firstLine="560" w:firstLineChars="200"/>
        <w:rPr>
          <w:sz w:val="28"/>
          <w:szCs w:val="28"/>
          <w:u w:val="none" w:color="auto"/>
        </w:rPr>
      </w:pPr>
      <w:r>
        <w:rPr>
          <w:sz w:val="28"/>
          <w:szCs w:val="28"/>
          <w:u w:val="none" w:color="auto"/>
        </w:rPr>
        <w:t>3.行业类别——按国标填写。</w:t>
      </w:r>
      <w:r>
        <w:rPr>
          <w:rFonts w:hint="eastAsia"/>
          <w:sz w:val="28"/>
          <w:szCs w:val="28"/>
          <w:u w:val="none" w:color="auto"/>
        </w:rPr>
        <w:tab/>
      </w:r>
    </w:p>
    <w:p>
      <w:pPr>
        <w:spacing w:line="360" w:lineRule="auto"/>
        <w:ind w:right="-29" w:rightChars="-14" w:firstLine="560" w:firstLineChars="200"/>
        <w:rPr>
          <w:sz w:val="28"/>
          <w:szCs w:val="28"/>
          <w:u w:val="none" w:color="auto"/>
        </w:rPr>
      </w:pPr>
      <w:r>
        <w:rPr>
          <w:sz w:val="28"/>
          <w:szCs w:val="28"/>
          <w:u w:val="none" w:color="auto"/>
        </w:rPr>
        <w:t>4.总投资——指项目投资总额。</w:t>
      </w:r>
    </w:p>
    <w:p>
      <w:pPr>
        <w:spacing w:line="360" w:lineRule="auto"/>
        <w:ind w:right="-29" w:rightChars="-14" w:firstLine="560" w:firstLineChars="200"/>
        <w:rPr>
          <w:sz w:val="28"/>
          <w:szCs w:val="28"/>
          <w:u w:val="none" w:color="auto"/>
        </w:rPr>
      </w:pPr>
      <w:r>
        <w:rPr>
          <w:sz w:val="28"/>
          <w:szCs w:val="28"/>
          <w:u w:val="none" w:color="auto"/>
        </w:rPr>
        <w:t>5.主要环境保护目标——指项目区周围一定范围内集中居民住宅区、学校、医院、保护文物、风景名胜区、水源地和生态敏感点等，应尽可能给出保护目标、性质、规模和距厂界距离等。</w:t>
      </w:r>
    </w:p>
    <w:p>
      <w:pPr>
        <w:spacing w:line="360" w:lineRule="auto"/>
        <w:ind w:right="-29" w:rightChars="-14" w:firstLine="560" w:firstLineChars="200"/>
        <w:rPr>
          <w:sz w:val="28"/>
          <w:szCs w:val="28"/>
          <w:u w:val="none" w:color="auto"/>
        </w:rPr>
      </w:pPr>
      <w:r>
        <w:rPr>
          <w:sz w:val="28"/>
          <w:szCs w:val="28"/>
          <w:u w:val="none" w:color="auto"/>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right="-29" w:rightChars="-14" w:firstLine="560" w:firstLineChars="200"/>
        <w:rPr>
          <w:sz w:val="28"/>
          <w:szCs w:val="28"/>
          <w:u w:val="none" w:color="auto"/>
        </w:rPr>
      </w:pPr>
      <w:r>
        <w:rPr>
          <w:sz w:val="28"/>
          <w:szCs w:val="28"/>
          <w:u w:val="none" w:color="auto"/>
        </w:rPr>
        <w:t>7.预审意见——由行业主管部门填写答复意见，无主管部门项目，可不填。</w:t>
      </w:r>
    </w:p>
    <w:p>
      <w:pPr>
        <w:spacing w:line="360" w:lineRule="auto"/>
        <w:ind w:right="-29" w:rightChars="-14" w:firstLine="560" w:firstLineChars="200"/>
        <w:rPr>
          <w:sz w:val="28"/>
          <w:szCs w:val="28"/>
          <w:u w:val="none" w:color="auto"/>
        </w:rPr>
      </w:pPr>
      <w:r>
        <w:rPr>
          <w:sz w:val="28"/>
          <w:szCs w:val="28"/>
          <w:u w:val="none" w:color="auto"/>
        </w:rPr>
        <w:t>8.审批意见——由负责审批该项目的环境保护行政主管部门批复。</w:t>
      </w:r>
    </w:p>
    <w:p>
      <w:pPr>
        <w:spacing w:line="360" w:lineRule="auto"/>
        <w:ind w:right="-29" w:rightChars="-14" w:firstLine="560" w:firstLineChars="200"/>
        <w:rPr>
          <w:sz w:val="28"/>
          <w:szCs w:val="28"/>
          <w:u w:val="none" w:color="auto"/>
        </w:rPr>
      </w:pPr>
    </w:p>
    <w:p>
      <w:pPr>
        <w:spacing w:line="400" w:lineRule="exact"/>
        <w:rPr>
          <w:rFonts w:ascii="宋体" w:hAnsi="宋体"/>
          <w:b/>
          <w:sz w:val="36"/>
          <w:szCs w:val="36"/>
          <w:u w:val="none" w:color="auto"/>
        </w:rPr>
        <w:sectPr>
          <w:footerReference r:id="rId3" w:type="default"/>
          <w:pgSz w:w="11907" w:h="16840"/>
          <w:pgMar w:top="1984" w:right="1984" w:bottom="1984" w:left="1588" w:header="454" w:footer="964" w:gutter="0"/>
          <w:pgBorders>
            <w:top w:val="none" w:sz="0" w:space="0"/>
            <w:left w:val="none" w:sz="0" w:space="0"/>
            <w:bottom w:val="none" w:sz="0" w:space="0"/>
            <w:right w:val="none" w:sz="0" w:space="0"/>
          </w:pgBorders>
          <w:pgNumType w:start="1"/>
          <w:cols w:space="720" w:num="1"/>
          <w:titlePg/>
          <w:docGrid w:linePitch="380" w:charSpace="0"/>
        </w:sectPr>
      </w:pPr>
    </w:p>
    <w:p>
      <w:pPr>
        <w:pStyle w:val="34"/>
        <w:rPr>
          <w:u w:val="none" w:color="auto"/>
        </w:rPr>
      </w:pPr>
    </w:p>
    <w:p>
      <w:pPr>
        <w:spacing w:line="480" w:lineRule="auto"/>
        <w:jc w:val="center"/>
        <w:rPr>
          <w:rFonts w:hint="default" w:ascii="Times New Roman" w:hAnsi="Times New Roman" w:eastAsia="宋体" w:cs="Times New Roman"/>
          <w:b/>
          <w:sz w:val="40"/>
          <w:szCs w:val="40"/>
          <w:u w:val="none" w:color="auto"/>
        </w:rPr>
      </w:pPr>
      <w:r>
        <w:rPr>
          <w:rFonts w:hint="default" w:ascii="Times New Roman" w:hAnsi="Times New Roman" w:eastAsia="宋体" w:cs="Times New Roman"/>
          <w:b/>
          <w:sz w:val="40"/>
          <w:szCs w:val="40"/>
          <w:u w:val="none" w:color="auto"/>
        </w:rPr>
        <w:t>目   录</w:t>
      </w:r>
    </w:p>
    <w:p>
      <w:pPr>
        <w:pStyle w:val="28"/>
        <w:tabs>
          <w:tab w:val="right" w:leader="dot" w:pos="8901"/>
          <w:tab w:val="clear" w:pos="8891"/>
        </w:tabs>
        <w:spacing w:line="480" w:lineRule="auto"/>
        <w:rPr>
          <w:rFonts w:hint="default" w:ascii="Times New Roman" w:hAnsi="Times New Roman" w:eastAsia="宋体" w:cs="Times New Roman"/>
          <w:u w:val="none" w:color="auto"/>
        </w:rPr>
      </w:pPr>
      <w:r>
        <w:rPr>
          <w:rFonts w:hint="default" w:ascii="Times New Roman" w:hAnsi="Times New Roman" w:eastAsia="宋体" w:cs="Times New Roman"/>
          <w:sz w:val="24"/>
          <w:szCs w:val="24"/>
          <w:u w:val="none" w:color="auto"/>
        </w:rPr>
        <w:fldChar w:fldCharType="begin"/>
      </w:r>
      <w:r>
        <w:rPr>
          <w:rFonts w:hint="default" w:ascii="Times New Roman" w:hAnsi="Times New Roman" w:eastAsia="宋体" w:cs="Times New Roman"/>
          <w:sz w:val="24"/>
          <w:szCs w:val="24"/>
          <w:u w:val="none" w:color="auto"/>
        </w:rPr>
        <w:instrText xml:space="preserve">TOC \o "1-1" \h \u </w:instrText>
      </w:r>
      <w:r>
        <w:rPr>
          <w:rFonts w:hint="default" w:ascii="Times New Roman" w:hAnsi="Times New Roman" w:eastAsia="宋体" w:cs="Times New Roman"/>
          <w:sz w:val="24"/>
          <w:szCs w:val="24"/>
          <w:u w:val="none" w:color="auto"/>
        </w:rPr>
        <w:fldChar w:fldCharType="separate"/>
      </w: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_Toc9987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u w:val="none" w:color="auto"/>
        </w:rPr>
        <w:t>一、建设项目基本情况</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_Toc9987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1</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u w:val="none" w:color="auto"/>
        </w:rPr>
      </w:pP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_Toc24476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u w:val="none" w:color="auto"/>
        </w:rPr>
        <w:t>二、建设项目所在地自然环境简况</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_Toc24476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9</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u w:val="none" w:color="auto"/>
        </w:rPr>
      </w:pP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_Toc3926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u w:val="none" w:color="auto"/>
        </w:rPr>
        <w:t>三、环境质量状况</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_Toc3926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14</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u w:val="none" w:color="auto"/>
        </w:rPr>
      </w:pP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_Toc27017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szCs w:val="32"/>
          <w:u w:val="none" w:color="auto"/>
        </w:rPr>
        <w:t>四、</w:t>
      </w:r>
      <w:r>
        <w:rPr>
          <w:rFonts w:hint="default" w:ascii="Times New Roman" w:hAnsi="Times New Roman" w:eastAsia="宋体" w:cs="Times New Roman"/>
          <w:u w:val="none" w:color="auto"/>
        </w:rPr>
        <w:t>评价适用标准</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_Toc27017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21</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u w:val="none" w:color="auto"/>
        </w:rPr>
      </w:pP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_Toc31996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u w:val="none" w:color="auto"/>
        </w:rPr>
        <w:t>五、建设项目工程分析</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_Toc31996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24</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u w:val="none" w:color="auto"/>
        </w:rPr>
      </w:pP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_Toc498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szCs w:val="32"/>
          <w:u w:val="none" w:color="auto"/>
        </w:rPr>
        <w:t>六、项目主要污染物产生及预计排放情况</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_Toc498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30</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u w:val="none" w:color="auto"/>
        </w:rPr>
      </w:pP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_Toc1231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szCs w:val="32"/>
          <w:u w:val="none" w:color="auto"/>
        </w:rPr>
        <w:t>七、环境影响分析</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_Toc1231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31</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pStyle w:val="28"/>
        <w:tabs>
          <w:tab w:val="right" w:leader="dot" w:pos="8901"/>
          <w:tab w:val="clear" w:pos="8891"/>
        </w:tabs>
        <w:spacing w:line="480" w:lineRule="auto"/>
        <w:rPr>
          <w:rFonts w:hint="default" w:ascii="Times New Roman" w:hAnsi="Times New Roman" w:eastAsia="宋体" w:cs="Times New Roman"/>
          <w:u w:val="none" w:color="auto"/>
        </w:rPr>
      </w:pP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_Toc6121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szCs w:val="32"/>
          <w:u w:val="none" w:color="auto"/>
        </w:rPr>
        <w:t>八、建设项目拟采取的防治措施及</w:t>
      </w:r>
      <w:r>
        <w:rPr>
          <w:rFonts w:hint="default" w:ascii="Times New Roman" w:hAnsi="Times New Roman" w:eastAsia="宋体" w:cs="Times New Roman"/>
          <w:u w:val="none" w:color="auto"/>
        </w:rPr>
        <w:t>预期治理效果</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_Toc6121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54</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pStyle w:val="28"/>
        <w:tabs>
          <w:tab w:val="right" w:leader="dot" w:pos="8901"/>
          <w:tab w:val="clear" w:pos="8891"/>
        </w:tabs>
        <w:spacing w:line="480" w:lineRule="auto"/>
        <w:rPr>
          <w:u w:val="none" w:color="auto"/>
        </w:rPr>
      </w:pPr>
      <w:r>
        <w:rPr>
          <w:rFonts w:hint="default" w:ascii="Times New Roman" w:hAnsi="Times New Roman" w:eastAsia="宋体" w:cs="Times New Roman"/>
          <w:szCs w:val="24"/>
          <w:u w:val="none" w:color="auto"/>
        </w:rPr>
        <w:fldChar w:fldCharType="begin"/>
      </w:r>
      <w:r>
        <w:rPr>
          <w:rFonts w:hint="default" w:ascii="Times New Roman" w:hAnsi="Times New Roman" w:eastAsia="宋体" w:cs="Times New Roman"/>
          <w:szCs w:val="24"/>
          <w:u w:val="none" w:color="auto"/>
        </w:rPr>
        <w:instrText xml:space="preserve"> HYPERLINK \l _Toc22711 </w:instrText>
      </w:r>
      <w:r>
        <w:rPr>
          <w:rFonts w:hint="default" w:ascii="Times New Roman" w:hAnsi="Times New Roman" w:eastAsia="宋体" w:cs="Times New Roman"/>
          <w:szCs w:val="24"/>
          <w:u w:val="none" w:color="auto"/>
        </w:rPr>
        <w:fldChar w:fldCharType="separate"/>
      </w:r>
      <w:r>
        <w:rPr>
          <w:rFonts w:hint="default" w:ascii="Times New Roman" w:hAnsi="Times New Roman" w:eastAsia="宋体" w:cs="Times New Roman"/>
          <w:u w:val="none" w:color="auto"/>
        </w:rPr>
        <w:t>九、结论与建议</w:t>
      </w:r>
      <w:r>
        <w:rPr>
          <w:rFonts w:hint="default" w:ascii="Times New Roman" w:hAnsi="Times New Roman" w:eastAsia="宋体" w:cs="Times New Roman"/>
          <w:u w:val="none" w:color="auto"/>
        </w:rPr>
        <w:tab/>
      </w:r>
      <w:r>
        <w:rPr>
          <w:rFonts w:hint="default" w:ascii="Times New Roman" w:hAnsi="Times New Roman" w:eastAsia="宋体" w:cs="Times New Roman"/>
          <w:u w:val="none" w:color="auto"/>
        </w:rPr>
        <w:fldChar w:fldCharType="begin"/>
      </w:r>
      <w:r>
        <w:rPr>
          <w:rFonts w:hint="default" w:ascii="Times New Roman" w:hAnsi="Times New Roman" w:eastAsia="宋体" w:cs="Times New Roman"/>
          <w:u w:val="none" w:color="auto"/>
        </w:rPr>
        <w:instrText xml:space="preserve"> PAGEREF _Toc22711 </w:instrText>
      </w:r>
      <w:r>
        <w:rPr>
          <w:rFonts w:hint="default" w:ascii="Times New Roman" w:hAnsi="Times New Roman" w:eastAsia="宋体" w:cs="Times New Roman"/>
          <w:u w:val="none" w:color="auto"/>
        </w:rPr>
        <w:fldChar w:fldCharType="separate"/>
      </w:r>
      <w:r>
        <w:rPr>
          <w:rFonts w:hint="default" w:ascii="Times New Roman" w:hAnsi="Times New Roman" w:eastAsia="宋体" w:cs="Times New Roman"/>
          <w:u w:val="none" w:color="auto"/>
        </w:rPr>
        <w:t>56</w:t>
      </w:r>
      <w:r>
        <w:rPr>
          <w:rFonts w:hint="default" w:ascii="Times New Roman" w:hAnsi="Times New Roman" w:eastAsia="宋体" w:cs="Times New Roman"/>
          <w:u w:val="none" w:color="auto"/>
        </w:rPr>
        <w:fldChar w:fldCharType="end"/>
      </w:r>
      <w:r>
        <w:rPr>
          <w:rFonts w:hint="default" w:ascii="Times New Roman" w:hAnsi="Times New Roman" w:eastAsia="宋体" w:cs="Times New Roman"/>
          <w:szCs w:val="24"/>
          <w:u w:val="none" w:color="auto"/>
        </w:rPr>
        <w:fldChar w:fldCharType="end"/>
      </w:r>
    </w:p>
    <w:p>
      <w:pPr>
        <w:keepNext w:val="0"/>
        <w:keepLines w:val="0"/>
        <w:pageBreakBefore w:val="0"/>
        <w:widowControl w:val="0"/>
        <w:kinsoku/>
        <w:wordWrap/>
        <w:overflowPunct/>
        <w:topLinePunct w:val="0"/>
        <w:autoSpaceDE/>
        <w:autoSpaceDN/>
        <w:bidi w:val="0"/>
        <w:adjustRightInd/>
        <w:snapToGrid/>
        <w:spacing w:line="480" w:lineRule="auto"/>
        <w:ind w:firstLine="560"/>
        <w:textAlignment w:val="auto"/>
        <w:rPr>
          <w:rFonts w:hint="default" w:ascii="Times New Roman" w:hAnsi="Times New Roman" w:cs="Times New Roman"/>
          <w:color w:val="auto"/>
          <w:sz w:val="24"/>
          <w:szCs w:val="24"/>
          <w:u w:val="none" w:color="auto"/>
        </w:rPr>
        <w:sectPr>
          <w:footerReference r:id="rId5" w:type="first"/>
          <w:footerReference r:id="rId4" w:type="default"/>
          <w:pgSz w:w="11907" w:h="16840"/>
          <w:pgMar w:top="1418" w:right="1418" w:bottom="1418" w:left="1588" w:header="454" w:footer="964" w:gutter="0"/>
          <w:pgBorders>
            <w:top w:val="none" w:sz="0" w:space="0"/>
            <w:left w:val="none" w:sz="0" w:space="0"/>
            <w:bottom w:val="none" w:sz="0" w:space="0"/>
            <w:right w:val="none" w:sz="0" w:space="0"/>
          </w:pgBorders>
          <w:pgNumType w:start="1"/>
          <w:cols w:space="720" w:num="1"/>
          <w:docGrid w:linePitch="380" w:charSpace="0"/>
        </w:sectPr>
      </w:pPr>
      <w:r>
        <w:rPr>
          <w:rFonts w:hint="default" w:ascii="Times New Roman" w:hAnsi="Times New Roman" w:eastAsia="宋体" w:cs="Times New Roman"/>
          <w:szCs w:val="24"/>
          <w:u w:val="none" w:color="auto"/>
        </w:rPr>
        <w:fldChar w:fldCharType="end"/>
      </w:r>
    </w:p>
    <w:p>
      <w:pPr>
        <w:pStyle w:val="3"/>
        <w:spacing w:before="120" w:line="240" w:lineRule="auto"/>
        <w:rPr>
          <w:u w:val="none" w:color="auto"/>
        </w:rPr>
      </w:pPr>
      <w:bookmarkStart w:id="0" w:name="_Toc9987"/>
      <w:r>
        <w:rPr>
          <w:rFonts w:hint="eastAsia"/>
          <w:u w:val="none" w:color="auto"/>
        </w:rPr>
        <w:t>一、</w:t>
      </w:r>
      <w:r>
        <w:rPr>
          <w:u w:val="none" w:color="auto"/>
        </w:rPr>
        <w:t>建设项目基本情况</w:t>
      </w:r>
      <w:bookmarkEnd w:id="0"/>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85" w:type="dxa"/>
          <w:bottom w:w="0" w:type="dxa"/>
          <w:right w:w="85" w:type="dxa"/>
        </w:tblCellMar>
      </w:tblPr>
      <w:tblGrid>
        <w:gridCol w:w="1635"/>
        <w:gridCol w:w="2154"/>
        <w:gridCol w:w="1251"/>
        <w:gridCol w:w="1676"/>
        <w:gridCol w:w="1121"/>
        <w:gridCol w:w="119"/>
        <w:gridCol w:w="13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38" w:hRule="atLeast"/>
          <w:jc w:val="center"/>
        </w:trPr>
        <w:tc>
          <w:tcPr>
            <w:tcW w:w="1922"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项目名称</w:t>
            </w:r>
          </w:p>
        </w:tc>
        <w:tc>
          <w:tcPr>
            <w:tcW w:w="7346" w:type="dxa"/>
            <w:gridSpan w:val="6"/>
            <w:vAlign w:val="center"/>
          </w:tcPr>
          <w:p>
            <w:pPr>
              <w:adjustRightInd w:val="0"/>
              <w:snapToGrid w:val="0"/>
              <w:spacing w:line="360" w:lineRule="auto"/>
              <w:jc w:val="center"/>
              <w:rPr>
                <w:rFonts w:hint="default" w:ascii="Times New Roman" w:hAnsi="Times New Roman" w:eastAsia="宋体" w:cs="Times New Roman"/>
                <w:sz w:val="24"/>
                <w:szCs w:val="24"/>
                <w:highlight w:val="yellow"/>
                <w:u w:val="none" w:color="auto"/>
                <w:lang w:eastAsia="zh-CN"/>
              </w:rPr>
            </w:pPr>
            <w:r>
              <w:rPr>
                <w:rFonts w:hint="eastAsia" w:cs="Times New Roman"/>
                <w:sz w:val="24"/>
                <w:szCs w:val="24"/>
                <w:u w:val="none" w:color="auto"/>
                <w:lang w:eastAsia="zh-CN"/>
              </w:rPr>
              <w:t>年产45万个硅胶制品建设项目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52" w:hRule="atLeast"/>
          <w:jc w:val="center"/>
        </w:trPr>
        <w:tc>
          <w:tcPr>
            <w:tcW w:w="1922"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建设单位</w:t>
            </w:r>
          </w:p>
        </w:tc>
        <w:tc>
          <w:tcPr>
            <w:tcW w:w="7346" w:type="dxa"/>
            <w:gridSpan w:val="6"/>
            <w:vAlign w:val="center"/>
          </w:tcPr>
          <w:p>
            <w:pPr>
              <w:adjustRightInd w:val="0"/>
              <w:snapToGrid w:val="0"/>
              <w:spacing w:line="360" w:lineRule="auto"/>
              <w:jc w:val="center"/>
              <w:rPr>
                <w:rFonts w:hint="default" w:ascii="Times New Roman" w:hAnsi="Times New Roman" w:eastAsia="宋体" w:cs="Times New Roman"/>
                <w:sz w:val="24"/>
                <w:highlight w:val="yellow"/>
                <w:u w:val="none" w:color="auto"/>
                <w:lang w:eastAsia="zh-CN"/>
              </w:rPr>
            </w:pPr>
            <w:r>
              <w:rPr>
                <w:rFonts w:hint="eastAsia" w:cs="Times New Roman"/>
                <w:sz w:val="24"/>
                <w:u w:val="none" w:color="auto"/>
                <w:lang w:eastAsia="zh-CN"/>
              </w:rPr>
              <w:t>湖南康每达新材料科技有限公司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90" w:hRule="atLeast"/>
          <w:jc w:val="center"/>
        </w:trPr>
        <w:tc>
          <w:tcPr>
            <w:tcW w:w="1922"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法人代表</w:t>
            </w:r>
          </w:p>
        </w:tc>
        <w:tc>
          <w:tcPr>
            <w:tcW w:w="3042" w:type="dxa"/>
            <w:gridSpan w:val="2"/>
            <w:vAlign w:val="center"/>
          </w:tcPr>
          <w:p>
            <w:pPr>
              <w:snapToGrid w:val="0"/>
              <w:spacing w:line="360" w:lineRule="auto"/>
              <w:jc w:val="center"/>
              <w:rPr>
                <w:rFonts w:hint="default" w:ascii="Times New Roman" w:hAnsi="Times New Roman" w:eastAsia="宋体" w:cs="Times New Roman"/>
                <w:kern w:val="24"/>
                <w:sz w:val="24"/>
                <w:u w:val="none" w:color="auto"/>
                <w:lang w:eastAsia="zh-CN"/>
              </w:rPr>
            </w:pPr>
            <w:r>
              <w:rPr>
                <w:rFonts w:hint="eastAsia" w:cs="Times New Roman"/>
                <w:kern w:val="24"/>
                <w:sz w:val="24"/>
                <w:u w:val="none" w:color="auto"/>
                <w:lang w:eastAsia="zh-CN"/>
              </w:rPr>
              <w:t>李伟文</w:t>
            </w:r>
          </w:p>
        </w:tc>
        <w:tc>
          <w:tcPr>
            <w:tcW w:w="1822"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联 系 人</w:t>
            </w:r>
          </w:p>
        </w:tc>
        <w:tc>
          <w:tcPr>
            <w:tcW w:w="2482" w:type="dxa"/>
            <w:gridSpan w:val="3"/>
            <w:vAlign w:val="center"/>
          </w:tcPr>
          <w:p>
            <w:pPr>
              <w:snapToGrid w:val="0"/>
              <w:spacing w:line="360" w:lineRule="auto"/>
              <w:jc w:val="center"/>
              <w:rPr>
                <w:rFonts w:hint="default" w:ascii="Times New Roman" w:hAnsi="Times New Roman" w:eastAsia="宋体" w:cs="Times New Roman"/>
                <w:kern w:val="24"/>
                <w:sz w:val="24"/>
                <w:highlight w:val="yellow"/>
                <w:u w:val="none" w:color="auto"/>
                <w:lang w:eastAsia="zh-CN"/>
              </w:rPr>
            </w:pPr>
            <w:r>
              <w:rPr>
                <w:rFonts w:hint="eastAsia" w:cs="Times New Roman"/>
                <w:kern w:val="24"/>
                <w:sz w:val="24"/>
                <w:u w:val="none" w:color="auto"/>
                <w:lang w:eastAsia="zh-CN"/>
              </w:rPr>
              <w:t>李伟文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531" w:hRule="atLeast"/>
          <w:jc w:val="center"/>
        </w:trPr>
        <w:tc>
          <w:tcPr>
            <w:tcW w:w="1922"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通讯地址</w:t>
            </w:r>
          </w:p>
        </w:tc>
        <w:tc>
          <w:tcPr>
            <w:tcW w:w="7346" w:type="dxa"/>
            <w:gridSpan w:val="6"/>
            <w:vAlign w:val="center"/>
          </w:tcPr>
          <w:p>
            <w:pPr>
              <w:snapToGrid w:val="0"/>
              <w:spacing w:line="360" w:lineRule="auto"/>
              <w:jc w:val="center"/>
              <w:rPr>
                <w:rFonts w:hint="default" w:ascii="Times New Roman" w:hAnsi="Times New Roman" w:eastAsia="宋体" w:cs="Times New Roman"/>
                <w:kern w:val="24"/>
                <w:sz w:val="24"/>
                <w:szCs w:val="24"/>
                <w:u w:val="none" w:color="auto"/>
                <w:lang w:eastAsia="zh-CN"/>
              </w:rPr>
            </w:pPr>
            <w:r>
              <w:rPr>
                <w:rFonts w:hint="eastAsia" w:cs="Times New Roman"/>
                <w:sz w:val="24"/>
                <w:u w:val="none" w:color="auto"/>
                <w:lang w:eastAsia="zh-CN"/>
              </w:rPr>
              <w:t>岳阳市湘阴县金龙新区工业园湖南卓达置业有限公司一期7A栋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597" w:hRule="atLeast"/>
          <w:jc w:val="center"/>
        </w:trPr>
        <w:tc>
          <w:tcPr>
            <w:tcW w:w="1922"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联系电话</w:t>
            </w:r>
          </w:p>
        </w:tc>
        <w:tc>
          <w:tcPr>
            <w:tcW w:w="1687" w:type="dxa"/>
            <w:vAlign w:val="center"/>
          </w:tcPr>
          <w:p>
            <w:pPr>
              <w:snapToGrid w:val="0"/>
              <w:spacing w:line="360" w:lineRule="auto"/>
              <w:jc w:val="center"/>
              <w:rPr>
                <w:rFonts w:hint="default" w:ascii="Times New Roman" w:hAnsi="Times New Roman" w:eastAsia="宋体" w:cs="Times New Roman"/>
                <w:kern w:val="0"/>
                <w:sz w:val="24"/>
                <w:u w:val="none" w:color="auto"/>
                <w:lang w:val="en-US" w:eastAsia="zh-CN"/>
              </w:rPr>
            </w:pPr>
            <w:r>
              <w:rPr>
                <w:rFonts w:hint="eastAsia" w:cs="Times New Roman"/>
                <w:sz w:val="24"/>
                <w:szCs w:val="24"/>
                <w:u w:val="none" w:color="auto"/>
                <w:lang w:val="en-US" w:eastAsia="zh-CN"/>
              </w:rPr>
              <w:t>19918815368</w:t>
            </w:r>
          </w:p>
        </w:tc>
        <w:tc>
          <w:tcPr>
            <w:tcW w:w="1355"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传真</w:t>
            </w:r>
          </w:p>
        </w:tc>
        <w:tc>
          <w:tcPr>
            <w:tcW w:w="1822"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kern w:val="24"/>
                <w:sz w:val="24"/>
                <w:u w:val="none" w:color="auto"/>
              </w:rPr>
              <w:t>/</w:t>
            </w:r>
          </w:p>
        </w:tc>
        <w:tc>
          <w:tcPr>
            <w:tcW w:w="1244"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邮政编码</w:t>
            </w:r>
          </w:p>
        </w:tc>
        <w:tc>
          <w:tcPr>
            <w:tcW w:w="1238" w:type="dxa"/>
            <w:gridSpan w:val="2"/>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414600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686" w:hRule="atLeast"/>
          <w:jc w:val="center"/>
        </w:trPr>
        <w:tc>
          <w:tcPr>
            <w:tcW w:w="1922"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建设地点</w:t>
            </w:r>
          </w:p>
        </w:tc>
        <w:tc>
          <w:tcPr>
            <w:tcW w:w="7346" w:type="dxa"/>
            <w:gridSpan w:val="6"/>
            <w:vAlign w:val="center"/>
          </w:tcPr>
          <w:p>
            <w:pPr>
              <w:snapToGrid w:val="0"/>
              <w:spacing w:line="360" w:lineRule="auto"/>
              <w:ind w:left="-105" w:leftChars="-50" w:right="-105" w:rightChars="-50"/>
              <w:jc w:val="center"/>
              <w:rPr>
                <w:rFonts w:hint="default" w:ascii="Times New Roman" w:hAnsi="Times New Roman" w:eastAsia="宋体" w:cs="Times New Roman"/>
                <w:sz w:val="24"/>
                <w:szCs w:val="24"/>
                <w:highlight w:val="yellow"/>
                <w:u w:val="none" w:color="auto"/>
                <w:lang w:eastAsia="zh-CN"/>
              </w:rPr>
            </w:pPr>
            <w:r>
              <w:rPr>
                <w:rFonts w:hint="eastAsia" w:cs="Times New Roman"/>
                <w:sz w:val="24"/>
                <w:u w:val="none" w:color="auto"/>
                <w:lang w:eastAsia="zh-CN"/>
              </w:rPr>
              <w:t>岳阳市湘阴县金龙新区工业园湖南卓达置业有限公司一期7A栋</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71" w:hRule="atLeast"/>
          <w:jc w:val="center"/>
        </w:trPr>
        <w:tc>
          <w:tcPr>
            <w:tcW w:w="1922" w:type="dxa"/>
            <w:vAlign w:val="center"/>
          </w:tcPr>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立项审批部门</w:t>
            </w:r>
          </w:p>
        </w:tc>
        <w:tc>
          <w:tcPr>
            <w:tcW w:w="3042" w:type="dxa"/>
            <w:gridSpan w:val="2"/>
            <w:vAlign w:val="center"/>
          </w:tcPr>
          <w:p>
            <w:pPr>
              <w:snapToGrid w:val="0"/>
              <w:spacing w:line="360" w:lineRule="auto"/>
              <w:jc w:val="center"/>
              <w:rPr>
                <w:rFonts w:hint="default" w:ascii="Times New Roman" w:hAnsi="Times New Roman" w:cs="Times New Roman"/>
                <w:spacing w:val="-6"/>
                <w:sz w:val="24"/>
                <w:u w:val="none" w:color="auto"/>
              </w:rPr>
            </w:pPr>
            <w:r>
              <w:rPr>
                <w:rFonts w:hint="default" w:ascii="Times New Roman" w:hAnsi="Times New Roman" w:cs="Times New Roman"/>
                <w:spacing w:val="-6"/>
                <w:sz w:val="24"/>
                <w:u w:val="none" w:color="auto"/>
              </w:rPr>
              <w:t>/</w:t>
            </w:r>
          </w:p>
        </w:tc>
        <w:tc>
          <w:tcPr>
            <w:tcW w:w="1822" w:type="dxa"/>
            <w:vAlign w:val="center"/>
          </w:tcPr>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批准文号</w:t>
            </w:r>
          </w:p>
        </w:tc>
        <w:tc>
          <w:tcPr>
            <w:tcW w:w="2482" w:type="dxa"/>
            <w:gridSpan w:val="3"/>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kern w:val="24"/>
                <w:sz w:val="24"/>
                <w:u w:val="none" w:color="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22" w:type="dxa"/>
            <w:vAlign w:val="center"/>
          </w:tcPr>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建设性质</w:t>
            </w:r>
          </w:p>
        </w:tc>
        <w:tc>
          <w:tcPr>
            <w:tcW w:w="3042" w:type="dxa"/>
            <w:gridSpan w:val="2"/>
            <w:vAlign w:val="center"/>
          </w:tcPr>
          <w:p>
            <w:pPr>
              <w:snapToGrid w:val="0"/>
              <w:spacing w:line="360" w:lineRule="auto"/>
              <w:jc w:val="center"/>
              <w:rPr>
                <w:rFonts w:hint="eastAsia" w:ascii="Times New Roman" w:hAnsi="Times New Roman" w:eastAsia="宋体" w:cs="Times New Roman"/>
                <w:spacing w:val="-6"/>
                <w:kern w:val="24"/>
                <w:sz w:val="24"/>
                <w:u w:val="none" w:color="auto"/>
                <w:lang w:eastAsia="zh-CN"/>
              </w:rPr>
            </w:pPr>
            <w:r>
              <w:rPr>
                <w:rFonts w:hint="default" w:ascii="Times New Roman" w:hAnsi="Times New Roman" w:cs="Times New Roman"/>
                <w:sz w:val="24"/>
                <w:u w:val="none" w:color="auto"/>
              </w:rPr>
              <w:t>新建</w:t>
            </w:r>
          </w:p>
        </w:tc>
        <w:tc>
          <w:tcPr>
            <w:tcW w:w="1822" w:type="dxa"/>
            <w:vAlign w:val="center"/>
          </w:tcPr>
          <w:p>
            <w:pPr>
              <w:snapToGrid w:val="0"/>
              <w:spacing w:line="360" w:lineRule="auto"/>
              <w:jc w:val="center"/>
              <w:rPr>
                <w:rFonts w:hint="default" w:cs="Times New Roman"/>
                <w:spacing w:val="-6"/>
                <w:sz w:val="24"/>
                <w:szCs w:val="22"/>
                <w:u w:val="none" w:color="auto"/>
                <w:lang w:val="en-US" w:eastAsia="zh-CN"/>
              </w:rPr>
            </w:pPr>
            <w:r>
              <w:rPr>
                <w:rFonts w:hint="default" w:cs="Times New Roman"/>
                <w:spacing w:val="-6"/>
                <w:sz w:val="24"/>
                <w:szCs w:val="22"/>
                <w:u w:val="none" w:color="auto"/>
                <w:lang w:val="en-US" w:eastAsia="zh-CN"/>
              </w:rPr>
              <w:t>行业类别</w:t>
            </w:r>
          </w:p>
          <w:p>
            <w:pPr>
              <w:snapToGrid w:val="0"/>
              <w:spacing w:line="360" w:lineRule="auto"/>
              <w:jc w:val="center"/>
              <w:rPr>
                <w:rFonts w:hint="default" w:cs="Times New Roman"/>
                <w:spacing w:val="-6"/>
                <w:sz w:val="24"/>
                <w:szCs w:val="22"/>
                <w:u w:val="none" w:color="auto"/>
                <w:lang w:val="en-US" w:eastAsia="zh-CN"/>
              </w:rPr>
            </w:pPr>
            <w:r>
              <w:rPr>
                <w:rFonts w:hint="default" w:cs="Times New Roman"/>
                <w:spacing w:val="-6"/>
                <w:sz w:val="24"/>
                <w:szCs w:val="22"/>
                <w:u w:val="none" w:color="auto"/>
                <w:lang w:val="en-US" w:eastAsia="zh-CN"/>
              </w:rPr>
              <w:t>及代号</w:t>
            </w:r>
          </w:p>
        </w:tc>
        <w:tc>
          <w:tcPr>
            <w:tcW w:w="2482" w:type="dxa"/>
            <w:gridSpan w:val="3"/>
            <w:vAlign w:val="center"/>
          </w:tcPr>
          <w:p>
            <w:pPr>
              <w:snapToGrid w:val="0"/>
              <w:spacing w:line="360" w:lineRule="auto"/>
              <w:jc w:val="center"/>
              <w:rPr>
                <w:rFonts w:hint="eastAsia" w:cs="Times New Roman"/>
                <w:spacing w:val="-6"/>
                <w:sz w:val="24"/>
                <w:szCs w:val="22"/>
                <w:u w:val="none" w:color="auto"/>
                <w:lang w:val="en-US" w:eastAsia="zh-CN"/>
              </w:rPr>
            </w:pPr>
            <w:r>
              <w:rPr>
                <w:rFonts w:hint="eastAsia" w:cs="Times New Roman"/>
                <w:spacing w:val="-6"/>
                <w:sz w:val="24"/>
                <w:szCs w:val="22"/>
                <w:u w:val="none" w:color="auto"/>
                <w:lang w:val="en-US" w:eastAsia="zh-CN"/>
              </w:rPr>
              <w:t>C2919其他橡胶制</w:t>
            </w:r>
          </w:p>
          <w:p>
            <w:pPr>
              <w:snapToGrid w:val="0"/>
              <w:spacing w:line="360" w:lineRule="auto"/>
              <w:jc w:val="center"/>
              <w:rPr>
                <w:rFonts w:hint="default" w:cs="Times New Roman"/>
                <w:spacing w:val="-6"/>
                <w:sz w:val="24"/>
                <w:szCs w:val="22"/>
                <w:u w:val="none" w:color="auto"/>
                <w:lang w:val="en-US" w:eastAsia="zh-CN"/>
              </w:rPr>
            </w:pPr>
            <w:r>
              <w:rPr>
                <w:rFonts w:hint="eastAsia" w:cs="Times New Roman"/>
                <w:spacing w:val="-6"/>
                <w:sz w:val="24"/>
                <w:szCs w:val="22"/>
                <w:u w:val="none" w:color="auto"/>
                <w:lang w:val="en-US" w:eastAsia="zh-CN"/>
              </w:rPr>
              <w:t>品制造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22" w:type="dxa"/>
            <w:vAlign w:val="center"/>
          </w:tcPr>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占地面积</w:t>
            </w:r>
          </w:p>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(平方米)</w:t>
            </w:r>
          </w:p>
        </w:tc>
        <w:tc>
          <w:tcPr>
            <w:tcW w:w="3042" w:type="dxa"/>
            <w:gridSpan w:val="2"/>
            <w:vAlign w:val="center"/>
          </w:tcPr>
          <w:p>
            <w:pPr>
              <w:snapToGrid w:val="0"/>
              <w:spacing w:line="360" w:lineRule="auto"/>
              <w:jc w:val="center"/>
              <w:rPr>
                <w:rFonts w:hint="default" w:ascii="Times New Roman" w:hAnsi="Times New Roman" w:eastAsia="宋体" w:cs="Times New Roman"/>
                <w:spacing w:val="-6"/>
                <w:sz w:val="24"/>
                <w:u w:val="none" w:color="auto"/>
                <w:lang w:val="en-US" w:eastAsia="zh-CN"/>
              </w:rPr>
            </w:pPr>
            <w:r>
              <w:rPr>
                <w:rFonts w:hint="eastAsia" w:cs="Times New Roman"/>
                <w:spacing w:val="-6"/>
                <w:sz w:val="24"/>
                <w:u w:val="none" w:color="auto"/>
                <w:lang w:val="en-US" w:eastAsia="zh-CN"/>
              </w:rPr>
              <w:t>612.39</w:t>
            </w:r>
          </w:p>
        </w:tc>
        <w:tc>
          <w:tcPr>
            <w:tcW w:w="1822" w:type="dxa"/>
            <w:vAlign w:val="center"/>
          </w:tcPr>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绿化面积</w:t>
            </w:r>
          </w:p>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（平方米）</w:t>
            </w:r>
          </w:p>
        </w:tc>
        <w:tc>
          <w:tcPr>
            <w:tcW w:w="2482" w:type="dxa"/>
            <w:gridSpan w:val="3"/>
            <w:vAlign w:val="center"/>
          </w:tcPr>
          <w:p>
            <w:pPr>
              <w:snapToGrid w:val="0"/>
              <w:spacing w:line="360" w:lineRule="auto"/>
              <w:ind w:left="-105" w:leftChars="-50" w:right="-105" w:rightChars="-50"/>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22" w:type="dxa"/>
            <w:vAlign w:val="center"/>
          </w:tcPr>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总投资</w:t>
            </w:r>
          </w:p>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(万元)</w:t>
            </w:r>
          </w:p>
        </w:tc>
        <w:tc>
          <w:tcPr>
            <w:tcW w:w="1687" w:type="dxa"/>
            <w:vAlign w:val="center"/>
          </w:tcPr>
          <w:p>
            <w:pPr>
              <w:snapToGrid w:val="0"/>
              <w:spacing w:line="360" w:lineRule="auto"/>
              <w:jc w:val="center"/>
              <w:rPr>
                <w:rFonts w:hint="default" w:ascii="Times New Roman" w:hAnsi="Times New Roman" w:eastAsia="宋体" w:cs="Times New Roman"/>
                <w:kern w:val="24"/>
                <w:sz w:val="24"/>
                <w:highlight w:val="yellow"/>
                <w:u w:val="none" w:color="auto"/>
                <w:lang w:val="en-US" w:eastAsia="zh-CN"/>
              </w:rPr>
            </w:pPr>
            <w:r>
              <w:rPr>
                <w:rFonts w:hint="eastAsia" w:cs="Times New Roman"/>
                <w:kern w:val="24"/>
                <w:sz w:val="24"/>
                <w:u w:val="none" w:color="auto"/>
                <w:lang w:val="en-US" w:eastAsia="zh-CN"/>
              </w:rPr>
              <w:t>1000</w:t>
            </w:r>
          </w:p>
        </w:tc>
        <w:tc>
          <w:tcPr>
            <w:tcW w:w="1355"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其中:环保投资(万元)</w:t>
            </w:r>
          </w:p>
        </w:tc>
        <w:tc>
          <w:tcPr>
            <w:tcW w:w="1822" w:type="dxa"/>
            <w:vAlign w:val="center"/>
          </w:tcPr>
          <w:p>
            <w:pPr>
              <w:snapToGrid w:val="0"/>
              <w:spacing w:line="360" w:lineRule="auto"/>
              <w:jc w:val="center"/>
              <w:rPr>
                <w:rFonts w:hint="default" w:ascii="Times New Roman" w:hAnsi="Times New Roman" w:eastAsia="宋体" w:cs="Times New Roman"/>
                <w:color w:val="auto"/>
                <w:kern w:val="24"/>
                <w:sz w:val="24"/>
                <w:u w:val="none" w:color="auto"/>
                <w:lang w:val="en-US" w:eastAsia="zh-CN"/>
              </w:rPr>
            </w:pPr>
            <w:r>
              <w:rPr>
                <w:rFonts w:hint="eastAsia" w:cs="Times New Roman"/>
                <w:color w:val="auto"/>
                <w:kern w:val="24"/>
                <w:sz w:val="24"/>
                <w:u w:val="none" w:color="auto"/>
                <w:lang w:val="en-US" w:eastAsia="zh-CN"/>
              </w:rPr>
              <w:t>26</w:t>
            </w:r>
          </w:p>
        </w:tc>
        <w:tc>
          <w:tcPr>
            <w:tcW w:w="1392" w:type="dxa"/>
            <w:gridSpan w:val="2"/>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default" w:ascii="Times New Roman" w:hAnsi="Times New Roman" w:cs="Times New Roman"/>
                <w:color w:val="auto"/>
                <w:sz w:val="24"/>
                <w:u w:val="none" w:color="auto"/>
              </w:rPr>
              <w:t>环保投资占总投资比例</w:t>
            </w:r>
          </w:p>
        </w:tc>
        <w:tc>
          <w:tcPr>
            <w:tcW w:w="1090" w:type="dxa"/>
            <w:vAlign w:val="center"/>
          </w:tcPr>
          <w:p>
            <w:pPr>
              <w:snapToGrid w:val="0"/>
              <w:spacing w:line="360" w:lineRule="auto"/>
              <w:jc w:val="center"/>
              <w:rPr>
                <w:rFonts w:hint="default" w:ascii="Times New Roman" w:hAnsi="Times New Roman" w:cs="Times New Roman"/>
                <w:color w:val="auto"/>
                <w:kern w:val="24"/>
                <w:sz w:val="24"/>
                <w:u w:val="none" w:color="auto"/>
              </w:rPr>
            </w:pPr>
            <w:r>
              <w:rPr>
                <w:rFonts w:hint="eastAsia" w:cs="Times New Roman"/>
                <w:color w:val="auto"/>
                <w:kern w:val="24"/>
                <w:sz w:val="24"/>
                <w:u w:val="none" w:color="auto"/>
                <w:lang w:val="en-US" w:eastAsia="zh-CN"/>
              </w:rPr>
              <w:t>2.6</w:t>
            </w:r>
            <w:r>
              <w:rPr>
                <w:rFonts w:hint="default" w:ascii="Times New Roman" w:hAnsi="Times New Roman" w:cs="Times New Roman"/>
                <w:color w:val="auto"/>
                <w:kern w:val="24"/>
                <w:sz w:val="24"/>
                <w:u w:val="none" w:color="auto"/>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1922" w:type="dxa"/>
            <w:vAlign w:val="center"/>
          </w:tcPr>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评价经费</w:t>
            </w:r>
          </w:p>
          <w:p>
            <w:pPr>
              <w:snapToGrid w:val="0"/>
              <w:spacing w:line="360" w:lineRule="auto"/>
              <w:jc w:val="center"/>
              <w:rPr>
                <w:rFonts w:hint="default" w:ascii="Times New Roman" w:hAnsi="Times New Roman" w:cs="Times New Roman"/>
                <w:sz w:val="24"/>
                <w:u w:val="none" w:color="auto"/>
              </w:rPr>
            </w:pPr>
            <w:r>
              <w:rPr>
                <w:rFonts w:hint="default" w:ascii="Times New Roman" w:hAnsi="Times New Roman" w:cs="Times New Roman"/>
                <w:sz w:val="24"/>
                <w:u w:val="none" w:color="auto"/>
              </w:rPr>
              <w:t>(万元)</w:t>
            </w:r>
          </w:p>
        </w:tc>
        <w:tc>
          <w:tcPr>
            <w:tcW w:w="1687"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kern w:val="24"/>
                <w:sz w:val="24"/>
                <w:u w:val="none" w:color="auto"/>
              </w:rPr>
              <w:t>/</w:t>
            </w:r>
          </w:p>
        </w:tc>
        <w:tc>
          <w:tcPr>
            <w:tcW w:w="1355" w:type="dxa"/>
            <w:vAlign w:val="center"/>
          </w:tcPr>
          <w:p>
            <w:pPr>
              <w:snapToGrid w:val="0"/>
              <w:spacing w:line="360" w:lineRule="auto"/>
              <w:jc w:val="center"/>
              <w:rPr>
                <w:rFonts w:hint="default" w:ascii="Times New Roman" w:hAnsi="Times New Roman" w:cs="Times New Roman"/>
                <w:kern w:val="24"/>
                <w:sz w:val="24"/>
                <w:u w:val="none" w:color="auto"/>
              </w:rPr>
            </w:pPr>
            <w:r>
              <w:rPr>
                <w:rFonts w:hint="default" w:ascii="Times New Roman" w:hAnsi="Times New Roman" w:cs="Times New Roman"/>
                <w:sz w:val="24"/>
                <w:u w:val="none" w:color="auto"/>
              </w:rPr>
              <w:t>投产日期</w:t>
            </w:r>
          </w:p>
        </w:tc>
        <w:tc>
          <w:tcPr>
            <w:tcW w:w="4304" w:type="dxa"/>
            <w:gridSpan w:val="4"/>
            <w:vAlign w:val="center"/>
          </w:tcPr>
          <w:p>
            <w:pPr>
              <w:snapToGrid w:val="0"/>
              <w:spacing w:line="360" w:lineRule="auto"/>
              <w:jc w:val="center"/>
              <w:rPr>
                <w:rFonts w:hint="default" w:ascii="Times New Roman" w:hAnsi="Times New Roman" w:eastAsia="宋体" w:cs="Times New Roman"/>
                <w:kern w:val="24"/>
                <w:sz w:val="24"/>
                <w:u w:val="none" w:color="auto"/>
                <w:lang w:val="en-US" w:eastAsia="zh-CN"/>
              </w:rPr>
            </w:pPr>
            <w:r>
              <w:rPr>
                <w:rFonts w:hint="eastAsia" w:cs="Times New Roman"/>
                <w:kern w:val="24"/>
                <w:sz w:val="24"/>
                <w:u w:val="none" w:color="auto"/>
                <w:lang w:val="en-US" w:eastAsia="zh-CN"/>
              </w:rPr>
              <w:t>2020年8月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454" w:hRule="atLeast"/>
          <w:jc w:val="center"/>
        </w:trPr>
        <w:tc>
          <w:tcPr>
            <w:tcW w:w="9268" w:type="dxa"/>
            <w:gridSpan w:val="7"/>
            <w:vAlign w:val="center"/>
          </w:tcPr>
          <w:p>
            <w:pPr>
              <w:snapToGrid w:val="0"/>
              <w:spacing w:line="360" w:lineRule="auto"/>
              <w:rPr>
                <w:rFonts w:hint="default" w:ascii="Times New Roman" w:hAnsi="Times New Roman" w:cs="Times New Roman"/>
                <w:b/>
                <w:sz w:val="30"/>
                <w:szCs w:val="30"/>
                <w:u w:val="none" w:color="auto"/>
              </w:rPr>
            </w:pPr>
            <w:r>
              <w:rPr>
                <w:rFonts w:hint="default" w:ascii="Times New Roman" w:hAnsi="Times New Roman" w:cs="Times New Roman"/>
                <w:b/>
                <w:sz w:val="30"/>
                <w:szCs w:val="30"/>
                <w:u w:val="none" w:color="auto"/>
              </w:rPr>
              <w:t>工程内容及规模：</w:t>
            </w:r>
          </w:p>
          <w:p>
            <w:pPr>
              <w:pStyle w:val="4"/>
              <w:spacing w:before="0" w:beforeLines="0"/>
              <w:ind w:firstLine="482"/>
              <w:rPr>
                <w:rFonts w:hint="default" w:ascii="Times New Roman" w:hAnsi="Times New Roman" w:cs="Times New Roman"/>
                <w:b/>
                <w:u w:val="none" w:color="auto"/>
              </w:rPr>
            </w:pPr>
            <w:r>
              <w:rPr>
                <w:rFonts w:hint="default" w:ascii="Times New Roman" w:hAnsi="Times New Roman" w:cs="Times New Roman"/>
                <w:b/>
                <w:u w:val="none" w:color="auto"/>
              </w:rPr>
              <w:t>1、项目由来</w:t>
            </w:r>
          </w:p>
          <w:p>
            <w:pPr>
              <w:pStyle w:val="170"/>
              <w:rPr>
                <w:rFonts w:hint="default" w:ascii="Times New Roman" w:hAnsi="Times New Roman" w:cs="Times New Roman"/>
                <w:szCs w:val="24"/>
                <w:u w:val="none" w:color="auto"/>
              </w:rPr>
            </w:pPr>
            <w:r>
              <w:rPr>
                <w:rFonts w:hint="default" w:ascii="Times New Roman" w:hAnsi="Times New Roman" w:cs="Times New Roman"/>
                <w:color w:val="auto"/>
                <w:sz w:val="24"/>
                <w:u w:val="none" w:color="auto"/>
              </w:rPr>
              <w:t>改革开放以来，我国</w:t>
            </w:r>
            <w:r>
              <w:rPr>
                <w:rFonts w:hint="eastAsia" w:cs="Times New Roman"/>
                <w:color w:val="auto"/>
                <w:sz w:val="24"/>
                <w:u w:val="none" w:color="auto"/>
                <w:lang w:eastAsia="zh-CN"/>
              </w:rPr>
              <w:t>经济发展迅速，对硅胶制品需求量越来越大</w:t>
            </w:r>
            <w:r>
              <w:rPr>
                <w:rFonts w:hint="default" w:ascii="Times New Roman" w:hAnsi="Times New Roman" w:cs="Times New Roman"/>
                <w:szCs w:val="24"/>
                <w:u w:val="none" w:color="auto"/>
              </w:rPr>
              <w:t>。为了适应市场对</w:t>
            </w:r>
            <w:r>
              <w:rPr>
                <w:rFonts w:hint="eastAsia" w:cs="Times New Roman"/>
                <w:szCs w:val="24"/>
                <w:u w:val="none" w:color="auto"/>
                <w:lang w:eastAsia="zh-CN"/>
              </w:rPr>
              <w:t>硅胶制品</w:t>
            </w:r>
            <w:r>
              <w:rPr>
                <w:rFonts w:hint="default" w:ascii="Times New Roman" w:hAnsi="Times New Roman" w:cs="Times New Roman"/>
                <w:szCs w:val="24"/>
                <w:u w:val="none" w:color="auto"/>
              </w:rPr>
              <w:t>的需求，</w:t>
            </w:r>
            <w:r>
              <w:rPr>
                <w:rFonts w:hint="eastAsia" w:cs="Times New Roman"/>
                <w:u w:val="none" w:color="auto"/>
                <w:lang w:eastAsia="zh-CN"/>
              </w:rPr>
              <w:t>湖南康每达新材料科技有限公司购买位于岳阳市湘阴县金龙新区工业园湖南卓达置业有限公司一期7A栋（共</w:t>
            </w:r>
            <w:r>
              <w:rPr>
                <w:rFonts w:hint="eastAsia" w:cs="Times New Roman"/>
                <w:u w:val="none" w:color="auto"/>
                <w:lang w:val="en-US" w:eastAsia="zh-CN"/>
              </w:rPr>
              <w:t>4层，</w:t>
            </w:r>
            <w:r>
              <w:rPr>
                <w:rFonts w:hint="eastAsia" w:cs="Times New Roman"/>
                <w:u w:val="none" w:color="auto"/>
                <w:lang w:eastAsia="zh-CN"/>
              </w:rPr>
              <w:t>总占地面积为</w:t>
            </w:r>
            <w:r>
              <w:rPr>
                <w:rFonts w:hint="eastAsia" w:cs="Times New Roman"/>
                <w:u w:val="none" w:color="auto"/>
                <w:lang w:val="en-US" w:eastAsia="zh-CN"/>
              </w:rPr>
              <w:t>612.39m</w:t>
            </w:r>
            <w:r>
              <w:rPr>
                <w:rFonts w:hint="eastAsia" w:cs="Times New Roman"/>
                <w:u w:val="none" w:color="auto"/>
                <w:vertAlign w:val="superscript"/>
                <w:lang w:val="en-US" w:eastAsia="zh-CN"/>
              </w:rPr>
              <w:t>2</w:t>
            </w:r>
            <w:r>
              <w:rPr>
                <w:rFonts w:hint="eastAsia" w:cs="Times New Roman"/>
                <w:u w:val="none" w:color="auto"/>
                <w:lang w:val="en-US" w:eastAsia="zh-CN"/>
              </w:rPr>
              <w:t>，建筑面积为2449.57m</w:t>
            </w:r>
            <w:r>
              <w:rPr>
                <w:rFonts w:hint="eastAsia" w:cs="Times New Roman"/>
                <w:u w:val="none" w:color="auto"/>
                <w:vertAlign w:val="superscript"/>
                <w:lang w:val="en-US" w:eastAsia="zh-CN"/>
              </w:rPr>
              <w:t>2</w:t>
            </w:r>
            <w:r>
              <w:rPr>
                <w:rFonts w:hint="eastAsia" w:cs="Times New Roman"/>
                <w:u w:val="none" w:color="auto"/>
                <w:lang w:eastAsia="zh-CN"/>
              </w:rPr>
              <w:t>）的现有厂房，</w:t>
            </w:r>
            <w:r>
              <w:rPr>
                <w:rFonts w:hint="default" w:ascii="Times New Roman" w:hAnsi="Times New Roman" w:cs="Times New Roman"/>
                <w:u w:val="none" w:color="auto"/>
              </w:rPr>
              <w:t>投资</w:t>
            </w:r>
            <w:r>
              <w:rPr>
                <w:rFonts w:hint="eastAsia" w:cs="Times New Roman"/>
                <w:u w:val="none" w:color="auto"/>
                <w:lang w:val="en-US" w:eastAsia="zh-CN"/>
              </w:rPr>
              <w:t>1000万元</w:t>
            </w:r>
            <w:r>
              <w:rPr>
                <w:rFonts w:hint="default" w:ascii="Times New Roman" w:hAnsi="Times New Roman" w:cs="Times New Roman"/>
                <w:u w:val="none" w:color="auto"/>
              </w:rPr>
              <w:t>建设“</w:t>
            </w:r>
            <w:r>
              <w:rPr>
                <w:rFonts w:hint="eastAsia" w:cs="Times New Roman"/>
                <w:szCs w:val="24"/>
                <w:u w:val="none" w:color="auto"/>
                <w:lang w:eastAsia="zh-CN"/>
              </w:rPr>
              <w:t>年产45万个硅胶制品建设项目</w:t>
            </w:r>
            <w:r>
              <w:rPr>
                <w:rFonts w:hint="default" w:ascii="Times New Roman" w:hAnsi="Times New Roman" w:cs="Times New Roman"/>
                <w:u w:val="none" w:color="auto"/>
              </w:rPr>
              <w:t>”</w:t>
            </w:r>
            <w:r>
              <w:rPr>
                <w:rFonts w:hint="eastAsia" w:cs="Times New Roman"/>
                <w:u w:val="none" w:color="auto"/>
                <w:lang w:eastAsia="zh-CN"/>
              </w:rPr>
              <w:t>，</w:t>
            </w:r>
            <w:r>
              <w:rPr>
                <w:rFonts w:hint="eastAsia" w:cs="Times New Roman"/>
                <w:u w:val="none" w:color="auto"/>
                <w:lang w:val="en-US" w:eastAsia="zh-CN"/>
              </w:rPr>
              <w:t>项目制造的硅胶制品均为硅胶类美容练习耗材（年产40万个），康体仪器配件（年产2万个）、新能源汽车零配件（年产3万个）</w:t>
            </w:r>
            <w:r>
              <w:rPr>
                <w:rFonts w:hint="default" w:ascii="Times New Roman" w:hAnsi="Times New Roman" w:cs="Times New Roman"/>
                <w:u w:val="none" w:color="auto"/>
              </w:rPr>
              <w:t>。</w:t>
            </w:r>
          </w:p>
          <w:p>
            <w:pPr>
              <w:pStyle w:val="170"/>
              <w:rPr>
                <w:rFonts w:hint="default" w:ascii="Times New Roman" w:hAnsi="Times New Roman" w:cs="Times New Roman"/>
                <w:szCs w:val="24"/>
                <w:u w:val="none" w:color="auto"/>
              </w:rPr>
            </w:pPr>
            <w:r>
              <w:rPr>
                <w:rFonts w:hint="default" w:ascii="Times New Roman" w:hAnsi="Times New Roman" w:cs="Times New Roman"/>
                <w:kern w:val="0"/>
                <w:u w:val="none" w:color="auto"/>
              </w:rPr>
              <w:t>根据《中华人民共和国环境保护法》、《中华人民共和国环境影响评价法》及《建设项目环境保护管理条例》的有关规定，本工程需</w:t>
            </w:r>
            <w:r>
              <w:rPr>
                <w:rFonts w:hint="default" w:ascii="Times New Roman" w:hAnsi="Times New Roman" w:cs="Times New Roman"/>
                <w:kern w:val="0"/>
                <w:u w:val="none" w:color="auto"/>
                <w:lang w:eastAsia="zh-CN"/>
              </w:rPr>
              <w:t>办理</w:t>
            </w:r>
            <w:r>
              <w:rPr>
                <w:rFonts w:hint="default" w:ascii="Times New Roman" w:hAnsi="Times New Roman" w:cs="Times New Roman"/>
                <w:kern w:val="0"/>
                <w:u w:val="none" w:color="auto"/>
              </w:rPr>
              <w:t>环境影响评价。经查询《建设项目环境影响评价分类管理名录》（2018版、生态环境部部令第1号），</w:t>
            </w:r>
            <w:r>
              <w:rPr>
                <w:rFonts w:hint="default" w:ascii="Times New Roman" w:hAnsi="Times New Roman" w:cs="Times New Roman"/>
                <w:szCs w:val="24"/>
                <w:u w:val="none" w:color="auto"/>
              </w:rPr>
              <w:t>项目</w:t>
            </w:r>
            <w:r>
              <w:rPr>
                <w:rFonts w:hint="default" w:ascii="Times New Roman" w:hAnsi="Times New Roman" w:eastAsia="宋体" w:cs="Times New Roman"/>
                <w:color w:val="333333"/>
                <w:sz w:val="24"/>
                <w:szCs w:val="24"/>
              </w:rPr>
              <w:t>属于“十八、橡胶和塑料制品业”的“46、轮胎制造、再生橡</w:t>
            </w:r>
            <w:r>
              <w:rPr>
                <w:rFonts w:hint="eastAsia" w:ascii="宋体" w:hAnsi="宋体" w:eastAsia="宋体" w:cs="宋体"/>
                <w:color w:val="333333"/>
                <w:sz w:val="24"/>
                <w:szCs w:val="24"/>
              </w:rPr>
              <w:t>胶制造、橡胶加工、橡胶制品制造及翻新”中的“其他”，项目不涉及轮胎制造</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硫化</w:t>
            </w:r>
            <w:r>
              <w:rPr>
                <w:rFonts w:hint="eastAsia" w:ascii="宋体" w:hAnsi="宋体" w:eastAsia="宋体" w:cs="宋体"/>
                <w:color w:val="333333"/>
                <w:sz w:val="24"/>
                <w:szCs w:val="24"/>
              </w:rPr>
              <w:t>和炼化工艺，需编制建设项目环境影响报告表</w:t>
            </w:r>
            <w:r>
              <w:rPr>
                <w:rFonts w:hint="eastAsia" w:cs="Times New Roman"/>
                <w:color w:val="auto"/>
                <w:szCs w:val="24"/>
                <w:u w:val="none" w:color="auto"/>
                <w:lang w:eastAsia="zh-CN"/>
              </w:rPr>
              <w:t>。</w:t>
            </w:r>
            <w:r>
              <w:rPr>
                <w:rFonts w:hint="default" w:ascii="Times New Roman" w:hAnsi="Times New Roman" w:cs="Times New Roman"/>
                <w:color w:val="auto"/>
                <w:szCs w:val="24"/>
                <w:u w:val="none" w:color="auto"/>
              </w:rPr>
              <w:t>为此，</w:t>
            </w:r>
            <w:r>
              <w:rPr>
                <w:rFonts w:hint="eastAsia" w:cs="Times New Roman"/>
                <w:color w:val="auto"/>
                <w:u w:val="none" w:color="auto"/>
                <w:lang w:eastAsia="zh-CN"/>
              </w:rPr>
              <w:t>湖南康每达新材料科技有限公司</w:t>
            </w:r>
            <w:r>
              <w:rPr>
                <w:rFonts w:hint="default" w:ascii="Times New Roman" w:hAnsi="Times New Roman" w:cs="Times New Roman"/>
                <w:color w:val="auto"/>
                <w:szCs w:val="24"/>
                <w:u w:val="none" w:color="auto"/>
              </w:rPr>
              <w:t>委托</w:t>
            </w:r>
            <w:r>
              <w:rPr>
                <w:rFonts w:hint="eastAsia" w:cs="Times New Roman"/>
                <w:color w:val="auto"/>
                <w:szCs w:val="24"/>
                <w:u w:val="none" w:color="auto"/>
                <w:lang w:eastAsia="zh-CN"/>
              </w:rPr>
              <w:t>河南金环环境影响评价有限公司</w:t>
            </w:r>
            <w:r>
              <w:rPr>
                <w:rFonts w:hint="default" w:ascii="Times New Roman" w:hAnsi="Times New Roman" w:cs="Times New Roman"/>
                <w:color w:val="auto"/>
                <w:szCs w:val="24"/>
                <w:u w:val="none" w:color="auto"/>
              </w:rPr>
              <w:t>承</w:t>
            </w:r>
            <w:r>
              <w:rPr>
                <w:rFonts w:hint="default" w:ascii="Times New Roman" w:hAnsi="Times New Roman" w:cs="Times New Roman"/>
                <w:szCs w:val="24"/>
                <w:u w:val="none" w:color="auto"/>
              </w:rPr>
              <w:t>担了《</w:t>
            </w:r>
            <w:r>
              <w:rPr>
                <w:rFonts w:hint="eastAsia" w:cs="Times New Roman"/>
                <w:szCs w:val="24"/>
                <w:u w:val="none" w:color="auto"/>
                <w:lang w:eastAsia="zh-CN"/>
              </w:rPr>
              <w:t>湖南康每达新材料科技有限公司年产45万个硅胶制品建设项目</w:t>
            </w:r>
            <w:r>
              <w:rPr>
                <w:rFonts w:hint="default" w:ascii="Times New Roman" w:hAnsi="Times New Roman" w:cs="Times New Roman"/>
                <w:szCs w:val="24"/>
                <w:u w:val="none" w:color="auto"/>
              </w:rPr>
              <w:t>》的环境影响评价工作</w:t>
            </w:r>
            <w:r>
              <w:rPr>
                <w:rFonts w:hint="default" w:ascii="Times New Roman" w:hAnsi="Times New Roman" w:cs="Times New Roman"/>
                <w:u w:val="none" w:color="auto"/>
              </w:rPr>
              <w:t>（委托书见附件1所示）</w:t>
            </w:r>
            <w:r>
              <w:rPr>
                <w:rFonts w:hint="default" w:ascii="Times New Roman" w:hAnsi="Times New Roman" w:cs="Times New Roman"/>
                <w:szCs w:val="24"/>
                <w:u w:val="none" w:color="auto"/>
              </w:rPr>
              <w:t>。接受委托后， 环评技术人员按照技术导则所规定原则、方法、内容和要求，通过现场踏勘，收集资料，走访调查，分析评价，在建设方提供的有关文件资料的基础上，编制了本环境影响报告表。</w:t>
            </w:r>
          </w:p>
          <w:p>
            <w:pPr>
              <w:pStyle w:val="187"/>
              <w:rPr>
                <w:rFonts w:hint="default"/>
                <w:color w:val="auto"/>
                <w:u w:val="none" w:color="auto"/>
              </w:rPr>
            </w:pPr>
            <w:r>
              <w:rPr>
                <w:rFonts w:hint="eastAsia"/>
                <w:color w:val="auto"/>
                <w:u w:val="none" w:color="auto"/>
                <w:lang w:val="en-US" w:eastAsia="zh-CN"/>
              </w:rPr>
              <w:t>2</w:t>
            </w:r>
            <w:r>
              <w:rPr>
                <w:rFonts w:hint="default"/>
                <w:color w:val="auto"/>
                <w:u w:val="none" w:color="auto"/>
              </w:rPr>
              <w:t>、编制依据</w:t>
            </w:r>
          </w:p>
          <w:p>
            <w:pPr>
              <w:pStyle w:val="187"/>
              <w:rPr>
                <w:rFonts w:hint="default"/>
                <w:color w:val="auto"/>
                <w:u w:val="none" w:color="auto"/>
              </w:rPr>
            </w:pPr>
            <w:r>
              <w:rPr>
                <w:rFonts w:hint="eastAsia"/>
                <w:color w:val="auto"/>
                <w:u w:val="none" w:color="auto"/>
                <w:lang w:val="en-US" w:eastAsia="zh-CN"/>
              </w:rPr>
              <w:t>2.</w:t>
            </w:r>
            <w:r>
              <w:rPr>
                <w:rFonts w:hint="default"/>
                <w:color w:val="auto"/>
                <w:u w:val="none" w:color="auto"/>
              </w:rPr>
              <w:t>1、法律法规</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（1）《中华人民共和国环境保护法》</w:t>
            </w:r>
            <w:r>
              <w:rPr>
                <w:rFonts w:hint="eastAsia" w:cs="Times New Roman"/>
                <w:color w:val="auto"/>
                <w:sz w:val="24"/>
                <w:szCs w:val="24"/>
                <w:u w:val="none" w:color="auto"/>
                <w:lang w:eastAsia="zh-CN"/>
              </w:rPr>
              <w:t>，</w:t>
            </w:r>
            <w:r>
              <w:rPr>
                <w:rFonts w:hint="eastAsia" w:ascii="Arial" w:hAnsi="Arial" w:eastAsia="宋体" w:cs="Arial"/>
                <w:i w:val="0"/>
                <w:caps w:val="0"/>
                <w:color w:val="333333"/>
                <w:spacing w:val="0"/>
                <w:sz w:val="24"/>
                <w:szCs w:val="24"/>
                <w:shd w:val="clear" w:fill="FFFFFF"/>
              </w:rPr>
              <w:t>2014年4月24日修订通过，自2015年1月1日起施行</w:t>
            </w:r>
            <w:r>
              <w:rPr>
                <w:rFonts w:hint="default" w:ascii="Times New Roman" w:hAnsi="Times New Roman" w:cs="Times New Roman"/>
                <w:color w:val="auto"/>
                <w:sz w:val="24"/>
                <w:szCs w:val="24"/>
                <w:u w:val="none" w:color="auto"/>
              </w:rPr>
              <w:t>；</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w:t>
            </w:r>
            <w:r>
              <w:rPr>
                <w:rFonts w:hint="default" w:ascii="Times New Roman" w:hAnsi="Times New Roman" w:cs="Times New Roman"/>
                <w:color w:val="auto"/>
                <w:sz w:val="24"/>
                <w:szCs w:val="24"/>
                <w:u w:val="none" w:color="auto"/>
              </w:rPr>
              <w:t>中华人民共和国环境影响评价法》</w:t>
            </w:r>
            <w:r>
              <w:rPr>
                <w:rFonts w:hint="default" w:ascii="Times New Roman" w:hAnsi="Times New Roman" w:cs="Times New Roman"/>
                <w:color w:val="auto"/>
                <w:sz w:val="24"/>
                <w:szCs w:val="24"/>
                <w:u w:val="none" w:color="auto"/>
                <w:lang w:eastAsia="zh-CN"/>
              </w:rPr>
              <w:t>，</w:t>
            </w:r>
            <w:r>
              <w:rPr>
                <w:rFonts w:hint="default" w:ascii="Times New Roman" w:hAnsi="Times New Roman" w:eastAsia="宋体" w:cs="Times New Roman"/>
                <w:i w:val="0"/>
                <w:caps w:val="0"/>
                <w:color w:val="333333"/>
                <w:spacing w:val="0"/>
                <w:sz w:val="24"/>
                <w:szCs w:val="24"/>
                <w:shd w:val="clear" w:fill="FFFFFF"/>
              </w:rPr>
              <w:t>2018年12月29日</w:t>
            </w:r>
            <w:r>
              <w:rPr>
                <w:rFonts w:hint="default" w:ascii="Times New Roman" w:hAnsi="Times New Roman" w:cs="Times New Roman"/>
                <w:color w:val="auto"/>
                <w:sz w:val="24"/>
                <w:szCs w:val="24"/>
                <w:u w:val="none" w:color="auto"/>
              </w:rPr>
              <w:t>；</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）《建设项目环境保护管理条例》</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2017年7月16日</w:t>
            </w:r>
            <w:r>
              <w:rPr>
                <w:rFonts w:hint="default" w:ascii="Times New Roman" w:hAnsi="Times New Roman" w:cs="Times New Roman"/>
                <w:color w:val="auto"/>
                <w:sz w:val="24"/>
                <w:szCs w:val="24"/>
                <w:u w:val="none" w:color="auto"/>
              </w:rPr>
              <w:t>；</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）《建设项目环境影响评价分类管理目录》</w:t>
            </w:r>
            <w:r>
              <w:rPr>
                <w:rFonts w:hint="default" w:ascii="Times New Roman" w:hAnsi="Times New Roman" w:cs="Times New Roman"/>
                <w:color w:val="auto"/>
                <w:sz w:val="24"/>
                <w:szCs w:val="24"/>
                <w:u w:val="none" w:color="auto"/>
                <w:lang w:eastAsia="zh-CN"/>
              </w:rPr>
              <w:t>，</w:t>
            </w:r>
            <w:r>
              <w:rPr>
                <w:rFonts w:hint="default" w:ascii="Times New Roman" w:hAnsi="Times New Roman" w:eastAsia="宋体" w:cs="Times New Roman"/>
                <w:i w:val="0"/>
                <w:caps w:val="0"/>
                <w:color w:val="333333"/>
                <w:spacing w:val="0"/>
                <w:sz w:val="24"/>
                <w:szCs w:val="24"/>
                <w:shd w:val="clear" w:fill="FFFFFF"/>
              </w:rPr>
              <w:t>2016年12月27日由环境保护部部务会议审议</w:t>
            </w:r>
            <w:r>
              <w:rPr>
                <w:rFonts w:hint="default" w:ascii="Times New Roman" w:hAnsi="Times New Roman" w:cs="Times New Roman"/>
                <w:color w:val="auto"/>
                <w:sz w:val="24"/>
                <w:szCs w:val="24"/>
                <w:u w:val="none" w:color="auto"/>
              </w:rPr>
              <w:t>通过，自2017年9月1日起施行</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2018年4月28日进行了部分调整</w:t>
            </w:r>
            <w:r>
              <w:rPr>
                <w:rFonts w:hint="default" w:ascii="Times New Roman" w:hAnsi="Times New Roman" w:cs="Times New Roman"/>
                <w:color w:val="auto"/>
                <w:sz w:val="24"/>
                <w:szCs w:val="24"/>
                <w:u w:val="none" w:color="auto"/>
              </w:rPr>
              <w:t>；</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rPr>
              <w:t>）《产业结构调整指导目录</w:t>
            </w:r>
            <w:r>
              <w:rPr>
                <w:rFonts w:hint="default" w:ascii="Times New Roman" w:hAnsi="Times New Roman" w:cs="Times New Roman"/>
                <w:color w:val="auto"/>
                <w:sz w:val="24"/>
                <w:szCs w:val="24"/>
                <w:u w:val="none" w:color="auto"/>
                <w:lang w:val="zh-CN"/>
              </w:rPr>
              <w:t>(201</w:t>
            </w:r>
            <w:r>
              <w:rPr>
                <w:rFonts w:hint="default" w:ascii="Times New Roman" w:hAnsi="Times New Roman" w:cs="Times New Roman"/>
                <w:color w:val="auto"/>
                <w:sz w:val="24"/>
                <w:szCs w:val="24"/>
                <w:u w:val="none" w:color="auto"/>
                <w:lang w:val="en-US" w:eastAsia="zh-CN"/>
              </w:rPr>
              <w:t>9</w:t>
            </w:r>
            <w:r>
              <w:rPr>
                <w:rFonts w:hint="default" w:ascii="Times New Roman" w:hAnsi="Times New Roman" w:cs="Times New Roman"/>
                <w:color w:val="auto"/>
                <w:sz w:val="24"/>
                <w:szCs w:val="24"/>
                <w:u w:val="none" w:color="auto"/>
                <w:lang w:val="zh-CN"/>
              </w:rPr>
              <w:t>年本)》，2019年8月27日第2次委务会议审议通过，现予公布，自2020年1月1日起施行；</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rPr>
              <w:t>）湖南省地方标准《用水定额》（DB43/T388-2020）</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2020年5月27日起正式施行；</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val="en-US" w:eastAsia="zh-CN"/>
              </w:rPr>
              <w:t>7</w:t>
            </w:r>
            <w:r>
              <w:rPr>
                <w:rFonts w:hint="default" w:ascii="Times New Roman" w:hAnsi="Times New Roman" w:cs="Times New Roman"/>
                <w:color w:val="auto"/>
                <w:sz w:val="24"/>
                <w:szCs w:val="24"/>
                <w:u w:val="none" w:color="auto"/>
              </w:rPr>
              <w:t>）《湖南省环境保护条例》</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2019年9月28日修订</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2020年1月1日实施</w:t>
            </w:r>
            <w:r>
              <w:rPr>
                <w:rFonts w:hint="default" w:ascii="Times New Roman" w:hAnsi="Times New Roman" w:cs="Times New Roman"/>
                <w:color w:val="auto"/>
                <w:sz w:val="24"/>
                <w:szCs w:val="24"/>
                <w:u w:val="none" w:color="auto"/>
              </w:rPr>
              <w:t>；</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lang w:val="zh-CN"/>
              </w:rPr>
            </w:pP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zh-CN"/>
              </w:rPr>
              <w:t>《关于切实加强风险防范严格环境影响评价管理的通知》</w:t>
            </w:r>
            <w:r>
              <w:rPr>
                <w:rFonts w:hint="eastAsia" w:ascii="Times New Roman" w:hAnsi="Times New Roman" w:cs="Times New Roman"/>
                <w:color w:val="auto"/>
                <w:sz w:val="24"/>
                <w:szCs w:val="24"/>
                <w:u w:val="none" w:color="auto"/>
                <w:lang w:val="zh-CN"/>
              </w:rPr>
              <w:t>，</w:t>
            </w:r>
            <w:r>
              <w:rPr>
                <w:rFonts w:hint="eastAsia" w:ascii="Times New Roman" w:hAnsi="Times New Roman" w:cs="Times New Roman"/>
                <w:color w:val="auto"/>
                <w:sz w:val="24"/>
                <w:szCs w:val="24"/>
                <w:u w:val="none" w:color="auto"/>
              </w:rPr>
              <w:t>环发〔2012〕98号</w:t>
            </w:r>
            <w:r>
              <w:rPr>
                <w:rFonts w:hint="default" w:ascii="Times New Roman" w:hAnsi="Times New Roman" w:cs="Times New Roman"/>
                <w:color w:val="auto"/>
                <w:sz w:val="24"/>
                <w:szCs w:val="24"/>
                <w:u w:val="none" w:color="auto"/>
                <w:lang w:val="zh-CN"/>
              </w:rPr>
              <w:t>；</w:t>
            </w:r>
          </w:p>
          <w:p>
            <w:pPr>
              <w:pStyle w:val="174"/>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u w:val="none" w:color="auto"/>
                <w:lang w:val="zh-CN"/>
              </w:rPr>
            </w:pP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9</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《挥发性有机物（VO</w:t>
            </w:r>
            <w:r>
              <w:rPr>
                <w:rFonts w:hint="default" w:ascii="Times New Roman" w:hAnsi="Times New Roman" w:eastAsia="宋体" w:cs="Times New Roman"/>
                <w:color w:val="auto"/>
                <w:kern w:val="0"/>
                <w:sz w:val="24"/>
                <w:szCs w:val="24"/>
                <w:u w:val="none" w:color="auto"/>
                <w:lang w:bidi="ar"/>
              </w:rPr>
              <w:t>CS）污染防治技术政策》</w:t>
            </w:r>
            <w:r>
              <w:rPr>
                <w:rFonts w:hint="eastAsia" w:ascii="Times New Roman" w:hAnsi="Times New Roman" w:cs="Times New Roman"/>
                <w:color w:val="auto"/>
                <w:kern w:val="0"/>
                <w:sz w:val="24"/>
                <w:szCs w:val="24"/>
                <w:u w:val="none" w:color="auto"/>
                <w:lang w:eastAsia="zh-CN" w:bidi="ar"/>
              </w:rPr>
              <w:t>，公告 2013年 第31号，</w:t>
            </w:r>
            <w:bookmarkStart w:id="15" w:name="_GoBack"/>
            <w:bookmarkEnd w:id="15"/>
            <w:r>
              <w:rPr>
                <w:rFonts w:hint="eastAsia" w:ascii="Times New Roman" w:hAnsi="Times New Roman" w:cs="Times New Roman"/>
                <w:color w:val="auto"/>
                <w:kern w:val="0"/>
                <w:sz w:val="24"/>
                <w:szCs w:val="24"/>
                <w:u w:val="none" w:color="auto"/>
                <w:lang w:eastAsia="zh-CN" w:bidi="ar"/>
              </w:rPr>
              <w:t xml:space="preserve"> 2013-05-24实施</w:t>
            </w:r>
            <w:r>
              <w:rPr>
                <w:rFonts w:hint="default" w:ascii="Times New Roman" w:hAnsi="Times New Roman" w:cs="Times New Roman"/>
                <w:color w:val="auto"/>
                <w:sz w:val="24"/>
                <w:szCs w:val="24"/>
                <w:u w:val="none" w:color="auto"/>
                <w:lang w:val="zh-CN"/>
              </w:rPr>
              <w:t>。</w:t>
            </w:r>
          </w:p>
          <w:p>
            <w:pPr>
              <w:pStyle w:val="187"/>
              <w:spacing w:line="360" w:lineRule="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w:t>
            </w:r>
            <w:r>
              <w:rPr>
                <w:rFonts w:hint="eastAsia" w:ascii="Times New Roman" w:hAnsi="Times New Roman" w:cs="Times New Roman"/>
                <w:color w:val="auto"/>
                <w:sz w:val="24"/>
                <w:szCs w:val="24"/>
                <w:u w:val="none" w:color="auto"/>
                <w:lang w:val="en-US" w:eastAsia="zh-CN"/>
              </w:rPr>
              <w:t>.2</w:t>
            </w:r>
            <w:r>
              <w:rPr>
                <w:rFonts w:hint="default" w:ascii="Times New Roman" w:hAnsi="Times New Roman" w:cs="Times New Roman"/>
                <w:color w:val="auto"/>
                <w:sz w:val="24"/>
                <w:szCs w:val="24"/>
                <w:u w:val="none" w:color="auto"/>
              </w:rPr>
              <w:t>、技术导则</w:t>
            </w:r>
          </w:p>
          <w:p>
            <w:pPr>
              <w:pStyle w:val="174"/>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w:t>
            </w:r>
            <w:r>
              <w:rPr>
                <w:rFonts w:hint="default" w:ascii="Times New Roman" w:hAnsi="Times New Roman" w:cs="Times New Roman"/>
                <w:color w:val="auto"/>
                <w:sz w:val="24"/>
                <w:szCs w:val="24"/>
                <w:u w:val="none" w:color="auto"/>
                <w:lang w:eastAsia="zh-CN"/>
              </w:rPr>
              <w:t>建设项目</w:t>
            </w:r>
            <w:r>
              <w:rPr>
                <w:rFonts w:hint="default" w:ascii="Times New Roman" w:hAnsi="Times New Roman" w:cs="Times New Roman"/>
                <w:color w:val="auto"/>
                <w:sz w:val="24"/>
                <w:szCs w:val="24"/>
                <w:u w:val="none" w:color="auto"/>
              </w:rPr>
              <w:t>环境影响评价技术导则  总纲》（HJ2.1-2016）；</w:t>
            </w:r>
          </w:p>
          <w:p>
            <w:pPr>
              <w:pStyle w:val="174"/>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（2）《环境影响评价技术导则  声环境》（HJ2.4-2009）；</w:t>
            </w:r>
          </w:p>
          <w:p>
            <w:pPr>
              <w:pStyle w:val="174"/>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（3）《环境影响评价技术导则  大气环境》（HJ2.2-20</w:t>
            </w:r>
            <w:r>
              <w:rPr>
                <w:rFonts w:hint="eastAsia" w:ascii="Times New Roman" w:hAnsi="Times New Roman" w:cs="Times New Roman"/>
                <w:color w:val="auto"/>
                <w:sz w:val="24"/>
                <w:szCs w:val="24"/>
                <w:u w:val="none" w:color="auto"/>
                <w:lang w:val="en-US" w:eastAsia="zh-CN"/>
              </w:rPr>
              <w:t>1</w:t>
            </w:r>
            <w:r>
              <w:rPr>
                <w:rFonts w:hint="default" w:ascii="Times New Roman" w:hAnsi="Times New Roman" w:cs="Times New Roman"/>
                <w:color w:val="auto"/>
                <w:sz w:val="24"/>
                <w:szCs w:val="24"/>
                <w:u w:val="none" w:color="auto"/>
              </w:rPr>
              <w:t>8）；</w:t>
            </w:r>
          </w:p>
          <w:p>
            <w:pPr>
              <w:pStyle w:val="174"/>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（4）《环境影响评价技术导则  地</w:t>
            </w:r>
            <w:r>
              <w:rPr>
                <w:rFonts w:hint="eastAsia" w:ascii="Times New Roman" w:hAnsi="Times New Roman" w:cs="Times New Roman"/>
                <w:color w:val="auto"/>
                <w:sz w:val="24"/>
                <w:szCs w:val="24"/>
                <w:u w:val="none" w:color="auto"/>
                <w:lang w:eastAsia="zh-CN"/>
              </w:rPr>
              <w:t>表</w:t>
            </w:r>
            <w:r>
              <w:rPr>
                <w:rFonts w:hint="default" w:ascii="Times New Roman" w:hAnsi="Times New Roman" w:cs="Times New Roman"/>
                <w:color w:val="auto"/>
                <w:sz w:val="24"/>
                <w:szCs w:val="24"/>
                <w:u w:val="none" w:color="auto"/>
              </w:rPr>
              <w:t>水环境》（HJ/T2.3-</w:t>
            </w:r>
            <w:r>
              <w:rPr>
                <w:rFonts w:hint="eastAsia" w:ascii="Times New Roman" w:hAnsi="Times New Roman" w:cs="Times New Roman"/>
                <w:color w:val="auto"/>
                <w:sz w:val="24"/>
                <w:szCs w:val="24"/>
                <w:u w:val="none" w:color="auto"/>
                <w:lang w:val="en-US" w:eastAsia="zh-CN"/>
              </w:rPr>
              <w:t>2018</w:t>
            </w:r>
            <w:r>
              <w:rPr>
                <w:rFonts w:hint="default" w:ascii="Times New Roman" w:hAnsi="Times New Roman" w:cs="Times New Roman"/>
                <w:color w:val="auto"/>
                <w:sz w:val="24"/>
                <w:szCs w:val="24"/>
                <w:u w:val="none" w:color="auto"/>
              </w:rPr>
              <w:t>）；</w:t>
            </w:r>
          </w:p>
          <w:p>
            <w:pPr>
              <w:pStyle w:val="174"/>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 xml:space="preserve">（5）《环境影响评价技术导则  </w:t>
            </w:r>
            <w:r>
              <w:rPr>
                <w:rFonts w:hint="default" w:ascii="Times New Roman" w:hAnsi="Times New Roman" w:cs="Times New Roman"/>
                <w:color w:val="auto"/>
                <w:sz w:val="24"/>
                <w:szCs w:val="24"/>
                <w:u w:val="none" w:color="auto"/>
                <w:lang w:eastAsia="zh-CN"/>
              </w:rPr>
              <w:t>地下</w:t>
            </w:r>
            <w:r>
              <w:rPr>
                <w:rFonts w:hint="default" w:ascii="Times New Roman" w:hAnsi="Times New Roman" w:cs="Times New Roman"/>
                <w:color w:val="auto"/>
                <w:sz w:val="24"/>
                <w:szCs w:val="24"/>
                <w:u w:val="none" w:color="auto"/>
              </w:rPr>
              <w:t>水环境》（HJ</w:t>
            </w:r>
            <w:r>
              <w:rPr>
                <w:rFonts w:hint="default" w:ascii="Times New Roman" w:hAnsi="Times New Roman" w:cs="Times New Roman"/>
                <w:color w:val="auto"/>
                <w:sz w:val="24"/>
                <w:szCs w:val="24"/>
                <w:u w:val="none" w:color="auto"/>
                <w:lang w:val="en-US" w:eastAsia="zh-CN"/>
              </w:rPr>
              <w:t>610</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val="en-US" w:eastAsia="zh-CN"/>
              </w:rPr>
              <w:t>201</w:t>
            </w:r>
            <w:r>
              <w:rPr>
                <w:rFonts w:hint="eastAsia" w:ascii="Times New Roman" w:hAnsi="Times New Roman"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rPr>
              <w:t>）；</w:t>
            </w:r>
          </w:p>
          <w:p>
            <w:pPr>
              <w:pStyle w:val="174"/>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cs="Times New Roman"/>
                <w:color w:val="auto"/>
                <w:sz w:val="24"/>
                <w:szCs w:val="24"/>
                <w:u w:val="none" w:color="auto"/>
                <w:lang w:eastAsia="zh-CN"/>
              </w:rPr>
            </w:pPr>
            <w:r>
              <w:rPr>
                <w:rFonts w:hint="default" w:ascii="Times New Roman" w:hAnsi="Times New Roman" w:cs="Times New Roman"/>
                <w:color w:val="auto"/>
                <w:sz w:val="24"/>
                <w:szCs w:val="24"/>
                <w:u w:val="none" w:color="auto"/>
              </w:rPr>
              <w:t>（6）《建设项目环境风险评价技术导则》(HJ/T169-20</w:t>
            </w:r>
            <w:r>
              <w:rPr>
                <w:rFonts w:hint="eastAsia" w:ascii="Times New Roman" w:hAnsi="Times New Roman" w:cs="Times New Roman"/>
                <w:color w:val="auto"/>
                <w:sz w:val="24"/>
                <w:szCs w:val="24"/>
                <w:u w:val="none" w:color="auto"/>
                <w:lang w:val="en-US" w:eastAsia="zh-CN"/>
              </w:rPr>
              <w:t>18</w:t>
            </w:r>
            <w:r>
              <w:rPr>
                <w:rFonts w:hint="default" w:ascii="Times New Roman" w:hAnsi="Times New Roman" w:cs="Times New Roman"/>
                <w:color w:val="auto"/>
                <w:sz w:val="24"/>
                <w:szCs w:val="24"/>
                <w:u w:val="none" w:color="auto"/>
              </w:rPr>
              <w:t>)</w:t>
            </w:r>
            <w:r>
              <w:rPr>
                <w:rFonts w:hint="eastAsia" w:ascii="Times New Roman" w:hAnsi="Times New Roman" w:cs="Times New Roman"/>
                <w:color w:val="auto"/>
                <w:sz w:val="24"/>
                <w:szCs w:val="24"/>
                <w:u w:val="none" w:color="auto"/>
                <w:lang w:eastAsia="zh-CN"/>
              </w:rPr>
              <w:t>。</w:t>
            </w:r>
          </w:p>
          <w:p>
            <w:pPr>
              <w:pStyle w:val="174"/>
              <w:keepNext w:val="0"/>
              <w:keepLines w:val="0"/>
              <w:pageBreakBefore w:val="0"/>
              <w:kinsoku/>
              <w:wordWrap/>
              <w:overflowPunct/>
              <w:topLinePunct w:val="0"/>
              <w:autoSpaceDE/>
              <w:autoSpaceDN/>
              <w:bidi w:val="0"/>
              <w:adjustRightInd/>
              <w:spacing w:line="360" w:lineRule="auto"/>
              <w:ind w:right="0" w:firstLine="480" w:firstLineChars="200"/>
              <w:textAlignment w:val="auto"/>
              <w:rPr>
                <w:rFonts w:hint="eastAsia" w:ascii="Times New Roman" w:hAnsi="Times New Roman" w:cs="Times New Roman"/>
                <w:color w:val="auto"/>
                <w:sz w:val="24"/>
                <w:szCs w:val="24"/>
                <w:u w:val="none" w:color="auto"/>
                <w:lang w:val="en-US" w:eastAsia="zh-CN"/>
              </w:rPr>
            </w:pPr>
            <w:r>
              <w:rPr>
                <w:rFonts w:hint="eastAsia" w:ascii="Times New Roman" w:hAnsi="Times New Roman" w:cs="Times New Roman"/>
                <w:color w:val="auto"/>
                <w:sz w:val="24"/>
                <w:szCs w:val="24"/>
                <w:u w:val="none" w:color="auto"/>
                <w:lang w:val="en-US" w:eastAsia="zh-CN"/>
              </w:rPr>
              <w:t>（7）《环境影响评价技术导则  土壤环境（试行）》（HJ 964-2018）</w:t>
            </w:r>
          </w:p>
          <w:p>
            <w:pPr>
              <w:snapToGrid w:val="0"/>
              <w:spacing w:line="360" w:lineRule="auto"/>
              <w:ind w:right="113" w:firstLine="482" w:firstLineChars="200"/>
              <w:rPr>
                <w:rFonts w:hint="default" w:ascii="Times New Roman" w:hAnsi="Times New Roman" w:cs="Times New Roman"/>
                <w:b/>
                <w:bCs/>
                <w:sz w:val="24"/>
                <w:szCs w:val="24"/>
                <w:u w:val="none" w:color="auto"/>
              </w:rPr>
            </w:pPr>
            <w:r>
              <w:rPr>
                <w:rFonts w:hint="eastAsia" w:cs="Times New Roman"/>
                <w:b/>
                <w:bCs/>
                <w:sz w:val="24"/>
                <w:szCs w:val="24"/>
                <w:u w:val="none" w:color="auto"/>
                <w:lang w:val="en-US" w:eastAsia="zh-CN"/>
              </w:rPr>
              <w:t>3</w:t>
            </w:r>
            <w:r>
              <w:rPr>
                <w:rFonts w:hint="default" w:ascii="Times New Roman" w:hAnsi="Times New Roman" w:cs="Times New Roman"/>
                <w:b/>
                <w:bCs/>
                <w:sz w:val="24"/>
                <w:szCs w:val="24"/>
                <w:u w:val="none" w:color="auto"/>
              </w:rPr>
              <w:t>. 项目概况</w:t>
            </w:r>
          </w:p>
          <w:p>
            <w:pPr>
              <w:pStyle w:val="179"/>
              <w:spacing w:line="384" w:lineRule="auto"/>
              <w:jc w:val="left"/>
              <w:rPr>
                <w:rFonts w:hint="default" w:ascii="Times New Roman" w:hAnsi="Times New Roman" w:cs="Times New Roman"/>
                <w:u w:val="none" w:color="auto"/>
              </w:rPr>
            </w:pPr>
            <w:r>
              <w:rPr>
                <w:rFonts w:hint="default" w:ascii="Times New Roman" w:hAnsi="Times New Roman" w:cs="Times New Roman"/>
                <w:u w:val="none" w:color="auto"/>
              </w:rPr>
              <w:t>（1）项目名称：</w:t>
            </w:r>
            <w:r>
              <w:rPr>
                <w:rFonts w:hint="eastAsia" w:cs="Times New Roman"/>
                <w:szCs w:val="24"/>
                <w:u w:val="none" w:color="auto"/>
                <w:lang w:eastAsia="zh-CN"/>
              </w:rPr>
              <w:t>年产45万个硅胶制品建设项目</w:t>
            </w:r>
            <w:r>
              <w:rPr>
                <w:rFonts w:hint="default" w:ascii="Times New Roman" w:hAnsi="Times New Roman" w:cs="Times New Roman"/>
                <w:u w:val="none" w:color="auto"/>
              </w:rPr>
              <w:t>；</w:t>
            </w:r>
          </w:p>
          <w:p>
            <w:pPr>
              <w:pStyle w:val="179"/>
              <w:spacing w:line="384" w:lineRule="auto"/>
              <w:jc w:val="left"/>
              <w:rPr>
                <w:rFonts w:hint="default" w:ascii="Times New Roman" w:hAnsi="Times New Roman" w:cs="Times New Roman"/>
                <w:u w:val="none" w:color="auto"/>
              </w:rPr>
            </w:pPr>
            <w:r>
              <w:rPr>
                <w:rFonts w:hint="default" w:ascii="Times New Roman" w:hAnsi="Times New Roman" w:cs="Times New Roman"/>
                <w:u w:val="none" w:color="auto"/>
              </w:rPr>
              <w:t>（2）建设单位：</w:t>
            </w:r>
            <w:r>
              <w:rPr>
                <w:rFonts w:hint="eastAsia" w:cs="Times New Roman"/>
                <w:u w:val="none" w:color="auto"/>
                <w:lang w:eastAsia="zh-CN"/>
              </w:rPr>
              <w:t>湖南康每达新材料科技有限公司</w:t>
            </w:r>
            <w:r>
              <w:rPr>
                <w:rFonts w:hint="default" w:ascii="Times New Roman" w:hAnsi="Times New Roman" w:cs="Times New Roman"/>
                <w:u w:val="none" w:color="auto"/>
              </w:rPr>
              <w:t>；</w:t>
            </w:r>
          </w:p>
          <w:p>
            <w:pPr>
              <w:pStyle w:val="179"/>
              <w:spacing w:line="384" w:lineRule="auto"/>
              <w:jc w:val="left"/>
              <w:rPr>
                <w:rFonts w:hint="default" w:ascii="Times New Roman" w:hAnsi="Times New Roman" w:cs="Times New Roman"/>
                <w:u w:val="none" w:color="auto"/>
              </w:rPr>
            </w:pPr>
            <w:r>
              <w:rPr>
                <w:rFonts w:hint="default" w:ascii="Times New Roman" w:hAnsi="Times New Roman" w:cs="Times New Roman"/>
                <w:u w:val="none" w:color="auto"/>
              </w:rPr>
              <w:t>（3）建设地点：</w:t>
            </w:r>
            <w:r>
              <w:rPr>
                <w:rFonts w:hint="eastAsia" w:cs="Times New Roman"/>
                <w:u w:val="none" w:color="auto"/>
                <w:lang w:eastAsia="zh-CN"/>
              </w:rPr>
              <w:t>岳阳市湘阴县金龙新区工业园湖南卓达置业有限公司一期7A栋</w:t>
            </w:r>
            <w:r>
              <w:rPr>
                <w:rFonts w:hint="default" w:ascii="Times New Roman" w:hAnsi="Times New Roman" w:cs="Times New Roman"/>
                <w:u w:val="none" w:color="auto"/>
              </w:rPr>
              <w:t>；</w:t>
            </w:r>
          </w:p>
          <w:p>
            <w:pPr>
              <w:pStyle w:val="179"/>
              <w:spacing w:line="384" w:lineRule="auto"/>
              <w:jc w:val="left"/>
              <w:rPr>
                <w:rFonts w:hint="default" w:ascii="Times New Roman" w:hAnsi="Times New Roman" w:cs="Times New Roman"/>
                <w:u w:val="none" w:color="auto"/>
              </w:rPr>
            </w:pPr>
            <w:r>
              <w:rPr>
                <w:rFonts w:hint="default" w:ascii="Times New Roman" w:hAnsi="Times New Roman" w:cs="Times New Roman"/>
                <w:u w:val="none" w:color="auto"/>
              </w:rPr>
              <w:t>（4）项目性质：新建；</w:t>
            </w:r>
          </w:p>
          <w:p>
            <w:pPr>
              <w:pStyle w:val="179"/>
              <w:spacing w:line="384" w:lineRule="auto"/>
              <w:jc w:val="left"/>
              <w:rPr>
                <w:rFonts w:hint="default" w:ascii="Times New Roman" w:hAnsi="Times New Roman" w:cs="Times New Roman"/>
                <w:u w:val="none" w:color="auto"/>
              </w:rPr>
            </w:pPr>
            <w:r>
              <w:rPr>
                <w:rFonts w:hint="default" w:ascii="Times New Roman" w:hAnsi="Times New Roman" w:cs="Times New Roman"/>
                <w:u w:val="none" w:color="auto"/>
              </w:rPr>
              <w:t>（5）建设规模：项目总占地面积约</w:t>
            </w:r>
            <w:r>
              <w:rPr>
                <w:rFonts w:hint="eastAsia" w:cs="Times New Roman"/>
                <w:u w:val="none" w:color="auto"/>
                <w:lang w:val="en-US" w:eastAsia="zh-CN"/>
              </w:rPr>
              <w:t>612.39</w:t>
            </w:r>
            <w:r>
              <w:rPr>
                <w:rFonts w:hint="default" w:ascii="Times New Roman" w:hAnsi="Times New Roman" w:cs="Times New Roman"/>
                <w:u w:val="none" w:color="auto"/>
              </w:rPr>
              <w:t>m</w:t>
            </w:r>
            <w:r>
              <w:rPr>
                <w:rFonts w:hint="default" w:ascii="Times New Roman" w:hAnsi="Times New Roman" w:cs="Times New Roman"/>
                <w:u w:val="none" w:color="auto"/>
                <w:vertAlign w:val="superscript"/>
              </w:rPr>
              <w:t>2</w:t>
            </w:r>
            <w:r>
              <w:rPr>
                <w:rFonts w:hint="default" w:ascii="Times New Roman" w:hAnsi="Times New Roman" w:cs="Times New Roman"/>
                <w:u w:val="none" w:color="auto"/>
              </w:rPr>
              <w:t>。</w:t>
            </w:r>
          </w:p>
          <w:p>
            <w:pPr>
              <w:pStyle w:val="179"/>
              <w:spacing w:line="384" w:lineRule="auto"/>
              <w:jc w:val="left"/>
              <w:rPr>
                <w:rFonts w:hint="default" w:ascii="Times New Roman" w:hAnsi="Times New Roman" w:cs="Times New Roman"/>
                <w:color w:val="0000FF"/>
                <w:u w:val="none" w:color="auto"/>
              </w:rPr>
            </w:pPr>
            <w:r>
              <w:rPr>
                <w:rFonts w:hint="default" w:ascii="Times New Roman" w:hAnsi="Times New Roman" w:cs="Times New Roman"/>
                <w:u w:val="none" w:color="auto"/>
              </w:rPr>
              <w:t>（6）总投资：</w:t>
            </w:r>
            <w:r>
              <w:rPr>
                <w:rFonts w:hint="eastAsia" w:cs="Times New Roman"/>
                <w:color w:val="auto"/>
                <w:u w:val="none" w:color="auto"/>
                <w:lang w:val="en-US" w:eastAsia="zh-CN"/>
              </w:rPr>
              <w:t>1000万元</w:t>
            </w:r>
            <w:r>
              <w:rPr>
                <w:rFonts w:hint="default" w:ascii="Times New Roman" w:hAnsi="Times New Roman" w:cs="Times New Roman"/>
                <w:color w:val="auto"/>
                <w:u w:val="none" w:color="auto"/>
              </w:rPr>
              <w:t>，其中环保投资</w:t>
            </w:r>
            <w:r>
              <w:rPr>
                <w:rFonts w:hint="eastAsia" w:cs="Times New Roman"/>
                <w:color w:val="auto"/>
                <w:u w:val="none" w:color="auto"/>
                <w:lang w:val="en-US" w:eastAsia="zh-CN"/>
              </w:rPr>
              <w:t>26</w:t>
            </w:r>
            <w:r>
              <w:rPr>
                <w:rFonts w:hint="default" w:ascii="Times New Roman" w:hAnsi="Times New Roman" w:cs="Times New Roman"/>
                <w:color w:val="auto"/>
                <w:u w:val="none" w:color="auto"/>
              </w:rPr>
              <w:t>万。</w:t>
            </w:r>
          </w:p>
          <w:p>
            <w:pPr>
              <w:pStyle w:val="179"/>
              <w:spacing w:line="384" w:lineRule="auto"/>
              <w:jc w:val="left"/>
              <w:rPr>
                <w:rFonts w:hint="default" w:ascii="Times New Roman" w:hAnsi="Times New Roman" w:cs="Times New Roman"/>
                <w:b/>
                <w:u w:val="none" w:color="auto"/>
              </w:rPr>
            </w:pPr>
            <w:r>
              <w:rPr>
                <w:rFonts w:hint="default" w:ascii="Times New Roman" w:hAnsi="Times New Roman" w:cs="Times New Roman"/>
                <w:u w:val="none" w:color="auto"/>
              </w:rPr>
              <w:t>（7）劳动定员：厂区员工人数</w:t>
            </w:r>
            <w:r>
              <w:rPr>
                <w:rFonts w:hint="eastAsia" w:cs="Times New Roman"/>
                <w:u w:val="none" w:color="auto"/>
                <w:lang w:val="en-US" w:eastAsia="zh-CN"/>
              </w:rPr>
              <w:t>25</w:t>
            </w:r>
            <w:r>
              <w:rPr>
                <w:rFonts w:hint="default" w:ascii="Times New Roman" w:hAnsi="Times New Roman" w:cs="Times New Roman"/>
                <w:u w:val="none" w:color="auto"/>
              </w:rPr>
              <w:t>人</w:t>
            </w:r>
            <w:r>
              <w:rPr>
                <w:rFonts w:hint="default" w:ascii="Times New Roman" w:hAnsi="Times New Roman" w:cs="Times New Roman"/>
                <w:u w:val="none" w:color="auto"/>
                <w:lang w:eastAsia="zh-CN"/>
              </w:rPr>
              <w:t>，均不在厂内食宿</w:t>
            </w:r>
            <w:r>
              <w:rPr>
                <w:rFonts w:hint="default" w:ascii="Times New Roman" w:hAnsi="Times New Roman" w:cs="Times New Roman"/>
                <w:u w:val="none" w:color="auto"/>
              </w:rPr>
              <w:t>，年工作时间为300天，每天工作8小时。</w:t>
            </w:r>
          </w:p>
          <w:p>
            <w:pPr>
              <w:pStyle w:val="4"/>
              <w:spacing w:before="0" w:beforeLines="0"/>
              <w:ind w:firstLine="482"/>
              <w:rPr>
                <w:rFonts w:hint="default" w:ascii="Times New Roman" w:hAnsi="Times New Roman" w:cs="Times New Roman"/>
                <w:b/>
                <w:u w:val="none" w:color="auto"/>
              </w:rPr>
            </w:pPr>
            <w:r>
              <w:rPr>
                <w:rFonts w:hint="eastAsia" w:cs="Times New Roman"/>
                <w:b/>
                <w:u w:val="none" w:color="auto"/>
                <w:lang w:val="en-US" w:eastAsia="zh-CN"/>
              </w:rPr>
              <w:t>4</w:t>
            </w:r>
            <w:r>
              <w:rPr>
                <w:rFonts w:hint="default" w:ascii="Times New Roman" w:hAnsi="Times New Roman" w:cs="Times New Roman"/>
                <w:b/>
                <w:u w:val="none" w:color="auto"/>
              </w:rPr>
              <w:t>、主要建设内容及规模</w:t>
            </w:r>
          </w:p>
          <w:p>
            <w:pPr>
              <w:snapToGrid w:val="0"/>
              <w:spacing w:line="360" w:lineRule="auto"/>
              <w:ind w:firstLine="470" w:firstLineChars="196"/>
              <w:rPr>
                <w:rFonts w:hint="default" w:ascii="Times New Roman" w:hAnsi="Times New Roman" w:cs="Times New Roman"/>
                <w:bCs/>
                <w:sz w:val="24"/>
                <w:u w:val="none" w:color="auto"/>
              </w:rPr>
            </w:pPr>
            <w:r>
              <w:rPr>
                <w:rFonts w:hint="default" w:ascii="Times New Roman" w:hAnsi="Times New Roman" w:cs="Times New Roman"/>
                <w:bCs/>
                <w:sz w:val="24"/>
                <w:u w:val="none" w:color="auto"/>
              </w:rPr>
              <w:t>本项目选址于</w:t>
            </w:r>
            <w:r>
              <w:rPr>
                <w:rFonts w:hint="eastAsia" w:cs="Times New Roman"/>
                <w:sz w:val="24"/>
                <w:szCs w:val="24"/>
                <w:u w:val="none" w:color="auto"/>
                <w:lang w:eastAsia="zh-CN"/>
              </w:rPr>
              <w:t>岳阳市湘阴县金龙新区工业园湖南卓达置业有限公司一期7A栋（共</w:t>
            </w:r>
            <w:r>
              <w:rPr>
                <w:rFonts w:hint="eastAsia" w:cs="Times New Roman"/>
                <w:sz w:val="24"/>
                <w:szCs w:val="24"/>
                <w:u w:val="none" w:color="auto"/>
                <w:lang w:val="en-US" w:eastAsia="zh-CN"/>
              </w:rPr>
              <w:t>4层</w:t>
            </w:r>
            <w:r>
              <w:rPr>
                <w:rFonts w:hint="eastAsia" w:cs="Times New Roman"/>
                <w:sz w:val="24"/>
                <w:szCs w:val="24"/>
                <w:u w:val="none" w:color="auto"/>
                <w:lang w:eastAsia="zh-CN"/>
              </w:rPr>
              <w:t>）现有厂房进行生产</w:t>
            </w:r>
            <w:r>
              <w:rPr>
                <w:rFonts w:hint="default" w:ascii="Times New Roman" w:hAnsi="Times New Roman" w:cs="Times New Roman"/>
                <w:bCs/>
                <w:sz w:val="24"/>
                <w:u w:val="none" w:color="auto"/>
              </w:rPr>
              <w:t>，</w:t>
            </w:r>
            <w:r>
              <w:rPr>
                <w:rFonts w:hint="eastAsia" w:cs="Times New Roman"/>
                <w:bCs/>
                <w:sz w:val="24"/>
                <w:szCs w:val="24"/>
                <w:u w:val="none" w:color="auto"/>
                <w:lang w:eastAsia="zh-CN"/>
              </w:rPr>
              <w:t>项目建成后，</w:t>
            </w:r>
            <w:r>
              <w:rPr>
                <w:rFonts w:hint="eastAsia" w:cs="Times New Roman"/>
                <w:sz w:val="24"/>
                <w:szCs w:val="24"/>
                <w:u w:val="none" w:color="auto"/>
                <w:lang w:eastAsia="zh-CN"/>
              </w:rPr>
              <w:t>年产45万个硅胶制品，</w:t>
            </w:r>
            <w:r>
              <w:rPr>
                <w:rFonts w:hint="eastAsia" w:cs="Times New Roman"/>
                <w:sz w:val="24"/>
                <w:szCs w:val="22"/>
                <w:u w:val="none" w:color="auto"/>
                <w:lang w:val="en-US" w:eastAsia="zh-CN"/>
              </w:rPr>
              <w:t>为硅胶类美容练习耗材（年产40万个），康体仪器配件（年产2万个）、新能源汽车零配件（年产3万个）</w:t>
            </w:r>
            <w:r>
              <w:rPr>
                <w:rFonts w:hint="default" w:ascii="Times New Roman" w:hAnsi="Times New Roman" w:cs="Times New Roman"/>
                <w:sz w:val="24"/>
                <w:szCs w:val="24"/>
                <w:u w:val="none" w:color="auto"/>
              </w:rPr>
              <w:t>。</w:t>
            </w:r>
            <w:r>
              <w:rPr>
                <w:rFonts w:hint="default" w:ascii="Times New Roman" w:hAnsi="Times New Roman" w:cs="Times New Roman"/>
                <w:bCs/>
                <w:sz w:val="24"/>
                <w:szCs w:val="24"/>
                <w:u w:val="none" w:color="auto"/>
              </w:rPr>
              <w:t>项目</w:t>
            </w:r>
            <w:r>
              <w:rPr>
                <w:rFonts w:hint="default" w:ascii="Times New Roman" w:hAnsi="Times New Roman" w:cs="Times New Roman"/>
                <w:bCs/>
                <w:sz w:val="24"/>
                <w:u w:val="none" w:color="auto"/>
              </w:rPr>
              <w:t>具体建设内容如表1-1所示：</w:t>
            </w:r>
          </w:p>
          <w:p>
            <w:pPr>
              <w:adjustRightInd w:val="0"/>
              <w:snapToGrid w:val="0"/>
              <w:jc w:val="center"/>
              <w:rPr>
                <w:rFonts w:hint="default" w:ascii="Times New Roman" w:hAnsi="Times New Roman" w:cs="Times New Roman"/>
                <w:b/>
                <w:sz w:val="24"/>
                <w:szCs w:val="24"/>
                <w:u w:val="none" w:color="auto"/>
              </w:rPr>
            </w:pPr>
            <w:r>
              <w:rPr>
                <w:rFonts w:hint="default" w:ascii="Times New Roman" w:hAnsi="Times New Roman" w:cs="Times New Roman"/>
                <w:b/>
                <w:sz w:val="24"/>
                <w:szCs w:val="24"/>
                <w:u w:val="none" w:color="auto"/>
              </w:rPr>
              <w:t>表1-1  项目组成一览表</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2074"/>
              <w:gridCol w:w="921"/>
              <w:gridCol w:w="5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3"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sz w:val="24"/>
                      <w:szCs w:val="24"/>
                      <w:u w:val="none" w:color="auto"/>
                    </w:rPr>
                  </w:pPr>
                  <w:r>
                    <w:rPr>
                      <w:rFonts w:hint="default" w:ascii="Times New Roman" w:hAnsi="Times New Roman" w:eastAsia="宋体" w:cs="Times New Roman"/>
                      <w:b/>
                      <w:sz w:val="24"/>
                      <w:szCs w:val="24"/>
                      <w:u w:val="none" w:color="auto"/>
                    </w:rPr>
                    <w:t>建设项目</w:t>
                  </w:r>
                </w:p>
              </w:tc>
              <w:tc>
                <w:tcPr>
                  <w:tcW w:w="3456"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sz w:val="24"/>
                      <w:szCs w:val="24"/>
                      <w:u w:val="none" w:color="auto"/>
                    </w:rPr>
                  </w:pPr>
                  <w:r>
                    <w:rPr>
                      <w:rFonts w:hint="default" w:ascii="Times New Roman" w:hAnsi="Times New Roman" w:eastAsia="宋体" w:cs="Times New Roman"/>
                      <w:b/>
                      <w:sz w:val="24"/>
                      <w:szCs w:val="24"/>
                      <w:u w:val="none" w:color="auto"/>
                    </w:rPr>
                    <w:t>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43" w:type="pct"/>
                  <w:gridSpan w:val="2"/>
                  <w:vMerge w:val="restar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主体工程</w:t>
                  </w:r>
                </w:p>
              </w:tc>
              <w:tc>
                <w:tcPr>
                  <w:tcW w:w="507"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sz w:val="24"/>
                      <w:szCs w:val="24"/>
                      <w:u w:val="none" w:color="auto"/>
                      <w:lang w:eastAsia="zh-CN"/>
                    </w:rPr>
                  </w:pPr>
                  <w:r>
                    <w:rPr>
                      <w:rFonts w:hint="eastAsia" w:cs="Times New Roman"/>
                      <w:bCs/>
                      <w:sz w:val="24"/>
                      <w:szCs w:val="24"/>
                      <w:u w:val="none" w:color="auto"/>
                      <w:lang w:eastAsia="zh-CN"/>
                    </w:rPr>
                    <w:t>一层</w:t>
                  </w:r>
                </w:p>
              </w:tc>
              <w:tc>
                <w:tcPr>
                  <w:tcW w:w="2949"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color w:val="auto"/>
                      <w:sz w:val="24"/>
                      <w:szCs w:val="24"/>
                      <w:u w:val="none" w:color="auto"/>
                    </w:rPr>
                  </w:pPr>
                  <w:r>
                    <w:rPr>
                      <w:rFonts w:hint="default" w:ascii="Times New Roman" w:hAnsi="Times New Roman" w:eastAsia="宋体" w:cs="Times New Roman"/>
                      <w:bCs/>
                      <w:color w:val="auto"/>
                      <w:sz w:val="24"/>
                      <w:szCs w:val="24"/>
                      <w:u w:val="none" w:color="auto"/>
                    </w:rPr>
                    <w:t>总建筑面积</w:t>
                  </w:r>
                  <w:r>
                    <w:rPr>
                      <w:rFonts w:hint="eastAsia" w:cs="Times New Roman"/>
                      <w:bCs/>
                      <w:color w:val="auto"/>
                      <w:sz w:val="24"/>
                      <w:szCs w:val="24"/>
                      <w:u w:val="none" w:color="auto"/>
                      <w:lang w:val="en-US" w:eastAsia="zh-CN"/>
                    </w:rPr>
                    <w:t>612.39</w:t>
                  </w:r>
                  <w:r>
                    <w:rPr>
                      <w:rFonts w:hint="default" w:ascii="Times New Roman" w:hAnsi="Times New Roman" w:eastAsia="宋体" w:cs="Times New Roman"/>
                      <w:bCs/>
                      <w:color w:val="auto"/>
                      <w:sz w:val="24"/>
                      <w:szCs w:val="24"/>
                      <w:u w:val="none" w:color="auto"/>
                    </w:rPr>
                    <w:t>m</w:t>
                  </w:r>
                  <w:r>
                    <w:rPr>
                      <w:rFonts w:hint="default" w:ascii="Times New Roman" w:hAnsi="Times New Roman" w:eastAsia="宋体" w:cs="Times New Roman"/>
                      <w:bCs/>
                      <w:color w:val="auto"/>
                      <w:sz w:val="24"/>
                      <w:szCs w:val="24"/>
                      <w:u w:val="none" w:color="auto"/>
                      <w:vertAlign w:val="superscript"/>
                    </w:rPr>
                    <w:t>2</w:t>
                  </w:r>
                  <w:r>
                    <w:rPr>
                      <w:rFonts w:hint="default" w:ascii="Times New Roman" w:hAnsi="Times New Roman" w:eastAsia="宋体" w:cs="Times New Roman"/>
                      <w:bCs/>
                      <w:color w:val="auto"/>
                      <w:sz w:val="24"/>
                      <w:szCs w:val="24"/>
                      <w:u w:val="none" w:color="auto"/>
                    </w:rPr>
                    <w:t>，</w:t>
                  </w:r>
                  <w:r>
                    <w:rPr>
                      <w:rFonts w:hint="eastAsia" w:cs="Times New Roman"/>
                      <w:bCs/>
                      <w:color w:val="auto"/>
                      <w:sz w:val="24"/>
                      <w:szCs w:val="24"/>
                      <w:u w:val="none" w:color="auto"/>
                      <w:lang w:eastAsia="zh-CN"/>
                    </w:rPr>
                    <w:t>原料堆放区、生产车间、危废储存间（</w:t>
                  </w:r>
                  <w:r>
                    <w:rPr>
                      <w:rFonts w:hint="eastAsia" w:cs="Times New Roman"/>
                      <w:bCs/>
                      <w:color w:val="auto"/>
                      <w:sz w:val="24"/>
                      <w:szCs w:val="24"/>
                      <w:u w:val="none" w:color="auto"/>
                      <w:lang w:val="en-US" w:eastAsia="zh-CN"/>
                    </w:rPr>
                    <w:t>5m</w:t>
                  </w:r>
                  <w:r>
                    <w:rPr>
                      <w:rFonts w:hint="eastAsia" w:cs="Times New Roman"/>
                      <w:bCs/>
                      <w:color w:val="auto"/>
                      <w:sz w:val="24"/>
                      <w:szCs w:val="24"/>
                      <w:u w:val="none" w:color="auto"/>
                      <w:vertAlign w:val="superscript"/>
                      <w:lang w:val="en-US" w:eastAsia="zh-CN"/>
                    </w:rPr>
                    <w:t>2</w:t>
                  </w:r>
                  <w:r>
                    <w:rPr>
                      <w:rFonts w:hint="eastAsia" w:cs="Times New Roman"/>
                      <w:bCs/>
                      <w:color w:val="auto"/>
                      <w:sz w:val="24"/>
                      <w:szCs w:val="24"/>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543" w:type="pct"/>
                  <w:gridSpan w:val="2"/>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p>
              </w:tc>
              <w:tc>
                <w:tcPr>
                  <w:tcW w:w="507"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sz w:val="24"/>
                      <w:szCs w:val="24"/>
                      <w:u w:val="none" w:color="auto"/>
                      <w:lang w:eastAsia="zh-CN"/>
                    </w:rPr>
                  </w:pPr>
                  <w:r>
                    <w:rPr>
                      <w:rFonts w:hint="eastAsia" w:cs="Times New Roman"/>
                      <w:bCs/>
                      <w:sz w:val="24"/>
                      <w:szCs w:val="24"/>
                      <w:u w:val="none" w:color="auto"/>
                      <w:lang w:eastAsia="zh-CN"/>
                    </w:rPr>
                    <w:t>二层</w:t>
                  </w:r>
                </w:p>
              </w:tc>
              <w:tc>
                <w:tcPr>
                  <w:tcW w:w="2949"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color w:val="auto"/>
                      <w:sz w:val="24"/>
                      <w:szCs w:val="24"/>
                      <w:u w:val="none" w:color="auto"/>
                      <w:lang w:eastAsia="zh-CN"/>
                    </w:rPr>
                  </w:pPr>
                  <w:r>
                    <w:rPr>
                      <w:rFonts w:hint="default" w:ascii="Times New Roman" w:hAnsi="Times New Roman" w:eastAsia="宋体" w:cs="Times New Roman"/>
                      <w:bCs/>
                      <w:color w:val="auto"/>
                      <w:sz w:val="24"/>
                      <w:szCs w:val="24"/>
                      <w:u w:val="none" w:color="auto"/>
                    </w:rPr>
                    <w:t>总建筑面积</w:t>
                  </w:r>
                  <w:r>
                    <w:rPr>
                      <w:rFonts w:hint="eastAsia" w:cs="Times New Roman"/>
                      <w:bCs/>
                      <w:color w:val="auto"/>
                      <w:sz w:val="24"/>
                      <w:szCs w:val="24"/>
                      <w:u w:val="none" w:color="auto"/>
                      <w:lang w:val="en-US" w:eastAsia="zh-CN"/>
                    </w:rPr>
                    <w:t>612.39</w:t>
                  </w:r>
                  <w:r>
                    <w:rPr>
                      <w:rFonts w:hint="default" w:ascii="Times New Roman" w:hAnsi="Times New Roman" w:eastAsia="宋体" w:cs="Times New Roman"/>
                      <w:bCs/>
                      <w:color w:val="auto"/>
                      <w:sz w:val="24"/>
                      <w:szCs w:val="24"/>
                      <w:u w:val="none" w:color="auto"/>
                    </w:rPr>
                    <w:t>m</w:t>
                  </w:r>
                  <w:r>
                    <w:rPr>
                      <w:rFonts w:hint="default" w:ascii="Times New Roman" w:hAnsi="Times New Roman" w:eastAsia="宋体" w:cs="Times New Roman"/>
                      <w:bCs/>
                      <w:color w:val="auto"/>
                      <w:sz w:val="24"/>
                      <w:szCs w:val="24"/>
                      <w:u w:val="none" w:color="auto"/>
                      <w:vertAlign w:val="superscript"/>
                    </w:rPr>
                    <w:t>2</w:t>
                  </w:r>
                  <w:r>
                    <w:rPr>
                      <w:rFonts w:hint="default" w:ascii="Times New Roman" w:hAnsi="Times New Roman" w:eastAsia="宋体" w:cs="Times New Roman"/>
                      <w:bCs/>
                      <w:color w:val="auto"/>
                      <w:sz w:val="24"/>
                      <w:szCs w:val="24"/>
                      <w:u w:val="none" w:color="auto"/>
                    </w:rPr>
                    <w:t>，</w:t>
                  </w:r>
                  <w:r>
                    <w:rPr>
                      <w:rFonts w:hint="eastAsia" w:cs="Times New Roman"/>
                      <w:bCs/>
                      <w:color w:val="auto"/>
                      <w:sz w:val="24"/>
                      <w:szCs w:val="24"/>
                      <w:u w:val="none" w:color="auto"/>
                      <w:lang w:eastAsia="zh-CN"/>
                    </w:rPr>
                    <w:t>包装区、成品堆放区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543" w:type="pct"/>
                  <w:gridSpan w:val="2"/>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p>
              </w:tc>
              <w:tc>
                <w:tcPr>
                  <w:tcW w:w="507"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sz w:val="24"/>
                      <w:szCs w:val="24"/>
                      <w:u w:val="none" w:color="auto"/>
                      <w:lang w:eastAsia="zh-CN"/>
                    </w:rPr>
                  </w:pPr>
                  <w:r>
                    <w:rPr>
                      <w:rFonts w:hint="eastAsia" w:cs="Times New Roman"/>
                      <w:bCs/>
                      <w:sz w:val="24"/>
                      <w:szCs w:val="24"/>
                      <w:u w:val="none" w:color="auto"/>
                      <w:lang w:eastAsia="zh-CN"/>
                    </w:rPr>
                    <w:t>三层</w:t>
                  </w:r>
                </w:p>
              </w:tc>
              <w:tc>
                <w:tcPr>
                  <w:tcW w:w="2949"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color w:val="auto"/>
                      <w:sz w:val="24"/>
                      <w:szCs w:val="24"/>
                      <w:u w:val="none" w:color="auto"/>
                      <w:lang w:eastAsia="zh-CN"/>
                    </w:rPr>
                  </w:pPr>
                  <w:r>
                    <w:rPr>
                      <w:rFonts w:hint="default" w:ascii="Times New Roman" w:hAnsi="Times New Roman" w:eastAsia="宋体" w:cs="Times New Roman"/>
                      <w:bCs/>
                      <w:color w:val="auto"/>
                      <w:sz w:val="24"/>
                      <w:szCs w:val="24"/>
                      <w:u w:val="none" w:color="auto"/>
                    </w:rPr>
                    <w:t>总建筑面积</w:t>
                  </w:r>
                  <w:r>
                    <w:rPr>
                      <w:rFonts w:hint="eastAsia" w:cs="Times New Roman"/>
                      <w:bCs/>
                      <w:color w:val="auto"/>
                      <w:sz w:val="24"/>
                      <w:szCs w:val="24"/>
                      <w:u w:val="none" w:color="auto"/>
                      <w:lang w:val="en-US" w:eastAsia="zh-CN"/>
                    </w:rPr>
                    <w:t>612.39</w:t>
                  </w:r>
                  <w:r>
                    <w:rPr>
                      <w:rFonts w:hint="default" w:ascii="Times New Roman" w:hAnsi="Times New Roman" w:eastAsia="宋体" w:cs="Times New Roman"/>
                      <w:bCs/>
                      <w:color w:val="auto"/>
                      <w:sz w:val="24"/>
                      <w:szCs w:val="24"/>
                      <w:u w:val="none" w:color="auto"/>
                    </w:rPr>
                    <w:t>m</w:t>
                  </w:r>
                  <w:r>
                    <w:rPr>
                      <w:rFonts w:hint="default" w:ascii="Times New Roman" w:hAnsi="Times New Roman" w:eastAsia="宋体" w:cs="Times New Roman"/>
                      <w:bCs/>
                      <w:color w:val="auto"/>
                      <w:sz w:val="24"/>
                      <w:szCs w:val="24"/>
                      <w:u w:val="none" w:color="auto"/>
                      <w:vertAlign w:val="superscript"/>
                    </w:rPr>
                    <w:t>2</w:t>
                  </w:r>
                  <w:r>
                    <w:rPr>
                      <w:rFonts w:hint="default" w:ascii="Times New Roman" w:hAnsi="Times New Roman" w:eastAsia="宋体" w:cs="Times New Roman"/>
                      <w:bCs/>
                      <w:color w:val="auto"/>
                      <w:sz w:val="24"/>
                      <w:szCs w:val="24"/>
                      <w:u w:val="none" w:color="auto"/>
                    </w:rPr>
                    <w:t>，</w:t>
                  </w:r>
                  <w:r>
                    <w:rPr>
                      <w:rFonts w:hint="eastAsia" w:cs="Times New Roman"/>
                      <w:bCs/>
                      <w:color w:val="auto"/>
                      <w:sz w:val="24"/>
                      <w:szCs w:val="24"/>
                      <w:u w:val="none" w:color="auto"/>
                      <w:lang w:val="en-US" w:eastAsia="zh-CN"/>
                    </w:rPr>
                    <w:t>成品堆放区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43" w:type="pct"/>
                  <w:gridSpan w:val="2"/>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p>
              </w:tc>
              <w:tc>
                <w:tcPr>
                  <w:tcW w:w="507"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sz w:val="24"/>
                      <w:szCs w:val="24"/>
                      <w:u w:val="none" w:color="auto"/>
                      <w:lang w:eastAsia="zh-CN"/>
                    </w:rPr>
                  </w:pPr>
                  <w:r>
                    <w:rPr>
                      <w:rFonts w:hint="eastAsia" w:cs="Times New Roman"/>
                      <w:bCs/>
                      <w:sz w:val="24"/>
                      <w:szCs w:val="24"/>
                      <w:u w:val="none" w:color="auto"/>
                      <w:lang w:eastAsia="zh-CN"/>
                    </w:rPr>
                    <w:t>四层</w:t>
                  </w:r>
                </w:p>
              </w:tc>
              <w:tc>
                <w:tcPr>
                  <w:tcW w:w="2949"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color w:val="auto"/>
                      <w:sz w:val="24"/>
                      <w:szCs w:val="24"/>
                      <w:u w:val="none" w:color="auto"/>
                      <w:lang w:eastAsia="zh-CN"/>
                    </w:rPr>
                  </w:pPr>
                  <w:r>
                    <w:rPr>
                      <w:rFonts w:hint="default" w:ascii="Times New Roman" w:hAnsi="Times New Roman" w:eastAsia="宋体" w:cs="Times New Roman"/>
                      <w:bCs/>
                      <w:color w:val="auto"/>
                      <w:sz w:val="24"/>
                      <w:szCs w:val="24"/>
                      <w:u w:val="none" w:color="auto"/>
                    </w:rPr>
                    <w:t>总建筑面积</w:t>
                  </w:r>
                  <w:r>
                    <w:rPr>
                      <w:rFonts w:hint="eastAsia" w:cs="Times New Roman"/>
                      <w:bCs/>
                      <w:color w:val="auto"/>
                      <w:sz w:val="24"/>
                      <w:szCs w:val="24"/>
                      <w:u w:val="none" w:color="auto"/>
                      <w:lang w:val="en-US" w:eastAsia="zh-CN"/>
                    </w:rPr>
                    <w:t>612.39</w:t>
                  </w:r>
                  <w:r>
                    <w:rPr>
                      <w:rFonts w:hint="default" w:ascii="Times New Roman" w:hAnsi="Times New Roman" w:eastAsia="宋体" w:cs="Times New Roman"/>
                      <w:bCs/>
                      <w:color w:val="auto"/>
                      <w:sz w:val="24"/>
                      <w:szCs w:val="24"/>
                      <w:u w:val="none" w:color="auto"/>
                    </w:rPr>
                    <w:t>m</w:t>
                  </w:r>
                  <w:r>
                    <w:rPr>
                      <w:rFonts w:hint="default" w:ascii="Times New Roman" w:hAnsi="Times New Roman" w:eastAsia="宋体" w:cs="Times New Roman"/>
                      <w:bCs/>
                      <w:color w:val="auto"/>
                      <w:sz w:val="24"/>
                      <w:szCs w:val="24"/>
                      <w:u w:val="none" w:color="auto"/>
                      <w:vertAlign w:val="superscript"/>
                    </w:rPr>
                    <w:t>2</w:t>
                  </w:r>
                  <w:r>
                    <w:rPr>
                      <w:rFonts w:hint="default" w:ascii="Times New Roman" w:hAnsi="Times New Roman" w:eastAsia="宋体" w:cs="Times New Roman"/>
                      <w:bCs/>
                      <w:color w:val="auto"/>
                      <w:sz w:val="24"/>
                      <w:szCs w:val="24"/>
                      <w:u w:val="none" w:color="auto"/>
                    </w:rPr>
                    <w:t>，</w:t>
                  </w:r>
                  <w:r>
                    <w:rPr>
                      <w:rFonts w:hint="eastAsia" w:cs="Times New Roman"/>
                      <w:bCs/>
                      <w:color w:val="auto"/>
                      <w:sz w:val="24"/>
                      <w:szCs w:val="24"/>
                      <w:u w:val="none" w:color="auto"/>
                      <w:lang w:eastAsia="zh-CN"/>
                    </w:rPr>
                    <w:t>办公区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1" w:type="pct"/>
                  <w:vMerge w:val="restar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公用工程</w:t>
                  </w:r>
                </w:p>
              </w:tc>
              <w:tc>
                <w:tcPr>
                  <w:tcW w:w="1142"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供电系统</w:t>
                  </w:r>
                </w:p>
              </w:tc>
              <w:tc>
                <w:tcPr>
                  <w:tcW w:w="3456"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eastAsia" w:cs="Times New Roman"/>
                      <w:bCs/>
                      <w:sz w:val="24"/>
                      <w:szCs w:val="24"/>
                      <w:u w:val="none" w:color="auto"/>
                      <w:lang w:eastAsia="zh-CN"/>
                    </w:rPr>
                    <w:t>国家电网</w:t>
                  </w:r>
                  <w:r>
                    <w:rPr>
                      <w:rFonts w:hint="default" w:ascii="Times New Roman" w:hAnsi="Times New Roman" w:eastAsia="宋体" w:cs="Times New Roman"/>
                      <w:bCs/>
                      <w:sz w:val="24"/>
                      <w:szCs w:val="24"/>
                      <w:u w:val="none" w:color="auto"/>
                    </w:rPr>
                    <w:t>供电系统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01" w:type="pct"/>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p>
              </w:tc>
              <w:tc>
                <w:tcPr>
                  <w:tcW w:w="1142"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给水系统</w:t>
                  </w:r>
                </w:p>
              </w:tc>
              <w:tc>
                <w:tcPr>
                  <w:tcW w:w="3456"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市政给水管网给水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401" w:type="pct"/>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p>
              </w:tc>
              <w:tc>
                <w:tcPr>
                  <w:tcW w:w="1649"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排水系统</w:t>
                  </w:r>
                </w:p>
              </w:tc>
              <w:tc>
                <w:tcPr>
                  <w:tcW w:w="2949"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sz w:val="24"/>
                      <w:szCs w:val="24"/>
                      <w:u w:val="none" w:color="auto"/>
                      <w:lang w:val="en-US" w:eastAsia="zh-CN"/>
                    </w:rPr>
                  </w:pPr>
                  <w:r>
                    <w:rPr>
                      <w:rFonts w:hint="default" w:ascii="Times New Roman" w:hAnsi="Times New Roman" w:eastAsia="宋体" w:cs="Times New Roman"/>
                      <w:sz w:val="24"/>
                      <w:szCs w:val="24"/>
                      <w:u w:val="none" w:color="auto"/>
                    </w:rPr>
                    <w:t>雨污分流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01" w:type="pct"/>
                  <w:vMerge w:val="restar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环保工程</w:t>
                  </w:r>
                </w:p>
              </w:tc>
              <w:tc>
                <w:tcPr>
                  <w:tcW w:w="1649"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废水</w:t>
                  </w:r>
                </w:p>
              </w:tc>
              <w:tc>
                <w:tcPr>
                  <w:tcW w:w="2949"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sz w:val="24"/>
                      <w:szCs w:val="24"/>
                      <w:u w:val="none" w:color="auto"/>
                    </w:rPr>
                    <w:t>雨污分流，雨水进入园区雨水管网</w:t>
                  </w:r>
                  <w:r>
                    <w:rPr>
                      <w:rFonts w:hint="eastAsia"/>
                      <w:sz w:val="24"/>
                      <w:szCs w:val="24"/>
                      <w:u w:val="none" w:color="auto"/>
                      <w:lang w:eastAsia="zh-CN"/>
                    </w:rPr>
                    <w:t>。</w:t>
                  </w:r>
                  <w:r>
                    <w:rPr>
                      <w:rFonts w:hint="eastAsia"/>
                      <w:sz w:val="24"/>
                      <w:szCs w:val="24"/>
                      <w:u w:val="none" w:color="auto"/>
                      <w:lang w:val="en-US" w:eastAsia="zh-CN"/>
                    </w:rPr>
                    <w:t>湘阴县第三污水处理厂建成且接通前：</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污水通过化粪池处理后排入园区污水管网再进入</w:t>
                  </w:r>
                  <w:r>
                    <w:rPr>
                      <w:rFonts w:hint="eastAsia"/>
                      <w:sz w:val="24"/>
                      <w:szCs w:val="24"/>
                      <w:u w:val="none" w:color="auto"/>
                      <w:lang w:eastAsia="zh-CN"/>
                    </w:rPr>
                    <w:t>卓达金谷创业园自建的污水处理站</w:t>
                  </w:r>
                  <w:r>
                    <w:rPr>
                      <w:sz w:val="24"/>
                      <w:szCs w:val="24"/>
                      <w:u w:val="none" w:color="auto"/>
                    </w:rPr>
                    <w:t>处理</w:t>
                  </w:r>
                  <w:r>
                    <w:rPr>
                      <w:rFonts w:hAnsi="宋体"/>
                      <w:sz w:val="24"/>
                      <w:szCs w:val="24"/>
                      <w:u w:val="none" w:color="auto"/>
                    </w:rPr>
                    <w:t>达</w:t>
                  </w:r>
                  <w:r>
                    <w:rPr>
                      <w:rFonts w:hint="eastAsia" w:hAnsi="宋体"/>
                      <w:sz w:val="24"/>
                      <w:szCs w:val="24"/>
                      <w:u w:val="none" w:color="auto"/>
                      <w:lang w:eastAsia="zh-CN"/>
                    </w:rPr>
                    <w:t>到</w:t>
                  </w:r>
                  <w:r>
                    <w:rPr>
                      <w:sz w:val="24"/>
                      <w:szCs w:val="24"/>
                      <w:u w:val="none" w:color="auto"/>
                    </w:rPr>
                    <w:t>《城镇污水处理厂污染物排放标准（GB18918—2002）》中一级标准的A类标准后</w:t>
                  </w:r>
                  <w:r>
                    <w:rPr>
                      <w:rFonts w:hint="eastAsia"/>
                      <w:sz w:val="24"/>
                      <w:szCs w:val="24"/>
                      <w:u w:val="none" w:color="auto"/>
                      <w:lang w:eastAsia="zh-CN"/>
                    </w:rPr>
                    <w:t>进入洋沙河</w:t>
                  </w:r>
                  <w:r>
                    <w:rPr>
                      <w:rFonts w:hint="eastAsia"/>
                      <w:sz w:val="24"/>
                      <w:szCs w:val="24"/>
                      <w:u w:val="none" w:color="auto"/>
                      <w:lang w:val="en-US" w:eastAsia="zh-CN"/>
                    </w:rPr>
                    <w:t>流入洋沙湖</w:t>
                  </w:r>
                  <w:r>
                    <w:rPr>
                      <w:sz w:val="24"/>
                      <w:szCs w:val="24"/>
                      <w:u w:val="none" w:color="auto"/>
                    </w:rPr>
                    <w:t>，最终汇入湘江</w:t>
                  </w:r>
                  <w:r>
                    <w:rPr>
                      <w:rFonts w:hint="eastAsia"/>
                      <w:sz w:val="24"/>
                      <w:szCs w:val="24"/>
                      <w:u w:val="none" w:color="auto"/>
                      <w:lang w:eastAsia="zh-CN"/>
                    </w:rPr>
                    <w:t>。</w:t>
                  </w:r>
                  <w:r>
                    <w:rPr>
                      <w:rFonts w:hint="eastAsia"/>
                      <w:sz w:val="24"/>
                      <w:szCs w:val="24"/>
                      <w:u w:val="none" w:color="auto"/>
                      <w:lang w:val="en-US" w:eastAsia="zh-CN"/>
                    </w:rPr>
                    <w:t>湘阴县第三污水处理厂建成且接通后：</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w:t>
                  </w:r>
                  <w:r>
                    <w:rPr>
                      <w:rFonts w:hint="eastAsia"/>
                      <w:sz w:val="24"/>
                      <w:szCs w:val="24"/>
                      <w:u w:val="none" w:color="auto"/>
                      <w:lang w:val="en-US" w:eastAsia="zh-CN"/>
                    </w:rPr>
                    <w:t>进入湘阴县第三污水处理厂处理后排入洋沙河流入洋沙湖，最终进入湘江</w:t>
                  </w:r>
                  <w:r>
                    <w:rPr>
                      <w:rFonts w:hint="eastAsia"/>
                      <w:sz w:val="24"/>
                      <w:szCs w:val="24"/>
                      <w:u w:val="none" w:color="auto"/>
                      <w:lang w:eastAsia="zh-CN"/>
                    </w:rPr>
                    <w:t>；冷却水经循环水池收集后循环使用</w:t>
                  </w:r>
                  <w:r>
                    <w:rPr>
                      <w:sz w:val="24"/>
                      <w:szCs w:val="24"/>
                      <w:u w:val="none" w:color="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01" w:type="pct"/>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p>
              </w:tc>
              <w:tc>
                <w:tcPr>
                  <w:tcW w:w="1649"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噪声</w:t>
                  </w:r>
                </w:p>
              </w:tc>
              <w:tc>
                <w:tcPr>
                  <w:tcW w:w="2949"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合理布局，</w:t>
                  </w:r>
                  <w:r>
                    <w:rPr>
                      <w:rFonts w:hint="default" w:ascii="Times New Roman" w:hAnsi="Times New Roman" w:eastAsia="宋体" w:cs="Times New Roman"/>
                      <w:sz w:val="24"/>
                      <w:szCs w:val="24"/>
                      <w:u w:val="none" w:color="auto"/>
                    </w:rPr>
                    <w:t>对高噪设备采取隔声、减振措施进行处理。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401" w:type="pct"/>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p>
              </w:tc>
              <w:tc>
                <w:tcPr>
                  <w:tcW w:w="1649"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废气</w:t>
                  </w:r>
                </w:p>
              </w:tc>
              <w:tc>
                <w:tcPr>
                  <w:tcW w:w="2949"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Cs/>
                      <w:sz w:val="24"/>
                      <w:szCs w:val="24"/>
                      <w:u w:val="none" w:color="auto"/>
                      <w:lang w:val="en-US" w:eastAsia="zh-CN"/>
                    </w:rPr>
                  </w:pPr>
                  <w:r>
                    <w:rPr>
                      <w:rFonts w:hint="eastAsia" w:cs="Times New Roman"/>
                      <w:sz w:val="24"/>
                      <w:szCs w:val="24"/>
                      <w:u w:val="none" w:color="auto"/>
                      <w:lang w:eastAsia="zh-CN"/>
                    </w:rPr>
                    <w:t>模压成型</w:t>
                  </w:r>
                  <w:r>
                    <w:rPr>
                      <w:rFonts w:hint="default" w:ascii="Times New Roman" w:hAnsi="Times New Roman" w:eastAsia="宋体" w:cs="Times New Roman"/>
                      <w:sz w:val="24"/>
                      <w:szCs w:val="24"/>
                      <w:u w:val="none" w:color="auto"/>
                    </w:rPr>
                    <w:t>废气</w:t>
                  </w:r>
                  <w:r>
                    <w:rPr>
                      <w:rFonts w:hint="default" w:ascii="Times New Roman" w:hAnsi="Times New Roman" w:cs="Times New Roman"/>
                      <w:sz w:val="24"/>
                      <w:szCs w:val="24"/>
                      <w:u w:val="none" w:color="auto"/>
                      <w:lang w:eastAsia="zh-CN"/>
                    </w:rPr>
                    <w:t>经</w:t>
                  </w:r>
                  <w:r>
                    <w:rPr>
                      <w:rFonts w:hint="eastAsia" w:cs="Times New Roman"/>
                      <w:sz w:val="24"/>
                      <w:szCs w:val="24"/>
                      <w:u w:val="none" w:color="auto"/>
                      <w:lang w:eastAsia="zh-CN"/>
                    </w:rPr>
                    <w:t>集气罩收集后通过</w:t>
                  </w:r>
                  <w:r>
                    <w:rPr>
                      <w:rFonts w:hint="eastAsia" w:cs="Times New Roman"/>
                      <w:sz w:val="24"/>
                      <w:szCs w:val="24"/>
                      <w:u w:val="none" w:color="auto"/>
                      <w:lang w:val="en-US" w:eastAsia="zh-CN"/>
                    </w:rPr>
                    <w:t>活性炭吸附处理+24</w:t>
                  </w:r>
                  <w:r>
                    <w:rPr>
                      <w:rFonts w:hint="default" w:ascii="Times New Roman" w:hAnsi="Times New Roman" w:eastAsia="宋体" w:cs="Times New Roman"/>
                      <w:sz w:val="24"/>
                      <w:szCs w:val="24"/>
                      <w:u w:val="none" w:color="auto"/>
                    </w:rPr>
                    <w:t>m</w:t>
                  </w:r>
                  <w:r>
                    <w:rPr>
                      <w:rFonts w:hint="eastAsia" w:cs="Times New Roman"/>
                      <w:sz w:val="24"/>
                      <w:szCs w:val="24"/>
                      <w:u w:val="none" w:color="auto"/>
                      <w:lang w:eastAsia="zh-CN"/>
                    </w:rPr>
                    <w:t>高</w:t>
                  </w:r>
                  <w:r>
                    <w:rPr>
                      <w:rFonts w:hint="default" w:ascii="Times New Roman" w:hAnsi="Times New Roman" w:eastAsia="宋体" w:cs="Times New Roman"/>
                      <w:sz w:val="24"/>
                      <w:szCs w:val="24"/>
                      <w:u w:val="none" w:color="auto"/>
                    </w:rPr>
                    <w:t>排气筒排放</w:t>
                  </w:r>
                  <w:r>
                    <w:rPr>
                      <w:rFonts w:hint="eastAsia" w:cs="Times New Roman"/>
                      <w:sz w:val="24"/>
                      <w:szCs w:val="24"/>
                      <w:u w:val="none" w:color="auto"/>
                      <w:lang w:eastAsia="zh-CN"/>
                    </w:rPr>
                    <w:t>；印刷废气产生量极少且为间歇式排放，经车间通风后无组织排放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Merge w:val="continue"/>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p>
              </w:tc>
              <w:tc>
                <w:tcPr>
                  <w:tcW w:w="1649" w:type="pct"/>
                  <w:gridSpan w:val="2"/>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固废</w:t>
                  </w:r>
                </w:p>
              </w:tc>
              <w:tc>
                <w:tcPr>
                  <w:tcW w:w="2949"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Cs/>
                      <w:sz w:val="24"/>
                      <w:szCs w:val="24"/>
                      <w:u w:val="none" w:color="auto"/>
                    </w:rPr>
                  </w:pPr>
                  <w:r>
                    <w:rPr>
                      <w:rFonts w:hint="default" w:ascii="Times New Roman" w:hAnsi="Times New Roman" w:eastAsia="宋体" w:cs="Times New Roman"/>
                      <w:bCs/>
                      <w:sz w:val="24"/>
                      <w:szCs w:val="24"/>
                      <w:u w:val="none" w:color="auto"/>
                    </w:rPr>
                    <w:t>生活垃圾交由环卫部门处理，</w:t>
                  </w:r>
                  <w:r>
                    <w:rPr>
                      <w:rFonts w:hint="eastAsia" w:cs="Times New Roman"/>
                      <w:bCs/>
                      <w:sz w:val="24"/>
                      <w:szCs w:val="24"/>
                      <w:u w:val="none" w:color="auto"/>
                      <w:lang w:eastAsia="zh-CN"/>
                    </w:rPr>
                    <w:t>一般固废收集后回收综合利用，危险废物收集于危险废物储存间内（</w:t>
                  </w:r>
                  <w:r>
                    <w:rPr>
                      <w:rFonts w:hint="eastAsia" w:cs="Times New Roman"/>
                      <w:bCs/>
                      <w:sz w:val="24"/>
                      <w:szCs w:val="24"/>
                      <w:u w:val="none" w:color="auto"/>
                      <w:lang w:val="en-US" w:eastAsia="zh-CN"/>
                    </w:rPr>
                    <w:t>位于车间一楼，面积为5m</w:t>
                  </w:r>
                  <w:r>
                    <w:rPr>
                      <w:rFonts w:hint="eastAsia" w:cs="Times New Roman"/>
                      <w:bCs/>
                      <w:sz w:val="24"/>
                      <w:szCs w:val="24"/>
                      <w:u w:val="none" w:color="auto"/>
                      <w:vertAlign w:val="superscript"/>
                      <w:lang w:val="en-US" w:eastAsia="zh-CN"/>
                    </w:rPr>
                    <w:t>2</w:t>
                  </w:r>
                  <w:r>
                    <w:rPr>
                      <w:rFonts w:hint="eastAsia" w:cs="Times New Roman"/>
                      <w:bCs/>
                      <w:sz w:val="24"/>
                      <w:szCs w:val="24"/>
                      <w:u w:val="none" w:color="auto"/>
                      <w:lang w:eastAsia="zh-CN"/>
                    </w:rPr>
                    <w:t>），再交由有资质单位进行处理</w:t>
                  </w:r>
                </w:p>
              </w:tc>
            </w:tr>
          </w:tbl>
          <w:p>
            <w:pPr>
              <w:adjustRightInd w:val="0"/>
              <w:snapToGrid w:val="0"/>
              <w:spacing w:line="360" w:lineRule="auto"/>
              <w:ind w:firstLine="482" w:firstLineChars="200"/>
              <w:rPr>
                <w:rFonts w:hint="default" w:ascii="Times New Roman" w:hAnsi="Times New Roman" w:cs="Times New Roman"/>
                <w:b/>
                <w:sz w:val="24"/>
                <w:szCs w:val="24"/>
                <w:u w:val="single" w:color="auto"/>
              </w:rPr>
            </w:pPr>
            <w:r>
              <w:rPr>
                <w:rFonts w:hint="eastAsia" w:cs="Times New Roman"/>
                <w:b/>
                <w:sz w:val="24"/>
                <w:szCs w:val="24"/>
                <w:u w:val="single" w:color="auto"/>
                <w:lang w:val="en-US" w:eastAsia="zh-CN"/>
              </w:rPr>
              <w:t>5</w:t>
            </w:r>
            <w:r>
              <w:rPr>
                <w:rFonts w:hint="default" w:ascii="Times New Roman" w:hAnsi="Times New Roman" w:cs="Times New Roman"/>
                <w:b/>
                <w:sz w:val="24"/>
                <w:szCs w:val="24"/>
                <w:u w:val="single" w:color="auto"/>
              </w:rPr>
              <w:t>、主要生产设备</w:t>
            </w:r>
          </w:p>
          <w:p>
            <w:pPr>
              <w:pStyle w:val="172"/>
              <w:shd w:val="clear" w:color="auto" w:fill="FFFFFF"/>
              <w:spacing w:before="0" w:beforeLines="0" w:after="0" w:afterLines="0" w:line="360" w:lineRule="auto"/>
              <w:ind w:firstLine="480" w:firstLineChars="200"/>
              <w:jc w:val="left"/>
              <w:rPr>
                <w:rFonts w:hint="default" w:ascii="Times New Roman" w:hAnsi="Times New Roman" w:cs="Times New Roman"/>
                <w:u w:val="single" w:color="auto"/>
              </w:rPr>
            </w:pPr>
            <w:r>
              <w:rPr>
                <w:rFonts w:hint="default" w:ascii="Times New Roman" w:hAnsi="Times New Roman" w:eastAsia="宋体" w:cs="Times New Roman"/>
                <w:u w:val="single" w:color="auto"/>
              </w:rPr>
              <w:t>主要生产设备数量及型号见表</w:t>
            </w:r>
            <w:r>
              <w:rPr>
                <w:rFonts w:hint="default" w:ascii="Times New Roman" w:hAnsi="Times New Roman" w:cs="Times New Roman"/>
                <w:u w:val="single" w:color="auto"/>
              </w:rPr>
              <w:t>1-2。</w:t>
            </w:r>
          </w:p>
          <w:p>
            <w:pPr>
              <w:pStyle w:val="34"/>
              <w:jc w:val="center"/>
              <w:rPr>
                <w:rFonts w:hint="default" w:ascii="Times New Roman" w:hAnsi="Times New Roman" w:cs="Times New Roman"/>
                <w:b/>
                <w:color w:val="auto"/>
                <w:sz w:val="24"/>
                <w:u w:val="single" w:color="auto"/>
              </w:rPr>
            </w:pPr>
            <w:r>
              <w:rPr>
                <w:rFonts w:hint="default" w:ascii="Times New Roman" w:hAnsi="Times New Roman" w:cs="Times New Roman"/>
                <w:b/>
                <w:color w:val="auto"/>
                <w:sz w:val="24"/>
                <w:u w:val="single" w:color="auto"/>
              </w:rPr>
              <w:t>表1-2   主要生产设备一览表</w:t>
            </w:r>
          </w:p>
          <w:tbl>
            <w:tblPr>
              <w:tblStyle w:val="4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331"/>
              <w:gridCol w:w="2232"/>
              <w:gridCol w:w="1442"/>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trPr>
              <w:tc>
                <w:tcPr>
                  <w:tcW w:w="715" w:type="pct"/>
                </w:tcPr>
                <w:p>
                  <w:pPr>
                    <w:adjustRightInd w:val="0"/>
                    <w:snapToGrid w:val="0"/>
                    <w:spacing w:line="360" w:lineRule="auto"/>
                    <w:jc w:val="center"/>
                    <w:rPr>
                      <w:rFonts w:hint="default" w:ascii="Times New Roman" w:hAnsi="Times New Roman" w:cs="Times New Roman"/>
                      <w:b/>
                      <w:sz w:val="22"/>
                      <w:szCs w:val="22"/>
                      <w:u w:val="single" w:color="auto"/>
                    </w:rPr>
                  </w:pPr>
                  <w:r>
                    <w:rPr>
                      <w:rFonts w:hint="default" w:ascii="Times New Roman" w:hAnsi="Times New Roman" w:cs="Times New Roman"/>
                      <w:b/>
                      <w:sz w:val="22"/>
                      <w:szCs w:val="22"/>
                      <w:u w:val="single" w:color="auto"/>
                    </w:rPr>
                    <w:t>序号</w:t>
                  </w:r>
                </w:p>
              </w:tc>
              <w:tc>
                <w:tcPr>
                  <w:tcW w:w="1314" w:type="pct"/>
                  <w:vAlign w:val="center"/>
                </w:tcPr>
                <w:p>
                  <w:pPr>
                    <w:adjustRightInd w:val="0"/>
                    <w:snapToGrid w:val="0"/>
                    <w:spacing w:line="360" w:lineRule="auto"/>
                    <w:jc w:val="center"/>
                    <w:rPr>
                      <w:rFonts w:hint="default" w:ascii="Times New Roman" w:hAnsi="Times New Roman" w:cs="Times New Roman"/>
                      <w:b/>
                      <w:sz w:val="22"/>
                      <w:szCs w:val="22"/>
                      <w:u w:val="single" w:color="auto"/>
                    </w:rPr>
                  </w:pPr>
                  <w:r>
                    <w:rPr>
                      <w:rFonts w:hint="default" w:ascii="Times New Roman" w:hAnsi="Times New Roman" w:cs="Times New Roman"/>
                      <w:b/>
                      <w:sz w:val="22"/>
                      <w:szCs w:val="22"/>
                      <w:u w:val="single" w:color="auto"/>
                    </w:rPr>
                    <w:t>设备名称</w:t>
                  </w:r>
                </w:p>
              </w:tc>
              <w:tc>
                <w:tcPr>
                  <w:tcW w:w="1092" w:type="pct"/>
                  <w:vAlign w:val="center"/>
                </w:tcPr>
                <w:p>
                  <w:pPr>
                    <w:adjustRightInd w:val="0"/>
                    <w:snapToGrid w:val="0"/>
                    <w:spacing w:line="360" w:lineRule="auto"/>
                    <w:jc w:val="center"/>
                    <w:rPr>
                      <w:rFonts w:hint="default" w:ascii="Times New Roman" w:hAnsi="Times New Roman" w:cs="Times New Roman"/>
                      <w:b/>
                      <w:sz w:val="22"/>
                      <w:szCs w:val="22"/>
                      <w:u w:val="single" w:color="auto"/>
                    </w:rPr>
                  </w:pPr>
                  <w:r>
                    <w:rPr>
                      <w:rFonts w:hint="default" w:ascii="Times New Roman" w:hAnsi="Times New Roman" w:cs="Times New Roman"/>
                      <w:b/>
                      <w:sz w:val="22"/>
                      <w:szCs w:val="22"/>
                      <w:u w:val="single" w:color="auto"/>
                    </w:rPr>
                    <w:t>型号</w:t>
                  </w:r>
                </w:p>
              </w:tc>
              <w:tc>
                <w:tcPr>
                  <w:tcW w:w="826" w:type="pct"/>
                  <w:vAlign w:val="center"/>
                </w:tcPr>
                <w:p>
                  <w:pPr>
                    <w:adjustRightInd w:val="0"/>
                    <w:snapToGrid w:val="0"/>
                    <w:spacing w:line="360" w:lineRule="auto"/>
                    <w:jc w:val="center"/>
                    <w:rPr>
                      <w:rFonts w:hint="default" w:ascii="Times New Roman" w:hAnsi="Times New Roman" w:cs="Times New Roman"/>
                      <w:b/>
                      <w:sz w:val="22"/>
                      <w:szCs w:val="22"/>
                      <w:u w:val="single" w:color="auto"/>
                    </w:rPr>
                  </w:pPr>
                  <w:r>
                    <w:rPr>
                      <w:rFonts w:hint="default" w:ascii="Times New Roman" w:hAnsi="Times New Roman" w:cs="Times New Roman"/>
                      <w:b/>
                      <w:sz w:val="22"/>
                      <w:szCs w:val="22"/>
                      <w:u w:val="single" w:color="auto"/>
                    </w:rPr>
                    <w:t>数量</w:t>
                  </w:r>
                </w:p>
              </w:tc>
              <w:tc>
                <w:tcPr>
                  <w:tcW w:w="1051" w:type="pct"/>
                  <w:vAlign w:val="center"/>
                </w:tcPr>
                <w:p>
                  <w:pPr>
                    <w:adjustRightInd w:val="0"/>
                    <w:snapToGrid w:val="0"/>
                    <w:spacing w:line="360" w:lineRule="auto"/>
                    <w:jc w:val="center"/>
                    <w:rPr>
                      <w:rFonts w:hint="default" w:ascii="Times New Roman" w:hAnsi="Times New Roman" w:eastAsia="宋体" w:cs="Times New Roman"/>
                      <w:b/>
                      <w:sz w:val="22"/>
                      <w:szCs w:val="22"/>
                      <w:u w:val="single" w:color="auto"/>
                      <w:lang w:val="en-US" w:eastAsia="zh-CN"/>
                    </w:rPr>
                  </w:pPr>
                  <w:r>
                    <w:rPr>
                      <w:rFonts w:hint="default" w:ascii="Times New Roman" w:hAnsi="Times New Roman" w:cs="Times New Roman"/>
                      <w:b/>
                      <w:sz w:val="22"/>
                      <w:szCs w:val="22"/>
                      <w:u w:val="single" w:color="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15" w:type="pct"/>
                  <w:vAlign w:val="center"/>
                </w:tcPr>
                <w:p>
                  <w:pPr>
                    <w:adjustRightInd w:val="0"/>
                    <w:snapToGrid w:val="0"/>
                    <w:spacing w:line="360" w:lineRule="auto"/>
                    <w:jc w:val="center"/>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1</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硅橡胶</w:t>
                  </w:r>
                  <w:r>
                    <w:rPr>
                      <w:rFonts w:hint="default" w:ascii="Times New Roman" w:hAnsi="Times New Roman" w:cs="Times New Roman"/>
                      <w:sz w:val="22"/>
                      <w:szCs w:val="22"/>
                      <w:u w:val="single" w:color="auto"/>
                    </w:rPr>
                    <w:t>成型机</w:t>
                  </w:r>
                </w:p>
              </w:tc>
              <w:tc>
                <w:tcPr>
                  <w:tcW w:w="1988" w:type="dxa"/>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科盛ks250ve/P25VCF-3RT</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2台</w:t>
                  </w:r>
                </w:p>
              </w:tc>
              <w:tc>
                <w:tcPr>
                  <w:tcW w:w="1051"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jc w:val="center"/>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2</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挤出压延机</w:t>
                  </w:r>
                </w:p>
              </w:tc>
              <w:tc>
                <w:tcPr>
                  <w:tcW w:w="1988" w:type="dxa"/>
                  <w:vAlign w:val="center"/>
                </w:tcPr>
                <w:p>
                  <w:pPr>
                    <w:adjustRightInd w:val="0"/>
                    <w:snapToGrid w:val="0"/>
                    <w:spacing w:line="360" w:lineRule="auto"/>
                    <w:ind w:firstLine="880" w:firstLineChars="400"/>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50</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1台</w:t>
                  </w:r>
                </w:p>
              </w:tc>
              <w:tc>
                <w:tcPr>
                  <w:tcW w:w="1051"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rPr>
                    <w:t>压延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jc w:val="center"/>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3</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炼胶机</w:t>
                  </w:r>
                </w:p>
              </w:tc>
              <w:tc>
                <w:tcPr>
                  <w:tcW w:w="1988" w:type="dxa"/>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XK-300*700</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1台</w:t>
                  </w:r>
                </w:p>
              </w:tc>
              <w:tc>
                <w:tcPr>
                  <w:tcW w:w="1051"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jc w:val="center"/>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4</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炼胶机</w:t>
                  </w:r>
                </w:p>
              </w:tc>
              <w:tc>
                <w:tcPr>
                  <w:tcW w:w="1988" w:type="dxa"/>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XK-300*700</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1台</w:t>
                  </w:r>
                </w:p>
              </w:tc>
              <w:tc>
                <w:tcPr>
                  <w:tcW w:w="1051"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jc w:val="center"/>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5</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 xml:space="preserve">硅胶压片切条机 </w:t>
                  </w:r>
                </w:p>
              </w:tc>
              <w:tc>
                <w:tcPr>
                  <w:tcW w:w="1988" w:type="dxa"/>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JY-01-pv</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1台</w:t>
                  </w:r>
                </w:p>
              </w:tc>
              <w:tc>
                <w:tcPr>
                  <w:tcW w:w="1051"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jc w:val="center"/>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6</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片材枕式自动包装机</w:t>
                  </w:r>
                </w:p>
              </w:tc>
              <w:tc>
                <w:tcPr>
                  <w:tcW w:w="1988" w:type="dxa"/>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XH-450X</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1台</w:t>
                  </w:r>
                </w:p>
              </w:tc>
              <w:tc>
                <w:tcPr>
                  <w:tcW w:w="1051"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jc w:val="center"/>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7</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压片式</w:t>
                  </w:r>
                  <w:r>
                    <w:rPr>
                      <w:rFonts w:hint="default" w:ascii="Times New Roman" w:hAnsi="Times New Roman" w:cs="Times New Roman"/>
                      <w:sz w:val="22"/>
                      <w:szCs w:val="22"/>
                      <w:u w:val="single" w:color="auto"/>
                      <w:lang w:eastAsia="zh-CN"/>
                    </w:rPr>
                    <w:t>混料</w:t>
                  </w:r>
                  <w:r>
                    <w:rPr>
                      <w:rFonts w:hint="default" w:ascii="Times New Roman" w:hAnsi="Times New Roman" w:cs="Times New Roman"/>
                      <w:sz w:val="22"/>
                      <w:szCs w:val="22"/>
                      <w:u w:val="single" w:color="auto"/>
                    </w:rPr>
                    <w:t>机</w:t>
                  </w:r>
                </w:p>
              </w:tc>
              <w:tc>
                <w:tcPr>
                  <w:tcW w:w="1988" w:type="dxa"/>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ＭＳ-100-1</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1台</w:t>
                  </w:r>
                </w:p>
              </w:tc>
              <w:tc>
                <w:tcPr>
                  <w:tcW w:w="1051"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jc w:val="center"/>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8</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 xml:space="preserve">螺杆式空气压缩机 </w:t>
                  </w:r>
                </w:p>
              </w:tc>
              <w:tc>
                <w:tcPr>
                  <w:tcW w:w="1988" w:type="dxa"/>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Ec7-8</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1台</w:t>
                  </w:r>
                </w:p>
              </w:tc>
              <w:tc>
                <w:tcPr>
                  <w:tcW w:w="1051"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ind w:firstLine="220" w:firstLineChars="100"/>
                    <w:rPr>
                      <w:rFonts w:hint="default" w:ascii="Times New Roman" w:hAnsi="Times New Roman" w:cs="Times New Roman"/>
                      <w:sz w:val="22"/>
                      <w:szCs w:val="22"/>
                      <w:u w:val="single" w:color="auto"/>
                    </w:rPr>
                  </w:pPr>
                  <w:r>
                    <w:rPr>
                      <w:rFonts w:hint="default" w:ascii="Times New Roman" w:hAnsi="Times New Roman" w:cs="Times New Roman"/>
                      <w:sz w:val="22"/>
                      <w:szCs w:val="22"/>
                      <w:u w:val="single" w:color="auto"/>
                    </w:rPr>
                    <w:t xml:space="preserve">  9</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移印机</w:t>
                  </w:r>
                </w:p>
              </w:tc>
              <w:tc>
                <w:tcPr>
                  <w:tcW w:w="1988" w:type="dxa"/>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rPr>
                    <w:t>ＺＫＹＦ200　　　　　　　　　　　　　　　　　　　　　　　　　　　　　　　　　　　　　　　　　　　　　　　　　　　　　　　　　　　　　　　　　　　　　　　　　　　　　　　　　　　　　　　　　　　　　　　　　　　　　　　　　　　　　</w:t>
                  </w:r>
                </w:p>
              </w:tc>
              <w:tc>
                <w:tcPr>
                  <w:tcW w:w="826" w:type="pct"/>
                  <w:vAlign w:val="center"/>
                </w:tcPr>
                <w:p>
                  <w:pPr>
                    <w:adjustRightInd w:val="0"/>
                    <w:snapToGrid w:val="0"/>
                    <w:spacing w:line="360" w:lineRule="auto"/>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1台</w:t>
                  </w:r>
                </w:p>
              </w:tc>
              <w:tc>
                <w:tcPr>
                  <w:tcW w:w="1051" w:type="pct"/>
                  <w:vMerge w:val="restar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tcPr>
                <w:p>
                  <w:pPr>
                    <w:adjustRightInd w:val="0"/>
                    <w:snapToGrid w:val="0"/>
                    <w:spacing w:line="360" w:lineRule="auto"/>
                    <w:ind w:firstLine="440" w:firstLineChars="200"/>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10</w:t>
                  </w:r>
                </w:p>
              </w:tc>
              <w:tc>
                <w:tcPr>
                  <w:tcW w:w="1314" w:type="pct"/>
                  <w:vAlign w:val="center"/>
                </w:tcPr>
                <w:p>
                  <w:pPr>
                    <w:adjustRightInd w:val="0"/>
                    <w:snapToGrid w:val="0"/>
                    <w:jc w:val="center"/>
                    <w:rPr>
                      <w:rFonts w:hint="default" w:ascii="Times New Roman" w:hAnsi="Times New Roman" w:eastAsia="宋体"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丝印机</w:t>
                  </w:r>
                </w:p>
              </w:tc>
              <w:tc>
                <w:tcPr>
                  <w:tcW w:w="1092"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w:t>
                  </w:r>
                </w:p>
              </w:tc>
              <w:tc>
                <w:tcPr>
                  <w:tcW w:w="826" w:type="pct"/>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r>
                    <w:rPr>
                      <w:rFonts w:hint="default" w:ascii="Times New Roman" w:hAnsi="Times New Roman" w:cs="Times New Roman"/>
                      <w:sz w:val="22"/>
                      <w:szCs w:val="22"/>
                      <w:u w:val="single" w:color="auto"/>
                      <w:lang w:val="en-US" w:eastAsia="zh-CN"/>
                    </w:rPr>
                    <w:t>2台</w:t>
                  </w:r>
                </w:p>
              </w:tc>
              <w:tc>
                <w:tcPr>
                  <w:tcW w:w="1051" w:type="pct"/>
                  <w:vMerge w:val="continue"/>
                  <w:vAlign w:val="center"/>
                </w:tcPr>
                <w:p>
                  <w:pPr>
                    <w:adjustRightInd w:val="0"/>
                    <w:snapToGrid w:val="0"/>
                    <w:spacing w:line="360" w:lineRule="auto"/>
                    <w:jc w:val="center"/>
                    <w:rPr>
                      <w:rFonts w:hint="default" w:ascii="Times New Roman" w:hAnsi="Times New Roman" w:cs="Times New Roman"/>
                      <w:sz w:val="22"/>
                      <w:szCs w:val="22"/>
                      <w:u w:val="single" w:color="auto"/>
                      <w:lang w:val="en-US" w:eastAsia="zh-CN"/>
                    </w:rPr>
                  </w:pPr>
                </w:p>
              </w:tc>
            </w:tr>
          </w:tbl>
          <w:p>
            <w:pPr>
              <w:spacing w:line="360" w:lineRule="auto"/>
              <w:ind w:firstLine="456" w:firstLineChars="200"/>
              <w:rPr>
                <w:rFonts w:hint="eastAsia" w:cs="Times New Roman"/>
                <w:b/>
                <w:sz w:val="24"/>
                <w:szCs w:val="24"/>
                <w:u w:val="single" w:color="auto"/>
                <w:lang w:val="en-US" w:eastAsia="zh-CN"/>
              </w:rPr>
            </w:pPr>
            <w:r>
              <w:rPr>
                <w:color w:val="auto"/>
                <w:spacing w:val="-6"/>
                <w:sz w:val="24"/>
                <w:u w:val="single" w:color="auto"/>
              </w:rPr>
              <w:t>项目设备</w:t>
            </w:r>
            <w:r>
              <w:rPr>
                <w:rFonts w:hint="default" w:ascii="Times New Roman" w:hAnsi="Times New Roman" w:eastAsia="宋体" w:cs="Times New Roman"/>
                <w:bCs/>
                <w:color w:val="auto"/>
                <w:sz w:val="24"/>
                <w:szCs w:val="24"/>
                <w:u w:val="single" w:color="auto"/>
              </w:rPr>
              <w:t>无国家发改委《产业结构调整指导目录》（2019 年本）</w:t>
            </w:r>
            <w:r>
              <w:rPr>
                <w:rFonts w:hint="eastAsia" w:ascii="Times New Roman" w:hAnsi="Times New Roman" w:eastAsia="宋体" w:cs="Times New Roman"/>
                <w:bCs/>
                <w:color w:val="auto"/>
                <w:sz w:val="24"/>
                <w:szCs w:val="24"/>
                <w:u w:val="single" w:color="auto"/>
                <w:lang w:eastAsia="zh-CN"/>
              </w:rPr>
              <w:t>、</w:t>
            </w:r>
            <w:r>
              <w:rPr>
                <w:rFonts w:hint="default" w:ascii="Times New Roman" w:hAnsi="Times New Roman" w:eastAsia="宋体" w:cs="Times New Roman"/>
                <w:bCs/>
                <w:color w:val="auto"/>
                <w:sz w:val="24"/>
                <w:szCs w:val="24"/>
                <w:u w:val="single" w:color="auto"/>
              </w:rPr>
              <w:t>《工业和信息化部高耗能落后机电设备（产品）淘汰目录》、《部分工业行业淘汰落后生产工艺装备和产品指导目录》中淘汰及明令禁止使用的设备</w:t>
            </w:r>
            <w:r>
              <w:rPr>
                <w:rFonts w:hint="eastAsia" w:ascii="Times New Roman" w:hAnsi="Times New Roman" w:cs="Times New Roman"/>
                <w:bCs/>
                <w:color w:val="auto"/>
                <w:sz w:val="24"/>
                <w:szCs w:val="24"/>
                <w:u w:val="single" w:color="auto"/>
                <w:lang w:eastAsia="zh-CN"/>
              </w:rPr>
              <w:t>。</w:t>
            </w:r>
          </w:p>
          <w:p>
            <w:pPr>
              <w:ind w:firstLine="482" w:firstLineChars="200"/>
              <w:rPr>
                <w:rFonts w:hint="default" w:ascii="Times New Roman" w:hAnsi="Times New Roman" w:cs="Times New Roman"/>
                <w:b/>
                <w:sz w:val="24"/>
                <w:szCs w:val="24"/>
                <w:u w:val="single" w:color="auto"/>
              </w:rPr>
            </w:pPr>
            <w:r>
              <w:rPr>
                <w:rFonts w:hint="eastAsia" w:cs="Times New Roman"/>
                <w:b/>
                <w:sz w:val="24"/>
                <w:szCs w:val="24"/>
                <w:u w:val="single" w:color="auto"/>
                <w:lang w:val="en-US" w:eastAsia="zh-CN"/>
              </w:rPr>
              <w:t>6</w:t>
            </w:r>
            <w:r>
              <w:rPr>
                <w:rFonts w:hint="default" w:ascii="Times New Roman" w:hAnsi="Times New Roman" w:cs="Times New Roman"/>
                <w:b/>
                <w:sz w:val="24"/>
                <w:szCs w:val="24"/>
                <w:u w:val="single" w:color="auto"/>
              </w:rPr>
              <w:t>、产品方案及原辅材料消耗</w:t>
            </w:r>
          </w:p>
          <w:p>
            <w:pPr>
              <w:spacing w:line="500" w:lineRule="exact"/>
              <w:ind w:firstLine="480" w:firstLineChars="200"/>
              <w:jc w:val="left"/>
              <w:rPr>
                <w:rFonts w:hint="default" w:ascii="Times New Roman" w:hAnsi="Times New Roman" w:cs="Times New Roman"/>
                <w:sz w:val="24"/>
                <w:szCs w:val="24"/>
                <w:u w:val="single" w:color="auto"/>
              </w:rPr>
            </w:pPr>
            <w:r>
              <w:rPr>
                <w:rFonts w:hint="default" w:ascii="Times New Roman" w:hAnsi="Times New Roman" w:cs="Times New Roman"/>
                <w:sz w:val="24"/>
                <w:szCs w:val="24"/>
                <w:u w:val="single" w:color="auto"/>
              </w:rPr>
              <w:t>（1）本项目产品方案见表1-3。</w:t>
            </w:r>
          </w:p>
          <w:p>
            <w:pPr>
              <w:jc w:val="center"/>
              <w:rPr>
                <w:rFonts w:hint="default" w:ascii="Times New Roman" w:hAnsi="Times New Roman" w:cs="Times New Roman"/>
                <w:sz w:val="24"/>
                <w:szCs w:val="24"/>
                <w:u w:val="single" w:color="auto"/>
              </w:rPr>
            </w:pPr>
            <w:r>
              <w:rPr>
                <w:rFonts w:hint="default" w:ascii="Times New Roman" w:hAnsi="Times New Roman" w:cs="Times New Roman"/>
                <w:b/>
                <w:bCs/>
                <w:sz w:val="24"/>
                <w:szCs w:val="24"/>
                <w:u w:val="single" w:color="auto"/>
              </w:rPr>
              <w:t>表1-3  产品方案一览表</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2981"/>
              <w:gridCol w:w="3149"/>
              <w:gridCol w:w="2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0" w:hRule="atLeast"/>
                <w:jc w:val="center"/>
              </w:trPr>
              <w:tc>
                <w:tcPr>
                  <w:tcW w:w="1642" w:type="pct"/>
                  <w:vAlign w:val="center"/>
                </w:tcPr>
                <w:p>
                  <w:pPr>
                    <w:pStyle w:val="171"/>
                    <w:spacing w:line="360" w:lineRule="auto"/>
                    <w:rPr>
                      <w:rFonts w:hint="default" w:ascii="Times New Roman" w:hAnsi="Times New Roman" w:cs="Times New Roman"/>
                      <w:b/>
                      <w:sz w:val="22"/>
                      <w:szCs w:val="22"/>
                      <w:u w:val="single" w:color="auto"/>
                    </w:rPr>
                  </w:pPr>
                  <w:r>
                    <w:rPr>
                      <w:rFonts w:hint="default" w:ascii="Times New Roman" w:hAnsi="Times New Roman" w:cs="Times New Roman"/>
                      <w:b/>
                      <w:sz w:val="22"/>
                      <w:szCs w:val="22"/>
                      <w:u w:val="single" w:color="auto"/>
                    </w:rPr>
                    <w:t>产品名称</w:t>
                  </w:r>
                </w:p>
              </w:tc>
              <w:tc>
                <w:tcPr>
                  <w:tcW w:w="3357" w:type="pct"/>
                  <w:gridSpan w:val="2"/>
                  <w:vAlign w:val="center"/>
                </w:tcPr>
                <w:p>
                  <w:pPr>
                    <w:pStyle w:val="171"/>
                    <w:spacing w:line="360" w:lineRule="auto"/>
                    <w:rPr>
                      <w:rFonts w:hint="default" w:ascii="Times New Roman" w:hAnsi="Times New Roman" w:cs="Times New Roman"/>
                      <w:b/>
                      <w:sz w:val="22"/>
                      <w:szCs w:val="22"/>
                      <w:u w:val="single" w:color="auto"/>
                    </w:rPr>
                  </w:pPr>
                  <w:r>
                    <w:rPr>
                      <w:rFonts w:hint="default" w:ascii="Times New Roman" w:hAnsi="Times New Roman" w:cs="Times New Roman"/>
                      <w:b/>
                      <w:sz w:val="22"/>
                      <w:szCs w:val="22"/>
                      <w:u w:val="single" w:color="auto"/>
                    </w:rPr>
                    <w:t>年</w:t>
                  </w:r>
                  <w:r>
                    <w:rPr>
                      <w:rFonts w:hint="eastAsia" w:cs="Times New Roman"/>
                      <w:b/>
                      <w:sz w:val="22"/>
                      <w:szCs w:val="22"/>
                      <w:u w:val="single" w:color="auto"/>
                      <w:lang w:eastAsia="zh-CN"/>
                    </w:rPr>
                    <w:t>产</w:t>
                  </w:r>
                  <w:r>
                    <w:rPr>
                      <w:rFonts w:hint="default" w:ascii="Times New Roman" w:hAnsi="Times New Roman" w:cs="Times New Roman"/>
                      <w:b/>
                      <w:sz w:val="22"/>
                      <w:szCs w:val="22"/>
                      <w:u w:val="single" w:color="auto"/>
                    </w:rPr>
                    <w:t>（</w:t>
                  </w:r>
                  <w:r>
                    <w:rPr>
                      <w:rFonts w:hint="eastAsia" w:cs="Times New Roman"/>
                      <w:b/>
                      <w:sz w:val="22"/>
                      <w:szCs w:val="22"/>
                      <w:u w:val="single" w:color="auto"/>
                      <w:lang w:eastAsia="zh-CN"/>
                    </w:rPr>
                    <w:t>个</w:t>
                  </w:r>
                  <w:r>
                    <w:rPr>
                      <w:rFonts w:hint="default" w:ascii="Times New Roman" w:hAnsi="Times New Roman" w:cs="Times New Roman"/>
                      <w:b/>
                      <w:sz w:val="22"/>
                      <w:szCs w:val="22"/>
                      <w:u w:val="single" w:color="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4" w:hRule="atLeast"/>
                <w:jc w:val="center"/>
              </w:trPr>
              <w:tc>
                <w:tcPr>
                  <w:tcW w:w="1642" w:type="pct"/>
                  <w:vMerge w:val="restart"/>
                  <w:vAlign w:val="center"/>
                </w:tcPr>
                <w:p>
                  <w:pPr>
                    <w:pStyle w:val="171"/>
                    <w:spacing w:line="360" w:lineRule="auto"/>
                    <w:rPr>
                      <w:rFonts w:hint="default" w:ascii="Times New Roman" w:hAnsi="Times New Roman" w:eastAsia="宋体" w:cs="Times New Roman"/>
                      <w:sz w:val="22"/>
                      <w:szCs w:val="22"/>
                      <w:u w:val="single" w:color="auto"/>
                      <w:lang w:eastAsia="zh-CN"/>
                    </w:rPr>
                  </w:pPr>
                  <w:r>
                    <w:rPr>
                      <w:rFonts w:hint="eastAsia" w:cs="Times New Roman"/>
                      <w:sz w:val="22"/>
                      <w:szCs w:val="22"/>
                      <w:u w:val="single" w:color="auto"/>
                      <w:lang w:eastAsia="zh-CN"/>
                    </w:rPr>
                    <w:t>硅胶制品</w:t>
                  </w:r>
                </w:p>
              </w:tc>
              <w:tc>
                <w:tcPr>
                  <w:tcW w:w="1734" w:type="pct"/>
                  <w:tcBorders>
                    <w:bottom w:val="single" w:color="auto" w:sz="4" w:space="0"/>
                    <w:right w:val="single" w:color="auto" w:sz="4" w:space="0"/>
                  </w:tcBorders>
                  <w:vAlign w:val="center"/>
                </w:tcPr>
                <w:p>
                  <w:pPr>
                    <w:pStyle w:val="171"/>
                    <w:spacing w:line="360" w:lineRule="auto"/>
                    <w:rPr>
                      <w:rFonts w:hint="default" w:ascii="Times New Roman" w:hAnsi="Times New Roman" w:eastAsia="宋体" w:cs="Times New Roman"/>
                      <w:sz w:val="22"/>
                      <w:szCs w:val="22"/>
                      <w:u w:val="single" w:color="auto"/>
                      <w:lang w:val="en-US" w:eastAsia="zh-CN"/>
                    </w:rPr>
                  </w:pPr>
                  <w:r>
                    <w:rPr>
                      <w:rFonts w:hint="eastAsia" w:cs="Times New Roman"/>
                      <w:sz w:val="22"/>
                      <w:szCs w:val="22"/>
                      <w:u w:val="single" w:color="auto"/>
                      <w:lang w:val="en-US" w:eastAsia="zh-CN"/>
                    </w:rPr>
                    <w:t>硅胶类美容练习耗材</w:t>
                  </w:r>
                </w:p>
              </w:tc>
              <w:tc>
                <w:tcPr>
                  <w:tcW w:w="1623" w:type="pct"/>
                  <w:tcBorders>
                    <w:left w:val="single" w:color="auto" w:sz="4" w:space="0"/>
                    <w:bottom w:val="single" w:color="auto" w:sz="4" w:space="0"/>
                  </w:tcBorders>
                  <w:vAlign w:val="center"/>
                </w:tcPr>
                <w:p>
                  <w:pPr>
                    <w:pStyle w:val="171"/>
                    <w:spacing w:line="360" w:lineRule="auto"/>
                    <w:rPr>
                      <w:rFonts w:hint="eastAsia" w:cs="Times New Roman"/>
                      <w:sz w:val="22"/>
                      <w:szCs w:val="22"/>
                      <w:u w:val="single" w:color="auto"/>
                      <w:lang w:val="en-US" w:eastAsia="zh-CN"/>
                    </w:rPr>
                  </w:pPr>
                  <w:r>
                    <w:rPr>
                      <w:rFonts w:hint="eastAsia" w:cs="Times New Roman"/>
                      <w:sz w:val="22"/>
                      <w:szCs w:val="22"/>
                      <w:u w:val="single" w:color="auto"/>
                      <w:lang w:val="en-US" w:eastAsia="zh-CN"/>
                    </w:rPr>
                    <w:t>40万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96" w:hRule="atLeast"/>
                <w:jc w:val="center"/>
              </w:trPr>
              <w:tc>
                <w:tcPr>
                  <w:tcW w:w="1642" w:type="pct"/>
                  <w:vMerge w:val="continue"/>
                  <w:vAlign w:val="center"/>
                </w:tcPr>
                <w:p>
                  <w:pPr>
                    <w:pStyle w:val="171"/>
                    <w:spacing w:line="360" w:lineRule="auto"/>
                    <w:rPr>
                      <w:rFonts w:hint="eastAsia" w:cs="Times New Roman"/>
                      <w:sz w:val="22"/>
                      <w:szCs w:val="22"/>
                      <w:u w:val="single" w:color="auto"/>
                      <w:lang w:eastAsia="zh-CN"/>
                    </w:rPr>
                  </w:pPr>
                </w:p>
              </w:tc>
              <w:tc>
                <w:tcPr>
                  <w:tcW w:w="1734" w:type="pct"/>
                  <w:tcBorders>
                    <w:top w:val="single" w:color="auto" w:sz="4" w:space="0"/>
                    <w:bottom w:val="single" w:color="auto" w:sz="4" w:space="0"/>
                    <w:right w:val="single" w:color="auto" w:sz="4" w:space="0"/>
                  </w:tcBorders>
                  <w:vAlign w:val="center"/>
                </w:tcPr>
                <w:p>
                  <w:pPr>
                    <w:pStyle w:val="171"/>
                    <w:spacing w:line="360" w:lineRule="auto"/>
                    <w:rPr>
                      <w:rFonts w:hint="eastAsia" w:cs="Times New Roman"/>
                      <w:sz w:val="22"/>
                      <w:szCs w:val="22"/>
                      <w:u w:val="single" w:color="auto"/>
                      <w:lang w:val="en-US" w:eastAsia="zh-CN"/>
                    </w:rPr>
                  </w:pPr>
                  <w:r>
                    <w:rPr>
                      <w:rFonts w:hint="eastAsia" w:cs="Times New Roman"/>
                      <w:sz w:val="22"/>
                      <w:szCs w:val="22"/>
                      <w:u w:val="single" w:color="auto"/>
                      <w:lang w:val="en-US" w:eastAsia="zh-CN"/>
                    </w:rPr>
                    <w:t>康体仪器配件</w:t>
                  </w:r>
                </w:p>
              </w:tc>
              <w:tc>
                <w:tcPr>
                  <w:tcW w:w="1623" w:type="pct"/>
                  <w:tcBorders>
                    <w:top w:val="single" w:color="auto" w:sz="4" w:space="0"/>
                    <w:left w:val="single" w:color="auto" w:sz="4" w:space="0"/>
                    <w:bottom w:val="single" w:color="auto" w:sz="4" w:space="0"/>
                  </w:tcBorders>
                  <w:vAlign w:val="center"/>
                </w:tcPr>
                <w:p>
                  <w:pPr>
                    <w:pStyle w:val="171"/>
                    <w:spacing w:line="360" w:lineRule="auto"/>
                    <w:rPr>
                      <w:rFonts w:hint="default" w:cs="Times New Roman"/>
                      <w:sz w:val="22"/>
                      <w:szCs w:val="22"/>
                      <w:u w:val="single" w:color="auto"/>
                      <w:lang w:val="en-US" w:eastAsia="zh-CN"/>
                    </w:rPr>
                  </w:pPr>
                  <w:r>
                    <w:rPr>
                      <w:rFonts w:hint="eastAsia" w:cs="Times New Roman"/>
                      <w:sz w:val="22"/>
                      <w:szCs w:val="22"/>
                      <w:u w:val="single" w:color="auto"/>
                      <w:lang w:val="en-US" w:eastAsia="zh-CN"/>
                    </w:rPr>
                    <w:t>2万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5" w:hRule="atLeast"/>
                <w:jc w:val="center"/>
              </w:trPr>
              <w:tc>
                <w:tcPr>
                  <w:tcW w:w="1642" w:type="pct"/>
                  <w:vMerge w:val="continue"/>
                  <w:vAlign w:val="center"/>
                </w:tcPr>
                <w:p>
                  <w:pPr>
                    <w:pStyle w:val="171"/>
                    <w:spacing w:line="360" w:lineRule="auto"/>
                    <w:rPr>
                      <w:rFonts w:hint="eastAsia" w:cs="Times New Roman"/>
                      <w:sz w:val="22"/>
                      <w:szCs w:val="22"/>
                      <w:u w:val="single" w:color="auto"/>
                      <w:lang w:eastAsia="zh-CN"/>
                    </w:rPr>
                  </w:pPr>
                </w:p>
              </w:tc>
              <w:tc>
                <w:tcPr>
                  <w:tcW w:w="1734" w:type="pct"/>
                  <w:tcBorders>
                    <w:top w:val="single" w:color="auto" w:sz="4" w:space="0"/>
                    <w:right w:val="single" w:color="auto" w:sz="4" w:space="0"/>
                  </w:tcBorders>
                  <w:vAlign w:val="center"/>
                </w:tcPr>
                <w:p>
                  <w:pPr>
                    <w:pStyle w:val="171"/>
                    <w:spacing w:line="360" w:lineRule="auto"/>
                    <w:rPr>
                      <w:rFonts w:hint="eastAsia" w:cs="Times New Roman"/>
                      <w:sz w:val="22"/>
                      <w:szCs w:val="22"/>
                      <w:u w:val="single" w:color="auto"/>
                      <w:lang w:val="en-US" w:eastAsia="zh-CN"/>
                    </w:rPr>
                  </w:pPr>
                  <w:r>
                    <w:rPr>
                      <w:rFonts w:hint="eastAsia" w:cs="Times New Roman"/>
                      <w:sz w:val="22"/>
                      <w:szCs w:val="22"/>
                      <w:u w:val="single" w:color="auto"/>
                      <w:lang w:val="en-US" w:eastAsia="zh-CN"/>
                    </w:rPr>
                    <w:t>新能源汽车零配件</w:t>
                  </w:r>
                </w:p>
              </w:tc>
              <w:tc>
                <w:tcPr>
                  <w:tcW w:w="1623" w:type="pct"/>
                  <w:tcBorders>
                    <w:top w:val="single" w:color="auto" w:sz="4" w:space="0"/>
                    <w:left w:val="single" w:color="auto" w:sz="4" w:space="0"/>
                  </w:tcBorders>
                  <w:vAlign w:val="center"/>
                </w:tcPr>
                <w:p>
                  <w:pPr>
                    <w:pStyle w:val="171"/>
                    <w:spacing w:line="360" w:lineRule="auto"/>
                    <w:rPr>
                      <w:rFonts w:hint="default" w:cs="Times New Roman"/>
                      <w:sz w:val="22"/>
                      <w:szCs w:val="22"/>
                      <w:u w:val="single" w:color="auto"/>
                      <w:lang w:val="en-US" w:eastAsia="zh-CN"/>
                    </w:rPr>
                  </w:pPr>
                  <w:r>
                    <w:rPr>
                      <w:rFonts w:hint="eastAsia" w:cs="Times New Roman"/>
                      <w:sz w:val="22"/>
                      <w:szCs w:val="22"/>
                      <w:u w:val="single" w:color="auto"/>
                      <w:lang w:val="en-US" w:eastAsia="zh-CN"/>
                    </w:rPr>
                    <w:t>3万</w:t>
                  </w:r>
                </w:p>
              </w:tc>
            </w:tr>
          </w:tbl>
          <w:p>
            <w:pPr>
              <w:pStyle w:val="173"/>
              <w:ind w:firstLine="480"/>
              <w:rPr>
                <w:rFonts w:hint="default" w:ascii="Times New Roman" w:hAnsi="Times New Roman" w:eastAsia="宋体" w:cs="Times New Roman"/>
                <w:b/>
                <w:u w:val="single" w:color="auto"/>
              </w:rPr>
            </w:pPr>
            <w:r>
              <w:rPr>
                <w:rFonts w:hint="default" w:ascii="Times New Roman" w:hAnsi="Times New Roman" w:cs="Times New Roman"/>
                <w:u w:val="single" w:color="auto"/>
              </w:rPr>
              <w:t>（2）本项目主要的原材料消耗</w:t>
            </w:r>
            <w:r>
              <w:rPr>
                <w:rFonts w:hint="eastAsia" w:cs="Times New Roman"/>
                <w:u w:val="single" w:color="auto"/>
                <w:lang w:val="en-US" w:eastAsia="zh-CN"/>
              </w:rPr>
              <w:t>及能源消耗</w:t>
            </w:r>
            <w:r>
              <w:rPr>
                <w:rFonts w:hint="default" w:ascii="Times New Roman" w:hAnsi="Times New Roman" w:cs="Times New Roman"/>
                <w:u w:val="single" w:color="auto"/>
              </w:rPr>
              <w:t xml:space="preserve">情况详见表1-4。 </w:t>
            </w:r>
          </w:p>
          <w:p>
            <w:pPr>
              <w:pStyle w:val="172"/>
              <w:spacing w:before="0" w:beforeLines="0" w:after="0" w:afterLines="0" w:line="240" w:lineRule="auto"/>
              <w:rPr>
                <w:rFonts w:hint="default" w:ascii="Times New Roman" w:hAnsi="Times New Roman" w:eastAsia="宋体" w:cs="Times New Roman"/>
                <w:b/>
                <w:color w:val="auto"/>
                <w:u w:val="single" w:color="auto"/>
              </w:rPr>
            </w:pPr>
            <w:r>
              <w:rPr>
                <w:rFonts w:hint="default" w:ascii="Times New Roman" w:hAnsi="Times New Roman" w:eastAsia="宋体" w:cs="Times New Roman"/>
                <w:b/>
                <w:color w:val="auto"/>
                <w:u w:val="single" w:color="auto"/>
              </w:rPr>
              <w:t>表1-4  主要原辅材料消耗一览表</w:t>
            </w:r>
          </w:p>
          <w:tbl>
            <w:tblPr>
              <w:tblStyle w:val="40"/>
              <w:tblW w:w="908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74"/>
              <w:gridCol w:w="942"/>
              <w:gridCol w:w="1392"/>
              <w:gridCol w:w="2294"/>
              <w:gridCol w:w="1338"/>
              <w:gridCol w:w="1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7" w:hRule="atLeast"/>
              </w:trPr>
              <w:tc>
                <w:tcPr>
                  <w:tcW w:w="36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rPr>
                    <w:t>序号</w:t>
                  </w:r>
                </w:p>
              </w:tc>
              <w:tc>
                <w:tcPr>
                  <w:tcW w:w="701"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rPr>
                    <w:t>原料名称</w:t>
                  </w:r>
                </w:p>
              </w:tc>
              <w:tc>
                <w:tcPr>
                  <w:tcW w:w="518"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rPr>
                    <w:t>年用量</w:t>
                  </w:r>
                </w:p>
              </w:tc>
              <w:tc>
                <w:tcPr>
                  <w:tcW w:w="766"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最大储存量</w:t>
                  </w:r>
                </w:p>
              </w:tc>
              <w:tc>
                <w:tcPr>
                  <w:tcW w:w="1262"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rPr>
                    <w:t>备注</w:t>
                  </w:r>
                </w:p>
              </w:tc>
              <w:tc>
                <w:tcPr>
                  <w:tcW w:w="736"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储存方式</w:t>
                  </w:r>
                </w:p>
              </w:tc>
              <w:tc>
                <w:tcPr>
                  <w:tcW w:w="647" w:type="pct"/>
                  <w:tcBorders>
                    <w:tl2br w:val="nil"/>
                    <w:tr2bl w:val="nil"/>
                  </w:tcBorders>
                  <w:vAlign w:val="center"/>
                </w:tcPr>
                <w:p>
                  <w:pPr>
                    <w:adjustRightInd w:val="0"/>
                    <w:snapToGrid w:val="0"/>
                    <w:spacing w:line="360" w:lineRule="auto"/>
                    <w:jc w:val="center"/>
                    <w:rPr>
                      <w:rFonts w:hint="eastAsia" w:cs="Times New Roman"/>
                      <w:b w:val="0"/>
                      <w:bCs/>
                      <w:sz w:val="22"/>
                      <w:szCs w:val="22"/>
                      <w:u w:val="single" w:color="auto"/>
                      <w:lang w:val="en-US" w:eastAsia="zh-CN"/>
                    </w:rPr>
                  </w:pPr>
                  <w:r>
                    <w:rPr>
                      <w:rFonts w:hint="default" w:ascii="Times New Roman" w:hAnsi="Times New Roman" w:cs="Times New Roman"/>
                      <w:b w:val="0"/>
                      <w:bCs/>
                      <w:sz w:val="22"/>
                      <w:szCs w:val="22"/>
                      <w:u w:val="single" w:color="auto"/>
                    </w:rPr>
                    <w:t>存放位置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2" w:hRule="atLeast"/>
              </w:trPr>
              <w:tc>
                <w:tcPr>
                  <w:tcW w:w="36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rPr>
                    <w:t>1</w:t>
                  </w:r>
                </w:p>
              </w:tc>
              <w:tc>
                <w:tcPr>
                  <w:tcW w:w="701"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硅胶</w:t>
                  </w:r>
                </w:p>
              </w:tc>
              <w:tc>
                <w:tcPr>
                  <w:tcW w:w="518"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100t</w:t>
                  </w:r>
                </w:p>
              </w:tc>
              <w:tc>
                <w:tcPr>
                  <w:tcW w:w="76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5t</w:t>
                  </w:r>
                </w:p>
              </w:tc>
              <w:tc>
                <w:tcPr>
                  <w:tcW w:w="1262"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default" w:ascii="Times New Roman" w:hAnsi="Times New Roman" w:cs="Times New Roman"/>
                      <w:b w:val="0"/>
                      <w:bCs/>
                      <w:sz w:val="22"/>
                      <w:szCs w:val="22"/>
                      <w:u w:val="single" w:color="auto"/>
                      <w:lang w:val="en-US" w:eastAsia="zh-CN"/>
                    </w:rPr>
                    <w:t>外购</w:t>
                  </w:r>
                  <w:r>
                    <w:rPr>
                      <w:rFonts w:hint="eastAsia" w:cs="Times New Roman"/>
                      <w:b w:val="0"/>
                      <w:bCs/>
                      <w:sz w:val="22"/>
                      <w:szCs w:val="22"/>
                      <w:u w:val="single" w:color="auto"/>
                      <w:lang w:val="en-US" w:eastAsia="zh-CN"/>
                    </w:rPr>
                    <w:t>，半成品</w:t>
                  </w:r>
                  <w:r>
                    <w:rPr>
                      <w:rFonts w:hint="default" w:ascii="Times New Roman" w:hAnsi="Times New Roman" w:eastAsia="宋体" w:cs="Times New Roman"/>
                      <w:color w:val="333333"/>
                      <w:sz w:val="22"/>
                      <w:szCs w:val="22"/>
                      <w:u w:val="single" w:color="auto"/>
                    </w:rPr>
                    <w:t>经供应厂家密炼、开炼好的</w:t>
                  </w:r>
                </w:p>
              </w:tc>
              <w:tc>
                <w:tcPr>
                  <w:tcW w:w="73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固体，袋装</w:t>
                  </w:r>
                </w:p>
              </w:tc>
              <w:tc>
                <w:tcPr>
                  <w:tcW w:w="647" w:type="pct"/>
                  <w:tcBorders>
                    <w:tl2br w:val="nil"/>
                    <w:tr2bl w:val="nil"/>
                  </w:tcBorders>
                  <w:vAlign w:val="center"/>
                </w:tcPr>
                <w:p>
                  <w:pPr>
                    <w:adjustRightInd w:val="0"/>
                    <w:snapToGrid w:val="0"/>
                    <w:spacing w:line="360" w:lineRule="auto"/>
                    <w:jc w:val="center"/>
                    <w:rPr>
                      <w:rFonts w:hint="eastAsia" w:cs="Times New Roman"/>
                      <w:b w:val="0"/>
                      <w:bCs/>
                      <w:sz w:val="22"/>
                      <w:szCs w:val="22"/>
                      <w:u w:val="single" w:color="auto"/>
                      <w:lang w:val="en-US" w:eastAsia="zh-CN"/>
                    </w:rPr>
                  </w:pPr>
                  <w:r>
                    <w:rPr>
                      <w:rFonts w:hint="default" w:ascii="Times New Roman" w:hAnsi="Times New Roman" w:cs="Times New Roman"/>
                      <w:b w:val="0"/>
                      <w:bCs/>
                      <w:sz w:val="22"/>
                      <w:szCs w:val="22"/>
                      <w:u w:val="single" w:color="auto"/>
                      <w:lang w:val="en-US" w:eastAsia="zh-CN"/>
                    </w:rPr>
                    <w:t>一楼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36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rPr>
                    <w:t>2</w:t>
                  </w:r>
                </w:p>
              </w:tc>
              <w:tc>
                <w:tcPr>
                  <w:tcW w:w="701"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色胶</w:t>
                  </w:r>
                </w:p>
              </w:tc>
              <w:tc>
                <w:tcPr>
                  <w:tcW w:w="518"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0.5t</w:t>
                  </w:r>
                </w:p>
              </w:tc>
              <w:tc>
                <w:tcPr>
                  <w:tcW w:w="766"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0.1t</w:t>
                  </w:r>
                </w:p>
              </w:tc>
              <w:tc>
                <w:tcPr>
                  <w:tcW w:w="1262"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lang w:val="en-US" w:eastAsia="zh-CN"/>
                    </w:rPr>
                    <w:t>外购</w:t>
                  </w:r>
                </w:p>
              </w:tc>
              <w:tc>
                <w:tcPr>
                  <w:tcW w:w="73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固体，袋装</w:t>
                  </w:r>
                </w:p>
              </w:tc>
              <w:tc>
                <w:tcPr>
                  <w:tcW w:w="647" w:type="pct"/>
                  <w:tcBorders>
                    <w:tl2br w:val="nil"/>
                    <w:tr2bl w:val="nil"/>
                  </w:tcBorders>
                  <w:vAlign w:val="center"/>
                </w:tcPr>
                <w:p>
                  <w:pPr>
                    <w:adjustRightInd w:val="0"/>
                    <w:snapToGrid w:val="0"/>
                    <w:spacing w:line="360" w:lineRule="auto"/>
                    <w:jc w:val="center"/>
                    <w:rPr>
                      <w:rFonts w:hint="eastAsia" w:cs="Times New Roman"/>
                      <w:b w:val="0"/>
                      <w:bCs/>
                      <w:sz w:val="22"/>
                      <w:szCs w:val="22"/>
                      <w:u w:val="single" w:color="auto"/>
                      <w:lang w:val="en-US" w:eastAsia="zh-CN"/>
                    </w:rPr>
                  </w:pPr>
                  <w:r>
                    <w:rPr>
                      <w:rFonts w:hint="default" w:ascii="Times New Roman" w:hAnsi="Times New Roman" w:cs="Times New Roman"/>
                      <w:b w:val="0"/>
                      <w:bCs/>
                      <w:sz w:val="22"/>
                      <w:szCs w:val="22"/>
                      <w:u w:val="single" w:color="auto"/>
                      <w:lang w:val="en-US" w:eastAsia="zh-CN"/>
                    </w:rPr>
                    <w:t>一楼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84" w:hRule="atLeast"/>
              </w:trPr>
              <w:tc>
                <w:tcPr>
                  <w:tcW w:w="36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rPr>
                    <w:t>3</w:t>
                  </w:r>
                </w:p>
              </w:tc>
              <w:tc>
                <w:tcPr>
                  <w:tcW w:w="701"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硅胶印刷油墨</w:t>
                  </w:r>
                </w:p>
              </w:tc>
              <w:tc>
                <w:tcPr>
                  <w:tcW w:w="518"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12kg</w:t>
                  </w:r>
                </w:p>
              </w:tc>
              <w:tc>
                <w:tcPr>
                  <w:tcW w:w="766"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5kg</w:t>
                  </w:r>
                </w:p>
              </w:tc>
              <w:tc>
                <w:tcPr>
                  <w:tcW w:w="1262"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lang w:val="en-US" w:eastAsia="zh-CN"/>
                    </w:rPr>
                    <w:t>外购</w:t>
                  </w:r>
                </w:p>
              </w:tc>
              <w:tc>
                <w:tcPr>
                  <w:tcW w:w="73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液体，桶装</w:t>
                  </w:r>
                </w:p>
              </w:tc>
              <w:tc>
                <w:tcPr>
                  <w:tcW w:w="647" w:type="pct"/>
                  <w:tcBorders>
                    <w:tl2br w:val="nil"/>
                    <w:tr2bl w:val="nil"/>
                  </w:tcBorders>
                  <w:vAlign w:val="center"/>
                </w:tcPr>
                <w:p>
                  <w:pPr>
                    <w:adjustRightInd w:val="0"/>
                    <w:snapToGrid w:val="0"/>
                    <w:spacing w:line="360" w:lineRule="auto"/>
                    <w:jc w:val="center"/>
                    <w:rPr>
                      <w:rFonts w:hint="eastAsia" w:cs="Times New Roman"/>
                      <w:b w:val="0"/>
                      <w:bCs/>
                      <w:sz w:val="22"/>
                      <w:szCs w:val="22"/>
                      <w:u w:val="single" w:color="auto"/>
                      <w:lang w:val="en-US" w:eastAsia="zh-CN"/>
                    </w:rPr>
                  </w:pPr>
                  <w:r>
                    <w:rPr>
                      <w:rFonts w:hint="default" w:ascii="Times New Roman" w:hAnsi="Times New Roman" w:cs="Times New Roman"/>
                      <w:b w:val="0"/>
                      <w:bCs/>
                      <w:sz w:val="22"/>
                      <w:szCs w:val="22"/>
                      <w:u w:val="single" w:color="auto"/>
                      <w:lang w:val="en-US" w:eastAsia="zh-CN"/>
                    </w:rPr>
                    <w:t>一楼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6"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4</w:t>
                  </w:r>
                </w:p>
              </w:tc>
              <w:tc>
                <w:tcPr>
                  <w:tcW w:w="701" w:type="pct"/>
                  <w:tcBorders>
                    <w:tl2br w:val="nil"/>
                    <w:tr2bl w:val="nil"/>
                  </w:tcBorders>
                  <w:vAlign w:val="center"/>
                </w:tcPr>
                <w:p>
                  <w:pPr>
                    <w:adjustRightInd w:val="0"/>
                    <w:snapToGrid w:val="0"/>
                    <w:spacing w:line="360" w:lineRule="auto"/>
                    <w:jc w:val="center"/>
                    <w:rPr>
                      <w:rFonts w:hint="default" w:cs="Times New Roman"/>
                      <w:b w:val="0"/>
                      <w:bCs/>
                      <w:sz w:val="22"/>
                      <w:szCs w:val="22"/>
                      <w:u w:val="single" w:color="auto"/>
                      <w:lang w:val="en-US" w:eastAsia="zh-CN"/>
                    </w:rPr>
                  </w:pPr>
                  <w:r>
                    <w:rPr>
                      <w:rFonts w:hint="eastAsia" w:cs="Times New Roman"/>
                      <w:b w:val="0"/>
                      <w:bCs/>
                      <w:sz w:val="22"/>
                      <w:szCs w:val="22"/>
                      <w:u w:val="single" w:color="auto"/>
                      <w:lang w:val="en-US" w:eastAsia="zh-CN"/>
                    </w:rPr>
                    <w:t>煤油</w:t>
                  </w:r>
                </w:p>
              </w:tc>
              <w:tc>
                <w:tcPr>
                  <w:tcW w:w="518" w:type="pct"/>
                  <w:tcBorders>
                    <w:tl2br w:val="nil"/>
                    <w:tr2bl w:val="nil"/>
                  </w:tcBorders>
                  <w:vAlign w:val="center"/>
                </w:tcPr>
                <w:p>
                  <w:pPr>
                    <w:adjustRightInd w:val="0"/>
                    <w:snapToGrid w:val="0"/>
                    <w:spacing w:line="360" w:lineRule="auto"/>
                    <w:jc w:val="center"/>
                    <w:rPr>
                      <w:rFonts w:hint="default" w:cs="Times New Roman"/>
                      <w:b w:val="0"/>
                      <w:bCs/>
                      <w:sz w:val="22"/>
                      <w:szCs w:val="22"/>
                      <w:u w:val="single" w:color="auto"/>
                      <w:lang w:val="en-US" w:eastAsia="zh-CN"/>
                    </w:rPr>
                  </w:pPr>
                  <w:r>
                    <w:rPr>
                      <w:rFonts w:hint="eastAsia" w:cs="Times New Roman"/>
                      <w:b w:val="0"/>
                      <w:bCs/>
                      <w:sz w:val="22"/>
                      <w:szCs w:val="22"/>
                      <w:u w:val="single" w:color="auto"/>
                      <w:lang w:val="en-US" w:eastAsia="zh-CN"/>
                    </w:rPr>
                    <w:t>2kg</w:t>
                  </w:r>
                </w:p>
              </w:tc>
              <w:tc>
                <w:tcPr>
                  <w:tcW w:w="76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1kg</w:t>
                  </w:r>
                </w:p>
              </w:tc>
              <w:tc>
                <w:tcPr>
                  <w:tcW w:w="1262"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default" w:ascii="Times New Roman" w:hAnsi="Times New Roman" w:cs="Times New Roman"/>
                      <w:b w:val="0"/>
                      <w:bCs/>
                      <w:sz w:val="22"/>
                      <w:szCs w:val="22"/>
                      <w:u w:val="single" w:color="auto"/>
                      <w:lang w:val="en-US" w:eastAsia="zh-CN"/>
                    </w:rPr>
                    <w:t>外购</w:t>
                  </w:r>
                </w:p>
              </w:tc>
              <w:tc>
                <w:tcPr>
                  <w:tcW w:w="73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液体，桶装</w:t>
                  </w:r>
                </w:p>
              </w:tc>
              <w:tc>
                <w:tcPr>
                  <w:tcW w:w="647" w:type="pct"/>
                  <w:tcBorders>
                    <w:tl2br w:val="nil"/>
                    <w:tr2bl w:val="nil"/>
                  </w:tcBorders>
                  <w:vAlign w:val="center"/>
                </w:tcPr>
                <w:p>
                  <w:pPr>
                    <w:adjustRightInd w:val="0"/>
                    <w:snapToGrid w:val="0"/>
                    <w:spacing w:line="360" w:lineRule="auto"/>
                    <w:jc w:val="center"/>
                    <w:rPr>
                      <w:rFonts w:hint="eastAsia" w:cs="Times New Roman"/>
                      <w:b w:val="0"/>
                      <w:bCs/>
                      <w:sz w:val="22"/>
                      <w:szCs w:val="22"/>
                      <w:u w:val="single" w:color="auto"/>
                      <w:lang w:val="en-US" w:eastAsia="zh-CN"/>
                    </w:rPr>
                  </w:pPr>
                  <w:r>
                    <w:rPr>
                      <w:rFonts w:hint="default" w:ascii="Times New Roman" w:hAnsi="Times New Roman" w:cs="Times New Roman"/>
                      <w:b w:val="0"/>
                      <w:bCs/>
                      <w:sz w:val="22"/>
                      <w:szCs w:val="22"/>
                      <w:u w:val="single" w:color="auto"/>
                      <w:lang w:val="en-US" w:eastAsia="zh-CN"/>
                    </w:rPr>
                    <w:t>一楼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366"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 w:val="0"/>
                      <w:bCs/>
                      <w:sz w:val="22"/>
                      <w:szCs w:val="22"/>
                      <w:u w:val="single" w:color="auto"/>
                      <w:lang w:eastAsia="zh-CN"/>
                    </w:rPr>
                  </w:pPr>
                  <w:r>
                    <w:rPr>
                      <w:rFonts w:hint="eastAsia" w:cs="Times New Roman"/>
                      <w:b w:val="0"/>
                      <w:bCs/>
                      <w:sz w:val="22"/>
                      <w:szCs w:val="22"/>
                      <w:u w:val="single" w:color="auto"/>
                      <w:lang w:val="en-US" w:eastAsia="zh-CN"/>
                    </w:rPr>
                    <w:t>5</w:t>
                  </w:r>
                </w:p>
              </w:tc>
              <w:tc>
                <w:tcPr>
                  <w:tcW w:w="701"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架桥剂</w:t>
                  </w:r>
                </w:p>
              </w:tc>
              <w:tc>
                <w:tcPr>
                  <w:tcW w:w="518"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500kg</w:t>
                  </w:r>
                </w:p>
              </w:tc>
              <w:tc>
                <w:tcPr>
                  <w:tcW w:w="766"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50kg</w:t>
                  </w:r>
                </w:p>
              </w:tc>
              <w:tc>
                <w:tcPr>
                  <w:tcW w:w="1262"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rPr>
                  </w:pPr>
                  <w:r>
                    <w:rPr>
                      <w:rFonts w:hint="default" w:ascii="Times New Roman" w:hAnsi="Times New Roman" w:cs="Times New Roman"/>
                      <w:b w:val="0"/>
                      <w:bCs/>
                      <w:sz w:val="22"/>
                      <w:szCs w:val="22"/>
                      <w:u w:val="single" w:color="auto"/>
                      <w:lang w:val="en-US" w:eastAsia="zh-CN"/>
                    </w:rPr>
                    <w:t>外购</w:t>
                  </w:r>
                </w:p>
              </w:tc>
              <w:tc>
                <w:tcPr>
                  <w:tcW w:w="736" w:type="pct"/>
                  <w:tcBorders>
                    <w:tl2br w:val="nil"/>
                    <w:tr2bl w:val="nil"/>
                  </w:tcBorders>
                  <w:vAlign w:val="center"/>
                </w:tcPr>
                <w:p>
                  <w:pPr>
                    <w:adjustRightInd w:val="0"/>
                    <w:snapToGrid w:val="0"/>
                    <w:spacing w:line="360" w:lineRule="auto"/>
                    <w:jc w:val="center"/>
                    <w:rPr>
                      <w:rFonts w:hint="default" w:ascii="Times New Roman" w:hAnsi="Times New Roman" w:eastAsia="宋体" w:cs="Times New Roman"/>
                      <w:b w:val="0"/>
                      <w:bCs/>
                      <w:sz w:val="22"/>
                      <w:szCs w:val="22"/>
                      <w:u w:val="single" w:color="auto"/>
                      <w:lang w:val="en-US" w:eastAsia="zh-CN"/>
                    </w:rPr>
                  </w:pPr>
                  <w:r>
                    <w:rPr>
                      <w:rFonts w:hint="default" w:ascii="Times New Roman" w:hAnsi="Times New Roman" w:cs="Times New Roman"/>
                      <w:b w:val="0"/>
                      <w:bCs w:val="0"/>
                      <w:sz w:val="22"/>
                      <w:szCs w:val="22"/>
                      <w:u w:val="single" w:color="auto"/>
                    </w:rPr>
                    <w:t>透明半流动胶体</w:t>
                  </w:r>
                  <w:r>
                    <w:rPr>
                      <w:rFonts w:hint="eastAsia" w:cs="Times New Roman"/>
                      <w:b w:val="0"/>
                      <w:bCs w:val="0"/>
                      <w:sz w:val="22"/>
                      <w:szCs w:val="22"/>
                      <w:u w:val="single" w:color="auto"/>
                      <w:lang w:eastAsia="zh-CN"/>
                    </w:rPr>
                    <w:t>，</w:t>
                  </w:r>
                  <w:r>
                    <w:rPr>
                      <w:rFonts w:hint="eastAsia" w:cs="Times New Roman"/>
                      <w:b w:val="0"/>
                      <w:bCs w:val="0"/>
                      <w:sz w:val="22"/>
                      <w:szCs w:val="22"/>
                      <w:u w:val="single" w:color="auto"/>
                      <w:lang w:val="en-US" w:eastAsia="zh-CN"/>
                    </w:rPr>
                    <w:t>桶装</w:t>
                  </w:r>
                </w:p>
              </w:tc>
              <w:tc>
                <w:tcPr>
                  <w:tcW w:w="647"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val="0"/>
                      <w:sz w:val="22"/>
                      <w:szCs w:val="22"/>
                      <w:u w:val="single" w:color="auto"/>
                    </w:rPr>
                  </w:pPr>
                  <w:r>
                    <w:rPr>
                      <w:rFonts w:hint="default" w:ascii="Times New Roman" w:hAnsi="Times New Roman" w:cs="Times New Roman"/>
                      <w:b w:val="0"/>
                      <w:bCs/>
                      <w:sz w:val="22"/>
                      <w:szCs w:val="22"/>
                      <w:u w:val="single" w:color="auto"/>
                      <w:lang w:val="en-US" w:eastAsia="zh-CN"/>
                    </w:rPr>
                    <w:t>一楼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366"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6</w:t>
                  </w:r>
                </w:p>
              </w:tc>
              <w:tc>
                <w:tcPr>
                  <w:tcW w:w="701"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水</w:t>
                  </w:r>
                </w:p>
              </w:tc>
              <w:tc>
                <w:tcPr>
                  <w:tcW w:w="518" w:type="pct"/>
                  <w:tcBorders>
                    <w:tl2br w:val="nil"/>
                    <w:tr2bl w:val="nil"/>
                  </w:tcBorders>
                  <w:vAlign w:val="center"/>
                </w:tcPr>
                <w:p>
                  <w:pPr>
                    <w:adjustRightInd w:val="0"/>
                    <w:snapToGrid w:val="0"/>
                    <w:spacing w:line="360" w:lineRule="auto"/>
                    <w:jc w:val="center"/>
                    <w:rPr>
                      <w:rFonts w:hint="default" w:cs="Times New Roman"/>
                      <w:b w:val="0"/>
                      <w:bCs/>
                      <w:sz w:val="22"/>
                      <w:szCs w:val="22"/>
                      <w:u w:val="single" w:color="auto"/>
                      <w:lang w:val="en-US" w:eastAsia="zh-CN"/>
                    </w:rPr>
                  </w:pPr>
                  <w:r>
                    <w:rPr>
                      <w:rFonts w:hint="eastAsia" w:cs="Times New Roman"/>
                      <w:b w:val="0"/>
                      <w:bCs/>
                      <w:sz w:val="22"/>
                      <w:szCs w:val="22"/>
                      <w:u w:val="single" w:color="auto"/>
                      <w:lang w:val="en-US" w:eastAsia="zh-CN"/>
                    </w:rPr>
                    <w:t>408t</w:t>
                  </w:r>
                </w:p>
              </w:tc>
              <w:tc>
                <w:tcPr>
                  <w:tcW w:w="76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w:t>
                  </w:r>
                </w:p>
              </w:tc>
              <w:tc>
                <w:tcPr>
                  <w:tcW w:w="1262"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自来水公司</w:t>
                  </w:r>
                </w:p>
              </w:tc>
              <w:tc>
                <w:tcPr>
                  <w:tcW w:w="73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w:t>
                  </w:r>
                </w:p>
              </w:tc>
              <w:tc>
                <w:tcPr>
                  <w:tcW w:w="647"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366"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7</w:t>
                  </w:r>
                </w:p>
              </w:tc>
              <w:tc>
                <w:tcPr>
                  <w:tcW w:w="701" w:type="pct"/>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电</w:t>
                  </w:r>
                </w:p>
              </w:tc>
              <w:tc>
                <w:tcPr>
                  <w:tcW w:w="518" w:type="pct"/>
                  <w:tcBorders>
                    <w:tl2br w:val="nil"/>
                    <w:tr2bl w:val="nil"/>
                  </w:tcBorders>
                  <w:vAlign w:val="center"/>
                </w:tcPr>
                <w:p>
                  <w:pPr>
                    <w:adjustRightInd w:val="0"/>
                    <w:snapToGrid w:val="0"/>
                    <w:spacing w:line="360" w:lineRule="auto"/>
                    <w:jc w:val="center"/>
                    <w:rPr>
                      <w:rFonts w:hint="default" w:cs="Times New Roman"/>
                      <w:b w:val="0"/>
                      <w:bCs/>
                      <w:sz w:val="22"/>
                      <w:szCs w:val="22"/>
                      <w:u w:val="single" w:color="auto"/>
                      <w:lang w:val="en-US" w:eastAsia="zh-CN"/>
                    </w:rPr>
                  </w:pPr>
                  <w:r>
                    <w:rPr>
                      <w:rFonts w:hint="eastAsia" w:cs="Times New Roman"/>
                      <w:b w:val="0"/>
                      <w:bCs/>
                      <w:sz w:val="22"/>
                      <w:szCs w:val="22"/>
                      <w:u w:val="single" w:color="auto"/>
                      <w:lang w:val="en-US" w:eastAsia="zh-CN"/>
                    </w:rPr>
                    <w:t>7万度</w:t>
                  </w:r>
                </w:p>
              </w:tc>
              <w:tc>
                <w:tcPr>
                  <w:tcW w:w="76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w:t>
                  </w:r>
                </w:p>
              </w:tc>
              <w:tc>
                <w:tcPr>
                  <w:tcW w:w="1262"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国家电网</w:t>
                  </w:r>
                </w:p>
              </w:tc>
              <w:tc>
                <w:tcPr>
                  <w:tcW w:w="736"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w:t>
                  </w:r>
                </w:p>
              </w:tc>
              <w:tc>
                <w:tcPr>
                  <w:tcW w:w="647" w:type="pct"/>
                  <w:tcBorders>
                    <w:tl2br w:val="nil"/>
                    <w:tr2bl w:val="nil"/>
                  </w:tcBorders>
                  <w:vAlign w:val="center"/>
                </w:tcPr>
                <w:p>
                  <w:pPr>
                    <w:adjustRightInd w:val="0"/>
                    <w:snapToGrid w:val="0"/>
                    <w:spacing w:line="360" w:lineRule="auto"/>
                    <w:jc w:val="center"/>
                    <w:rPr>
                      <w:rFonts w:hint="default" w:ascii="Times New Roman" w:hAnsi="Times New Roman" w:cs="Times New Roman"/>
                      <w:b w:val="0"/>
                      <w:bCs/>
                      <w:sz w:val="22"/>
                      <w:szCs w:val="22"/>
                      <w:u w:val="single" w:color="auto"/>
                      <w:lang w:val="en-US" w:eastAsia="zh-CN"/>
                    </w:rPr>
                  </w:pPr>
                  <w:r>
                    <w:rPr>
                      <w:rFonts w:hint="eastAsia" w:cs="Times New Roman"/>
                      <w:b w:val="0"/>
                      <w:bCs/>
                      <w:sz w:val="22"/>
                      <w:szCs w:val="22"/>
                      <w:u w:val="single" w:color="auto"/>
                      <w:lang w:val="en-US" w:eastAsia="zh-CN"/>
                    </w:rPr>
                    <w:t>/</w:t>
                  </w:r>
                </w:p>
              </w:tc>
            </w:tr>
          </w:tbl>
          <w:p>
            <w:pPr>
              <w:jc w:val="center"/>
              <w:rPr>
                <w:rFonts w:hint="default" w:ascii="Times New Roman" w:hAnsi="Times New Roman" w:cs="Times New Roman"/>
                <w:b/>
                <w:sz w:val="24"/>
                <w:szCs w:val="24"/>
                <w:u w:val="single" w:color="auto"/>
              </w:rPr>
            </w:pPr>
          </w:p>
          <w:p>
            <w:pPr>
              <w:jc w:val="both"/>
              <w:rPr>
                <w:rFonts w:hint="default" w:ascii="Times New Roman" w:hAnsi="Times New Roman" w:eastAsia="宋体" w:cs="Times New Roman"/>
                <w:b w:val="0"/>
                <w:bCs/>
                <w:sz w:val="22"/>
                <w:szCs w:val="22"/>
                <w:u w:val="single" w:color="auto"/>
                <w:lang w:val="en-US" w:eastAsia="zh-CN"/>
              </w:rPr>
            </w:pPr>
            <w:r>
              <w:rPr>
                <w:rFonts w:hint="eastAsia" w:cs="Times New Roman"/>
                <w:b w:val="0"/>
                <w:bCs/>
                <w:sz w:val="22"/>
                <w:szCs w:val="22"/>
                <w:u w:val="single" w:color="auto"/>
                <w:lang w:val="en-US" w:eastAsia="zh-CN"/>
              </w:rPr>
              <w:t>注：由于项目现使用油性油墨，但使用量较少，故环评建议尽量使用水性油墨。</w:t>
            </w:r>
          </w:p>
          <w:p>
            <w:pPr>
              <w:jc w:val="center"/>
              <w:rPr>
                <w:rFonts w:hint="default" w:ascii="Times New Roman" w:hAnsi="Times New Roman" w:cs="Times New Roman"/>
                <w:b/>
                <w:sz w:val="24"/>
                <w:szCs w:val="24"/>
                <w:u w:val="single" w:color="auto"/>
              </w:rPr>
            </w:pPr>
          </w:p>
          <w:p>
            <w:pPr>
              <w:jc w:val="center"/>
              <w:rPr>
                <w:rFonts w:hint="default" w:ascii="Times New Roman" w:hAnsi="Times New Roman" w:cs="Times New Roman"/>
                <w:b/>
                <w:sz w:val="24"/>
                <w:szCs w:val="24"/>
                <w:u w:val="single" w:color="auto"/>
              </w:rPr>
            </w:pPr>
          </w:p>
          <w:p>
            <w:pPr>
              <w:jc w:val="center"/>
              <w:rPr>
                <w:rFonts w:hint="default" w:ascii="Times New Roman" w:hAnsi="Times New Roman" w:cs="Times New Roman"/>
                <w:b/>
                <w:sz w:val="24"/>
                <w:szCs w:val="24"/>
                <w:u w:val="single" w:color="auto"/>
              </w:rPr>
            </w:pPr>
          </w:p>
          <w:p>
            <w:pPr>
              <w:jc w:val="center"/>
              <w:rPr>
                <w:rFonts w:hint="default" w:ascii="Times New Roman" w:hAnsi="Times New Roman" w:cs="Times New Roman"/>
                <w:b/>
                <w:sz w:val="24"/>
                <w:szCs w:val="24"/>
                <w:u w:val="single" w:color="auto"/>
              </w:rPr>
            </w:pPr>
          </w:p>
          <w:p>
            <w:pPr>
              <w:jc w:val="center"/>
              <w:rPr>
                <w:rFonts w:hint="default" w:ascii="Times New Roman" w:hAnsi="Times New Roman" w:cs="Times New Roman"/>
                <w:b/>
                <w:sz w:val="24"/>
                <w:szCs w:val="24"/>
                <w:u w:val="single" w:color="auto"/>
              </w:rPr>
            </w:pPr>
            <w:r>
              <w:rPr>
                <w:rFonts w:hint="default" w:ascii="Times New Roman" w:hAnsi="Times New Roman" w:cs="Times New Roman"/>
                <w:b/>
                <w:sz w:val="24"/>
                <w:szCs w:val="24"/>
                <w:u w:val="single" w:color="auto"/>
              </w:rPr>
              <w:t>表1-5</w:t>
            </w:r>
            <w:r>
              <w:rPr>
                <w:rFonts w:hint="default" w:ascii="Times New Roman" w:hAnsi="Times New Roman" w:cs="Times New Roman"/>
                <w:u w:val="single" w:color="auto"/>
              </w:rPr>
              <w:t xml:space="preserve">  </w:t>
            </w:r>
            <w:r>
              <w:rPr>
                <w:rFonts w:hint="default" w:ascii="Times New Roman" w:hAnsi="Times New Roman" w:cs="Times New Roman"/>
                <w:b/>
                <w:sz w:val="24"/>
                <w:szCs w:val="24"/>
                <w:u w:val="single" w:color="auto"/>
              </w:rPr>
              <w:t>主要原辅材料的理化性质</w:t>
            </w:r>
          </w:p>
          <w:tbl>
            <w:tblPr>
              <w:tblStyle w:val="41"/>
              <w:tblW w:w="90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5"/>
              <w:gridCol w:w="1169"/>
              <w:gridCol w:w="6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945" w:type="dxa"/>
                  <w:vAlign w:val="center"/>
                </w:tcPr>
                <w:p>
                  <w:pPr>
                    <w:pStyle w:val="34"/>
                    <w:spacing w:line="360" w:lineRule="auto"/>
                    <w:ind w:left="0" w:leftChars="0"/>
                    <w:jc w:val="center"/>
                    <w:rPr>
                      <w:rFonts w:hint="default" w:ascii="Times New Roman" w:hAnsi="Times New Roman" w:cs="Times New Roman"/>
                      <w:color w:val="auto"/>
                      <w:sz w:val="22"/>
                      <w:szCs w:val="22"/>
                      <w:u w:val="single" w:color="auto"/>
                    </w:rPr>
                  </w:pPr>
                  <w:r>
                    <w:rPr>
                      <w:rFonts w:hint="default" w:ascii="Times New Roman" w:hAnsi="Times New Roman" w:cs="Times New Roman"/>
                      <w:b/>
                      <w:color w:val="auto"/>
                      <w:sz w:val="22"/>
                      <w:szCs w:val="22"/>
                      <w:u w:val="single" w:color="auto"/>
                    </w:rPr>
                    <w:t>序号</w:t>
                  </w:r>
                </w:p>
              </w:tc>
              <w:tc>
                <w:tcPr>
                  <w:tcW w:w="1169" w:type="dxa"/>
                  <w:vAlign w:val="center"/>
                </w:tcPr>
                <w:p>
                  <w:pPr>
                    <w:pStyle w:val="34"/>
                    <w:spacing w:line="360" w:lineRule="auto"/>
                    <w:ind w:left="0" w:leftChars="0"/>
                    <w:jc w:val="center"/>
                    <w:rPr>
                      <w:rFonts w:hint="default" w:ascii="Times New Roman" w:hAnsi="Times New Roman" w:cs="Times New Roman"/>
                      <w:color w:val="auto"/>
                      <w:sz w:val="22"/>
                      <w:szCs w:val="22"/>
                      <w:u w:val="single" w:color="auto"/>
                    </w:rPr>
                  </w:pPr>
                  <w:r>
                    <w:rPr>
                      <w:rFonts w:hint="default" w:ascii="Times New Roman" w:hAnsi="Times New Roman" w:cs="Times New Roman"/>
                      <w:b/>
                      <w:color w:val="auto"/>
                      <w:sz w:val="22"/>
                      <w:szCs w:val="22"/>
                      <w:u w:val="single" w:color="auto"/>
                    </w:rPr>
                    <w:t>类别</w:t>
                  </w:r>
                </w:p>
              </w:tc>
              <w:tc>
                <w:tcPr>
                  <w:tcW w:w="6954" w:type="dxa"/>
                  <w:vAlign w:val="center"/>
                </w:tcPr>
                <w:p>
                  <w:pPr>
                    <w:pStyle w:val="34"/>
                    <w:spacing w:line="360" w:lineRule="auto"/>
                    <w:ind w:left="0" w:leftChars="0"/>
                    <w:jc w:val="center"/>
                    <w:rPr>
                      <w:rFonts w:hint="default" w:ascii="Times New Roman" w:hAnsi="Times New Roman" w:cs="Times New Roman"/>
                      <w:color w:val="auto"/>
                      <w:sz w:val="22"/>
                      <w:szCs w:val="22"/>
                      <w:u w:val="single" w:color="auto"/>
                    </w:rPr>
                  </w:pPr>
                  <w:r>
                    <w:rPr>
                      <w:rFonts w:hint="default" w:ascii="Times New Roman" w:hAnsi="Times New Roman" w:cs="Times New Roman"/>
                      <w:b/>
                      <w:color w:val="auto"/>
                      <w:sz w:val="22"/>
                      <w:szCs w:val="22"/>
                      <w:u w:val="single" w:color="auto"/>
                    </w:rPr>
                    <w:t>理化性质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45" w:type="dxa"/>
                  <w:vAlign w:val="center"/>
                </w:tcPr>
                <w:p>
                  <w:pPr>
                    <w:pStyle w:val="34"/>
                    <w:spacing w:line="360" w:lineRule="auto"/>
                    <w:ind w:left="0" w:leftChars="0"/>
                    <w:jc w:val="center"/>
                    <w:rPr>
                      <w:rFonts w:hint="default" w:ascii="Times New Roman" w:hAnsi="Times New Roman" w:cs="Times New Roman"/>
                      <w:color w:val="auto"/>
                      <w:sz w:val="22"/>
                      <w:szCs w:val="22"/>
                      <w:u w:val="single" w:color="auto"/>
                    </w:rPr>
                  </w:pPr>
                  <w:r>
                    <w:rPr>
                      <w:rFonts w:hint="default" w:ascii="Times New Roman" w:hAnsi="Times New Roman" w:cs="Times New Roman"/>
                      <w:color w:val="auto"/>
                      <w:sz w:val="22"/>
                      <w:szCs w:val="22"/>
                      <w:u w:val="single" w:color="auto"/>
                    </w:rPr>
                    <w:t>1</w:t>
                  </w:r>
                </w:p>
              </w:tc>
              <w:tc>
                <w:tcPr>
                  <w:tcW w:w="1169" w:type="dxa"/>
                  <w:vAlign w:val="center"/>
                </w:tcPr>
                <w:p>
                  <w:pPr>
                    <w:pStyle w:val="34"/>
                    <w:spacing w:line="360" w:lineRule="auto"/>
                    <w:ind w:left="0" w:leftChars="0"/>
                    <w:jc w:val="center"/>
                    <w:rPr>
                      <w:rFonts w:hint="default" w:ascii="Times New Roman" w:hAnsi="Times New Roman" w:cs="Times New Roman"/>
                      <w:color w:val="auto"/>
                      <w:sz w:val="22"/>
                      <w:szCs w:val="22"/>
                      <w:u w:val="single" w:color="auto"/>
                    </w:rPr>
                  </w:pPr>
                  <w:r>
                    <w:rPr>
                      <w:rFonts w:hint="default" w:ascii="Times New Roman" w:hAnsi="Times New Roman" w:eastAsia="宋体" w:cs="Times New Roman"/>
                      <w:color w:val="auto"/>
                      <w:sz w:val="22"/>
                      <w:szCs w:val="22"/>
                      <w:u w:val="single" w:color="auto"/>
                    </w:rPr>
                    <w:t>色胶</w:t>
                  </w:r>
                </w:p>
              </w:tc>
              <w:tc>
                <w:tcPr>
                  <w:tcW w:w="6954" w:type="dxa"/>
                  <w:vAlign w:val="center"/>
                </w:tcPr>
                <w:p>
                  <w:pPr>
                    <w:pStyle w:val="34"/>
                    <w:spacing w:line="360" w:lineRule="auto"/>
                    <w:ind w:left="0" w:leftChars="0"/>
                    <w:jc w:val="both"/>
                    <w:rPr>
                      <w:rFonts w:hint="default" w:ascii="Times New Roman" w:hAnsi="Times New Roman" w:cs="Times New Roman"/>
                      <w:color w:val="auto"/>
                      <w:sz w:val="22"/>
                      <w:szCs w:val="22"/>
                      <w:u w:val="single" w:color="auto"/>
                    </w:rPr>
                  </w:pPr>
                  <w:r>
                    <w:rPr>
                      <w:rFonts w:hint="default" w:ascii="Times New Roman" w:hAnsi="Times New Roman" w:eastAsia="宋体" w:cs="Times New Roman"/>
                      <w:color w:val="auto"/>
                      <w:sz w:val="22"/>
                      <w:szCs w:val="22"/>
                      <w:u w:val="single" w:color="auto"/>
                    </w:rPr>
                    <w:t>根据产品需要选择性添加色胶，色胶由颜料和硅油组成，具有耐热性、耐光性和耐迁移性。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20" w:hRule="atLeast"/>
              </w:trPr>
              <w:tc>
                <w:tcPr>
                  <w:tcW w:w="945" w:type="dxa"/>
                  <w:vAlign w:val="center"/>
                </w:tcPr>
                <w:p>
                  <w:pPr>
                    <w:pStyle w:val="34"/>
                    <w:spacing w:line="360" w:lineRule="auto"/>
                    <w:ind w:left="0" w:leftChars="0"/>
                    <w:jc w:val="center"/>
                    <w:rPr>
                      <w:rFonts w:hint="default" w:ascii="Times New Roman" w:hAnsi="Times New Roman" w:eastAsia="宋体" w:cs="Times New Roman"/>
                      <w:color w:val="auto"/>
                      <w:sz w:val="22"/>
                      <w:szCs w:val="22"/>
                      <w:u w:val="single" w:color="auto"/>
                      <w:lang w:val="en-US" w:eastAsia="zh-CN"/>
                    </w:rPr>
                  </w:pPr>
                  <w:r>
                    <w:rPr>
                      <w:rFonts w:hint="default" w:ascii="Times New Roman" w:hAnsi="Times New Roman" w:cs="Times New Roman"/>
                      <w:color w:val="auto"/>
                      <w:sz w:val="22"/>
                      <w:szCs w:val="22"/>
                      <w:u w:val="single" w:color="auto"/>
                      <w:lang w:val="en-US" w:eastAsia="zh-CN"/>
                    </w:rPr>
                    <w:t>2</w:t>
                  </w:r>
                </w:p>
              </w:tc>
              <w:tc>
                <w:tcPr>
                  <w:tcW w:w="1169" w:type="dxa"/>
                  <w:vAlign w:val="center"/>
                </w:tcPr>
                <w:p>
                  <w:pPr>
                    <w:pStyle w:val="34"/>
                    <w:spacing w:line="360" w:lineRule="auto"/>
                    <w:ind w:left="0" w:leftChars="0"/>
                    <w:jc w:val="center"/>
                    <w:rPr>
                      <w:rFonts w:hint="default"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架桥剂</w:t>
                  </w:r>
                </w:p>
              </w:tc>
              <w:tc>
                <w:tcPr>
                  <w:tcW w:w="6954" w:type="dxa"/>
                  <w:vAlign w:val="center"/>
                </w:tcPr>
                <w:p>
                  <w:pPr>
                    <w:snapToGrid w:val="0"/>
                    <w:spacing w:line="360" w:lineRule="auto"/>
                    <w:rPr>
                      <w:rFonts w:hint="default" w:ascii="Times New Roman" w:hAnsi="Times New Roman" w:cs="Times New Roman"/>
                      <w:color w:val="auto"/>
                      <w:sz w:val="22"/>
                      <w:szCs w:val="22"/>
                      <w:u w:val="single" w:color="auto"/>
                    </w:rPr>
                  </w:pPr>
                  <w:r>
                    <w:rPr>
                      <w:rFonts w:hint="default" w:ascii="Times New Roman" w:hAnsi="Times New Roman" w:cs="Times New Roman"/>
                      <w:b w:val="0"/>
                      <w:bCs w:val="0"/>
                      <w:sz w:val="22"/>
                      <w:szCs w:val="22"/>
                      <w:u w:val="single" w:color="auto"/>
                    </w:rPr>
                    <w:t>C-14是一种无味快速抗黄架桥剂，用于硅橡胶制品的模压成型。用于透明，白色产品可过4次以内烘烤产品不变黄。本产品易燃</w:t>
                  </w:r>
                  <w:r>
                    <w:rPr>
                      <w:rFonts w:hint="default" w:ascii="Times New Roman" w:hAnsi="Times New Roman" w:cs="Times New Roman"/>
                      <w:b w:val="0"/>
                      <w:bCs w:val="0"/>
                      <w:sz w:val="22"/>
                      <w:szCs w:val="22"/>
                      <w:u w:val="single" w:color="auto"/>
                      <w:lang w:eastAsia="zh-CN"/>
                    </w:rPr>
                    <w:t>，</w:t>
                  </w:r>
                  <w:r>
                    <w:rPr>
                      <w:rFonts w:hint="default" w:ascii="Times New Roman" w:hAnsi="Times New Roman" w:cs="Times New Roman"/>
                      <w:b w:val="0"/>
                      <w:bCs w:val="0"/>
                      <w:sz w:val="22"/>
                      <w:szCs w:val="22"/>
                      <w:u w:val="single" w:color="auto"/>
                    </w:rPr>
                    <w:t>化学名称：二叔丁基过氧物（</w:t>
                  </w:r>
                  <w:r>
                    <w:rPr>
                      <w:rFonts w:hint="default" w:ascii="Times New Roman" w:hAnsi="Times New Roman" w:cs="Times New Roman"/>
                      <w:b w:val="0"/>
                      <w:bCs w:val="0"/>
                      <w:color w:val="333333"/>
                      <w:sz w:val="22"/>
                      <w:szCs w:val="22"/>
                      <w:u w:val="single" w:color="auto"/>
                      <w:shd w:val="clear" w:color="auto" w:fill="FFFFFF"/>
                    </w:rPr>
                    <w:t>Di-tert-butyl peroxide）</w:t>
                  </w:r>
                  <w:r>
                    <w:rPr>
                      <w:rFonts w:hint="default" w:ascii="Times New Roman" w:hAnsi="Times New Roman" w:cs="Times New Roman"/>
                      <w:b w:val="0"/>
                      <w:bCs w:val="0"/>
                      <w:color w:val="333333"/>
                      <w:sz w:val="22"/>
                      <w:szCs w:val="22"/>
                      <w:u w:val="single" w:color="auto"/>
                      <w:shd w:val="clear" w:color="auto" w:fill="FFFFFF"/>
                      <w:lang w:eastAsia="zh-CN"/>
                    </w:rPr>
                    <w:t>，</w:t>
                  </w:r>
                  <w:r>
                    <w:rPr>
                      <w:rFonts w:hint="default" w:ascii="Times New Roman" w:hAnsi="Times New Roman" w:cs="Times New Roman"/>
                      <w:b w:val="0"/>
                      <w:bCs w:val="0"/>
                      <w:sz w:val="22"/>
                      <w:szCs w:val="22"/>
                      <w:u w:val="single" w:color="auto"/>
                    </w:rPr>
                    <w:t>分子式：</w:t>
                  </w:r>
                  <w:r>
                    <w:rPr>
                      <w:rFonts w:hint="default" w:ascii="Times New Roman" w:hAnsi="Times New Roman" w:cs="Times New Roman"/>
                      <w:b w:val="0"/>
                      <w:bCs w:val="0"/>
                      <w:color w:val="333333"/>
                      <w:sz w:val="22"/>
                      <w:szCs w:val="22"/>
                      <w:u w:val="single" w:color="auto"/>
                      <w:shd w:val="clear" w:color="auto" w:fill="FFFFFF"/>
                    </w:rPr>
                    <w:t>C8H18O2</w:t>
                  </w:r>
                  <w:r>
                    <w:rPr>
                      <w:rFonts w:hint="default" w:ascii="Times New Roman" w:hAnsi="Times New Roman" w:cs="Times New Roman"/>
                      <w:b w:val="0"/>
                      <w:bCs w:val="0"/>
                      <w:sz w:val="22"/>
                      <w:szCs w:val="22"/>
                      <w:u w:val="single" w:color="auto"/>
                    </w:rPr>
                    <w:t xml:space="preserve"> </w:t>
                  </w:r>
                  <w:r>
                    <w:rPr>
                      <w:rFonts w:hint="default" w:ascii="Times New Roman" w:hAnsi="Times New Roman" w:cs="Times New Roman"/>
                      <w:b w:val="0"/>
                      <w:bCs w:val="0"/>
                      <w:sz w:val="22"/>
                      <w:szCs w:val="22"/>
                      <w:u w:val="single" w:color="auto"/>
                      <w:lang w:eastAsia="zh-CN"/>
                    </w:rPr>
                    <w:t>，</w:t>
                  </w:r>
                  <w:r>
                    <w:rPr>
                      <w:rFonts w:hint="default" w:ascii="Times New Roman" w:hAnsi="Times New Roman" w:cs="Times New Roman"/>
                      <w:b w:val="0"/>
                      <w:bCs w:val="0"/>
                      <w:sz w:val="22"/>
                      <w:szCs w:val="22"/>
                      <w:u w:val="single" w:color="auto"/>
                    </w:rPr>
                    <w:t>分 子 量：146..23</w:t>
                  </w:r>
                  <w:r>
                    <w:rPr>
                      <w:rFonts w:hint="default" w:ascii="Times New Roman" w:hAnsi="Times New Roman" w:cs="Times New Roman"/>
                      <w:b w:val="0"/>
                      <w:bCs w:val="0"/>
                      <w:sz w:val="22"/>
                      <w:szCs w:val="22"/>
                      <w:u w:val="single" w:color="auto"/>
                      <w:lang w:eastAsia="zh-CN"/>
                    </w:rPr>
                    <w:t>，</w:t>
                  </w:r>
                  <w:r>
                    <w:rPr>
                      <w:rFonts w:hint="default" w:ascii="Times New Roman" w:hAnsi="Times New Roman" w:cs="Times New Roman"/>
                      <w:b w:val="0"/>
                      <w:bCs w:val="0"/>
                      <w:color w:val="000000"/>
                      <w:kern w:val="0"/>
                      <w:sz w:val="22"/>
                      <w:szCs w:val="22"/>
                      <w:u w:val="single" w:color="auto"/>
                    </w:rPr>
                    <w:t>CAS：110-05-4</w:t>
                  </w:r>
                  <w:r>
                    <w:rPr>
                      <w:rFonts w:hint="default" w:ascii="Times New Roman" w:hAnsi="Times New Roman" w:cs="Times New Roman"/>
                      <w:b w:val="0"/>
                      <w:bCs w:val="0"/>
                      <w:color w:val="000000"/>
                      <w:kern w:val="0"/>
                      <w:sz w:val="22"/>
                      <w:szCs w:val="22"/>
                      <w:u w:val="single" w:color="auto"/>
                      <w:lang w:eastAsia="zh-CN"/>
                    </w:rPr>
                    <w:t>，</w:t>
                  </w:r>
                  <w:r>
                    <w:rPr>
                      <w:rFonts w:hint="default" w:ascii="Times New Roman" w:hAnsi="Times New Roman" w:cs="Times New Roman"/>
                      <w:b w:val="0"/>
                      <w:bCs w:val="0"/>
                      <w:sz w:val="22"/>
                      <w:szCs w:val="22"/>
                      <w:u w:val="single" w:color="auto"/>
                    </w:rPr>
                    <w:t>成    份：* 过氧化物*催化剂* 硅聚合物* 抗黄剂</w:t>
                  </w:r>
                  <w:r>
                    <w:rPr>
                      <w:rFonts w:hint="default" w:ascii="Times New Roman" w:hAnsi="Times New Roman" w:cs="Times New Roman"/>
                      <w:b w:val="0"/>
                      <w:bCs w:val="0"/>
                      <w:sz w:val="22"/>
                      <w:szCs w:val="22"/>
                      <w:u w:val="single" w:color="auto"/>
                      <w:lang w:eastAsia="zh-CN"/>
                    </w:rPr>
                    <w:t>，</w:t>
                  </w:r>
                  <w:r>
                    <w:rPr>
                      <w:rFonts w:hint="default" w:ascii="Times New Roman" w:hAnsi="Times New Roman" w:cs="Times New Roman"/>
                      <w:b w:val="0"/>
                      <w:bCs w:val="0"/>
                      <w:sz w:val="22"/>
                      <w:szCs w:val="22"/>
                      <w:u w:val="single" w:color="auto"/>
                    </w:rPr>
                    <w:t>优    点：* 快速硫化成型 * 经济实用 * 一次硫化成型后无异味</w:t>
                  </w:r>
                  <w:r>
                    <w:rPr>
                      <w:rFonts w:hint="default" w:ascii="Times New Roman" w:hAnsi="Times New Roman" w:cs="Times New Roman"/>
                      <w:b w:val="0"/>
                      <w:bCs w:val="0"/>
                      <w:sz w:val="22"/>
                      <w:szCs w:val="22"/>
                      <w:u w:val="single" w:color="auto"/>
                      <w:lang w:eastAsia="zh-CN"/>
                    </w:rPr>
                    <w:t>，</w:t>
                  </w:r>
                  <w:r>
                    <w:rPr>
                      <w:rFonts w:hint="default" w:ascii="Times New Roman" w:hAnsi="Times New Roman" w:cs="Times New Roman"/>
                      <w:b w:val="0"/>
                      <w:bCs w:val="0"/>
                      <w:sz w:val="22"/>
                      <w:szCs w:val="22"/>
                      <w:u w:val="single" w:color="auto"/>
                    </w:rPr>
                    <w:t>外观特性：*透明半流动胶体</w:t>
                  </w:r>
                  <w:r>
                    <w:rPr>
                      <w:rFonts w:hint="default" w:ascii="Times New Roman" w:hAnsi="Times New Roman" w:cs="Times New Roman"/>
                      <w:b w:val="0"/>
                      <w:bCs w:val="0"/>
                      <w:sz w:val="22"/>
                      <w:szCs w:val="22"/>
                      <w:u w:val="single" w:color="auto"/>
                      <w:lang w:eastAsia="zh-CN"/>
                    </w:rPr>
                    <w:t>，</w:t>
                  </w:r>
                  <w:r>
                    <w:rPr>
                      <w:rFonts w:hint="default" w:ascii="Times New Roman" w:hAnsi="Times New Roman" w:cs="Times New Roman"/>
                      <w:b w:val="0"/>
                      <w:bCs w:val="0"/>
                      <w:sz w:val="22"/>
                      <w:szCs w:val="22"/>
                      <w:u w:val="single" w:color="auto"/>
                    </w:rPr>
                    <w:t>使用比例：1.</w:t>
                  </w:r>
                  <w:r>
                    <w:rPr>
                      <w:rFonts w:hint="default" w:ascii="Times New Roman" w:hAnsi="Times New Roman" w:cs="Times New Roman"/>
                      <w:b w:val="0"/>
                      <w:bCs w:val="0"/>
                      <w:sz w:val="22"/>
                      <w:szCs w:val="22"/>
                      <w:u w:val="single" w:color="auto"/>
                      <w:lang w:val="en-US" w:eastAsia="zh-CN"/>
                    </w:rPr>
                    <w:t>2</w:t>
                  </w:r>
                  <w:r>
                    <w:rPr>
                      <w:rFonts w:hint="default" w:ascii="Times New Roman" w:hAnsi="Times New Roman" w:cs="Times New Roman"/>
                      <w:b w:val="0"/>
                      <w:bCs w:val="0"/>
                      <w:sz w:val="22"/>
                      <w:szCs w:val="22"/>
                      <w:u w:val="single" w:color="auto"/>
                    </w:rPr>
                    <w:t>%-</w:t>
                  </w:r>
                  <w:r>
                    <w:rPr>
                      <w:rFonts w:hint="default" w:ascii="Times New Roman" w:hAnsi="Times New Roman" w:cs="Times New Roman"/>
                      <w:b w:val="0"/>
                      <w:bCs w:val="0"/>
                      <w:sz w:val="22"/>
                      <w:szCs w:val="22"/>
                      <w:u w:val="single" w:color="auto"/>
                      <w:lang w:val="en-US" w:eastAsia="zh-CN"/>
                    </w:rPr>
                    <w:t>1</w:t>
                  </w:r>
                  <w:r>
                    <w:rPr>
                      <w:rFonts w:hint="default" w:ascii="Times New Roman" w:hAnsi="Times New Roman" w:cs="Times New Roman"/>
                      <w:b w:val="0"/>
                      <w:bCs w:val="0"/>
                      <w:sz w:val="22"/>
                      <w:szCs w:val="22"/>
                      <w:u w:val="single" w:color="auto"/>
                    </w:rPr>
                    <w:t>.</w:t>
                  </w:r>
                  <w:r>
                    <w:rPr>
                      <w:rFonts w:hint="default" w:ascii="Times New Roman" w:hAnsi="Times New Roman" w:cs="Times New Roman"/>
                      <w:b w:val="0"/>
                      <w:bCs w:val="0"/>
                      <w:sz w:val="22"/>
                      <w:szCs w:val="22"/>
                      <w:u w:val="single" w:color="auto"/>
                      <w:lang w:val="en-US" w:eastAsia="zh-CN"/>
                    </w:rPr>
                    <w:t>8</w:t>
                  </w:r>
                  <w:r>
                    <w:rPr>
                      <w:rFonts w:hint="default" w:ascii="Times New Roman" w:hAnsi="Times New Roman" w:cs="Times New Roman"/>
                      <w:b w:val="0"/>
                      <w:bCs w:val="0"/>
                      <w:sz w:val="22"/>
                      <w:szCs w:val="22"/>
                      <w:u w:val="single" w:color="auto"/>
                    </w:rPr>
                    <w:t>%</w:t>
                  </w:r>
                  <w:r>
                    <w:rPr>
                      <w:rFonts w:hint="default" w:ascii="Times New Roman" w:hAnsi="Times New Roman" w:cs="Times New Roman"/>
                      <w:b w:val="0"/>
                      <w:bCs w:val="0"/>
                      <w:sz w:val="22"/>
                      <w:szCs w:val="22"/>
                      <w:u w:val="single" w:color="auto"/>
                      <w:lang w:eastAsia="zh-CN"/>
                    </w:rPr>
                    <w:t>（仅限参考）</w:t>
                  </w:r>
                  <w:r>
                    <w:rPr>
                      <w:rFonts w:hint="default" w:ascii="Times New Roman" w:hAnsi="Times New Roman" w:cs="Times New Roman"/>
                      <w:b w:val="0"/>
                      <w:bCs w:val="0"/>
                      <w:sz w:val="22"/>
                      <w:szCs w:val="22"/>
                      <w:u w:val="single" w:color="auto"/>
                    </w:rPr>
                    <w:t>包装保存： 20kg/桶 干燥、通风，≤ 40℃环境下保存6个月，禁止烟火，避免阳光照射</w:t>
                  </w:r>
                  <w:r>
                    <w:rPr>
                      <w:rFonts w:hint="default" w:ascii="Times New Roman" w:hAnsi="Times New Roman" w:eastAsia="宋体" w:cs="Times New Roman"/>
                      <w:b w:val="0"/>
                      <w:bCs w:val="0"/>
                      <w:color w:val="auto"/>
                      <w:sz w:val="22"/>
                      <w:szCs w:val="22"/>
                      <w:u w:val="single" w:color="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6" w:hRule="atLeast"/>
              </w:trPr>
              <w:tc>
                <w:tcPr>
                  <w:tcW w:w="945" w:type="dxa"/>
                  <w:vAlign w:val="center"/>
                </w:tcPr>
                <w:p>
                  <w:pPr>
                    <w:pStyle w:val="34"/>
                    <w:spacing w:line="360" w:lineRule="auto"/>
                    <w:ind w:left="0" w:leftChars="0"/>
                    <w:jc w:val="center"/>
                    <w:rPr>
                      <w:rFonts w:hint="default" w:ascii="Times New Roman" w:hAnsi="Times New Roman" w:cs="Times New Roman"/>
                      <w:color w:val="auto"/>
                      <w:sz w:val="22"/>
                      <w:szCs w:val="22"/>
                      <w:u w:val="single" w:color="auto"/>
                      <w:lang w:val="en-US" w:eastAsia="zh-CN"/>
                    </w:rPr>
                  </w:pPr>
                  <w:r>
                    <w:rPr>
                      <w:rFonts w:hint="default" w:ascii="Times New Roman" w:hAnsi="Times New Roman" w:cs="Times New Roman"/>
                      <w:color w:val="auto"/>
                      <w:sz w:val="22"/>
                      <w:szCs w:val="22"/>
                      <w:u w:val="single" w:color="auto"/>
                      <w:lang w:val="en-US" w:eastAsia="zh-CN"/>
                    </w:rPr>
                    <w:t>3</w:t>
                  </w:r>
                </w:p>
              </w:tc>
              <w:tc>
                <w:tcPr>
                  <w:tcW w:w="1169" w:type="dxa"/>
                  <w:vAlign w:val="center"/>
                </w:tcPr>
                <w:p>
                  <w:pPr>
                    <w:pStyle w:val="34"/>
                    <w:spacing w:line="360" w:lineRule="auto"/>
                    <w:ind w:left="0" w:leftChars="0"/>
                    <w:jc w:val="center"/>
                    <w:rPr>
                      <w:rFonts w:hint="default" w:ascii="Times New Roman" w:hAnsi="Times New Roman" w:cs="Times New Roman"/>
                      <w:b w:val="0"/>
                      <w:bCs/>
                      <w:color w:val="auto"/>
                      <w:sz w:val="22"/>
                      <w:szCs w:val="22"/>
                      <w:u w:val="single" w:color="auto"/>
                      <w:lang w:val="en-US" w:eastAsia="zh-CN"/>
                    </w:rPr>
                  </w:pPr>
                  <w:r>
                    <w:rPr>
                      <w:rFonts w:hint="default" w:ascii="Times New Roman" w:hAnsi="Times New Roman" w:eastAsia="宋体" w:cs="Times New Roman"/>
                      <w:color w:val="auto"/>
                      <w:sz w:val="22"/>
                      <w:szCs w:val="22"/>
                      <w:u w:val="single" w:color="auto"/>
                    </w:rPr>
                    <w:t>硅胶</w:t>
                  </w:r>
                  <w:r>
                    <w:rPr>
                      <w:rFonts w:hint="eastAsia" w:cs="Times New Roman"/>
                      <w:color w:val="auto"/>
                      <w:sz w:val="22"/>
                      <w:szCs w:val="22"/>
                      <w:u w:val="single" w:color="auto"/>
                      <w:lang w:eastAsia="zh-CN"/>
                    </w:rPr>
                    <w:t>印刷</w:t>
                  </w:r>
                  <w:r>
                    <w:rPr>
                      <w:rFonts w:hint="default" w:ascii="Times New Roman" w:hAnsi="Times New Roman" w:eastAsia="宋体" w:cs="Times New Roman"/>
                      <w:color w:val="auto"/>
                      <w:sz w:val="22"/>
                      <w:szCs w:val="22"/>
                      <w:u w:val="single" w:color="auto"/>
                    </w:rPr>
                    <w:t>油墨</w:t>
                  </w:r>
                </w:p>
              </w:tc>
              <w:tc>
                <w:tcPr>
                  <w:tcW w:w="6954" w:type="dxa"/>
                  <w:vAlign w:val="center"/>
                </w:tcPr>
                <w:p>
                  <w:pPr>
                    <w:keepNext w:val="0"/>
                    <w:keepLines w:val="0"/>
                    <w:widowControl/>
                    <w:suppressLineNumbers w:val="0"/>
                    <w:spacing w:after="240" w:afterAutospacing="0" w:line="360" w:lineRule="auto"/>
                    <w:jc w:val="left"/>
                    <w:rPr>
                      <w:rFonts w:hint="default" w:ascii="Times New Roman" w:hAnsi="Times New Roman" w:cs="Times New Roman"/>
                      <w:sz w:val="22"/>
                      <w:szCs w:val="22"/>
                      <w:u w:val="single" w:color="auto"/>
                    </w:rPr>
                  </w:pPr>
                  <w:r>
                    <w:rPr>
                      <w:rFonts w:hint="default" w:ascii="Times New Roman" w:hAnsi="Times New Roman" w:eastAsia="宋体" w:cs="Times New Roman"/>
                      <w:color w:val="auto"/>
                      <w:sz w:val="22"/>
                      <w:szCs w:val="22"/>
                      <w:u w:val="single" w:color="auto"/>
                    </w:rPr>
                    <w:t>本项目所用油墨主要有颜料、硅油和有机溶剂组成，其中有机溶剂为煤油，约占4.5%。煤油是无色或浅黄色液体，略带臭味。煤油可与石油系溶剂混溶。对水的溶解度非常小，煤油能溶解无水乙醇。煤油是沸点范围比汽油高的石油馏分，为碳原子数C11-C17的高沸点烃类混合物。主要成分是饱和烃类，还含有不饱和烃和芳香烃。其含量根据石油的种类、加工方法、用途等有所不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96" w:hRule="atLeast"/>
              </w:trPr>
              <w:tc>
                <w:tcPr>
                  <w:tcW w:w="945" w:type="dxa"/>
                  <w:vAlign w:val="center"/>
                </w:tcPr>
                <w:p>
                  <w:pPr>
                    <w:pStyle w:val="34"/>
                    <w:spacing w:line="360" w:lineRule="auto"/>
                    <w:ind w:left="0" w:leftChars="0"/>
                    <w:jc w:val="center"/>
                    <w:rPr>
                      <w:rFonts w:hint="default" w:ascii="Times New Roman" w:hAnsi="Times New Roman" w:cs="Times New Roman"/>
                      <w:color w:val="auto"/>
                      <w:sz w:val="22"/>
                      <w:szCs w:val="22"/>
                      <w:u w:val="single" w:color="auto"/>
                      <w:lang w:val="en-US" w:eastAsia="zh-CN"/>
                    </w:rPr>
                  </w:pPr>
                  <w:r>
                    <w:rPr>
                      <w:rFonts w:hint="eastAsia" w:cs="Times New Roman"/>
                      <w:color w:val="auto"/>
                      <w:sz w:val="22"/>
                      <w:szCs w:val="22"/>
                      <w:u w:val="single" w:color="auto"/>
                      <w:lang w:val="en-US" w:eastAsia="zh-CN"/>
                    </w:rPr>
                    <w:t>4</w:t>
                  </w:r>
                </w:p>
              </w:tc>
              <w:tc>
                <w:tcPr>
                  <w:tcW w:w="1169" w:type="dxa"/>
                  <w:vAlign w:val="center"/>
                </w:tcPr>
                <w:p>
                  <w:pPr>
                    <w:pStyle w:val="34"/>
                    <w:spacing w:line="360" w:lineRule="auto"/>
                    <w:ind w:left="0" w:leftChars="0"/>
                    <w:jc w:val="center"/>
                    <w:rPr>
                      <w:rFonts w:hint="eastAsia" w:ascii="Times New Roman" w:hAnsi="Times New Roman" w:eastAsia="宋体" w:cs="Times New Roman"/>
                      <w:color w:val="auto"/>
                      <w:sz w:val="22"/>
                      <w:szCs w:val="22"/>
                      <w:u w:val="single" w:color="auto"/>
                      <w:lang w:val="en-US" w:eastAsia="zh-CN"/>
                    </w:rPr>
                  </w:pPr>
                  <w:r>
                    <w:rPr>
                      <w:rFonts w:hint="eastAsia" w:cs="Times New Roman"/>
                      <w:color w:val="auto"/>
                      <w:sz w:val="22"/>
                      <w:szCs w:val="22"/>
                      <w:u w:val="single" w:color="auto"/>
                      <w:lang w:val="en-US" w:eastAsia="zh-CN"/>
                    </w:rPr>
                    <w:t>硅胶</w:t>
                  </w:r>
                </w:p>
              </w:tc>
              <w:tc>
                <w:tcPr>
                  <w:tcW w:w="6954" w:type="dxa"/>
                  <w:vAlign w:val="center"/>
                </w:tcPr>
                <w:p>
                  <w:pPr>
                    <w:keepNext w:val="0"/>
                    <w:keepLines w:val="0"/>
                    <w:widowControl/>
                    <w:suppressLineNumbers w:val="0"/>
                    <w:spacing w:after="240" w:afterAutospacing="0" w:line="360" w:lineRule="auto"/>
                    <w:jc w:val="left"/>
                    <w:rPr>
                      <w:rFonts w:hint="eastAsia" w:ascii="Times New Roman" w:hAnsi="Times New Roman" w:eastAsia="宋体" w:cs="Times New Roman"/>
                      <w:color w:val="auto"/>
                      <w:sz w:val="22"/>
                      <w:szCs w:val="22"/>
                      <w:u w:val="single" w:color="auto"/>
                      <w:lang w:eastAsia="zh-CN"/>
                    </w:rPr>
                  </w:pPr>
                  <w:r>
                    <w:rPr>
                      <w:rFonts w:hint="default" w:ascii="Times New Roman" w:hAnsi="Times New Roman" w:eastAsia="宋体" w:cs="Times New Roman"/>
                      <w:color w:val="333333"/>
                      <w:sz w:val="24"/>
                      <w:szCs w:val="24"/>
                      <w:u w:val="single" w:color="auto"/>
                    </w:rPr>
                    <w:t>生胶（甲基乙烯基硅橡胶）50~80%，白炭黑（二氧化硅 ）10~40%，结构化控制剂（羟基硅油）1~6%，脱模剂（硬脂酸）0~1%。化学性质稳定，不燃烧。硅胶是一种非晶态二氧化硅。项目硅胶非天然橡胶，是一种高活性吸附材料，属于非晶态物质，经硅酸凝胶干燥脱水得到，不溶于水和任何溶剂，无毒无味，化学性质稳定，除强碱、氢氟酸外不与任何物质发生反应。本项目使用的硅胶半成品是经供应厂家密炼、开炼好的，可以作为中间体生产各种缩合型硅橡胶产品</w:t>
                  </w:r>
                  <w:r>
                    <w:rPr>
                      <w:rFonts w:hint="eastAsia" w:ascii="Times New Roman" w:hAnsi="Times New Roman" w:eastAsia="宋体" w:cs="Times New Roman"/>
                      <w:color w:val="333333"/>
                      <w:sz w:val="24"/>
                      <w:szCs w:val="24"/>
                      <w:u w:val="single" w:color="auto"/>
                      <w:lang w:eastAsia="zh-CN"/>
                    </w:rPr>
                    <w:t>。</w:t>
                  </w:r>
                </w:p>
              </w:tc>
            </w:tr>
          </w:tbl>
          <w:p>
            <w:pPr>
              <w:pStyle w:val="34"/>
              <w:spacing w:line="360" w:lineRule="auto"/>
              <w:ind w:left="0" w:leftChars="0" w:firstLine="482" w:firstLineChars="200"/>
              <w:rPr>
                <w:rFonts w:hint="default" w:ascii="Times New Roman" w:hAnsi="Times New Roman" w:cs="Times New Roman"/>
                <w:sz w:val="24"/>
                <w:u w:val="single" w:color="auto"/>
              </w:rPr>
            </w:pPr>
            <w:r>
              <w:rPr>
                <w:rFonts w:hint="eastAsia" w:cs="Times New Roman"/>
                <w:b/>
                <w:sz w:val="24"/>
                <w:u w:val="single" w:color="auto"/>
                <w:lang w:val="en-US" w:eastAsia="zh-CN"/>
              </w:rPr>
              <w:t>7</w:t>
            </w:r>
            <w:r>
              <w:rPr>
                <w:rFonts w:hint="default" w:ascii="Times New Roman" w:hAnsi="Times New Roman" w:cs="Times New Roman"/>
                <w:b/>
                <w:sz w:val="24"/>
                <w:u w:val="single" w:color="auto"/>
              </w:rPr>
              <w:t>、公用工程：</w:t>
            </w:r>
          </w:p>
          <w:p>
            <w:pPr>
              <w:snapToGrid w:val="0"/>
              <w:spacing w:line="360" w:lineRule="auto"/>
              <w:ind w:firstLine="480" w:firstLineChars="200"/>
              <w:rPr>
                <w:rFonts w:hint="default" w:ascii="Times New Roman" w:hAnsi="Times New Roman" w:cs="Times New Roman"/>
                <w:bCs/>
                <w:sz w:val="24"/>
                <w:u w:val="single" w:color="auto"/>
              </w:rPr>
            </w:pPr>
            <w:r>
              <w:rPr>
                <w:rFonts w:hint="default" w:ascii="Times New Roman" w:hAnsi="Times New Roman" w:cs="Times New Roman"/>
                <w:bCs/>
                <w:sz w:val="24"/>
                <w:u w:val="single" w:color="auto"/>
              </w:rPr>
              <w:t>（1）用水</w:t>
            </w:r>
          </w:p>
          <w:p>
            <w:pPr>
              <w:snapToGrid w:val="0"/>
              <w:spacing w:line="360" w:lineRule="auto"/>
              <w:ind w:firstLine="480" w:firstLineChars="200"/>
              <w:rPr>
                <w:rFonts w:hint="default" w:ascii="Times New Roman" w:hAnsi="Times New Roman" w:cs="Times New Roman"/>
                <w:b/>
                <w:u w:val="single" w:color="auto"/>
              </w:rPr>
            </w:pPr>
            <w:r>
              <w:rPr>
                <w:rFonts w:hint="default" w:ascii="Times New Roman" w:hAnsi="Times New Roman" w:cs="Times New Roman"/>
                <w:sz w:val="24"/>
                <w:szCs w:val="24"/>
                <w:u w:val="single" w:color="auto"/>
              </w:rPr>
              <w:t>本项目给水水源来自市政给水管网，本项目</w:t>
            </w:r>
            <w:r>
              <w:rPr>
                <w:rFonts w:hint="eastAsia" w:cs="Times New Roman"/>
                <w:sz w:val="24"/>
                <w:szCs w:val="24"/>
                <w:u w:val="single" w:color="auto"/>
                <w:lang w:eastAsia="zh-CN"/>
              </w:rPr>
              <w:t>生产过程中废水主要为冷却水（</w:t>
            </w:r>
            <w:r>
              <w:rPr>
                <w:rFonts w:hint="eastAsia" w:cs="Times New Roman"/>
                <w:sz w:val="24"/>
                <w:szCs w:val="24"/>
                <w:u w:val="single" w:color="auto"/>
                <w:lang w:val="en-US" w:eastAsia="zh-CN"/>
              </w:rPr>
              <w:t>模压成型工序中的冷却</w:t>
            </w:r>
            <w:r>
              <w:rPr>
                <w:rFonts w:hint="eastAsia" w:cs="Times New Roman"/>
                <w:sz w:val="24"/>
                <w:szCs w:val="24"/>
                <w:u w:val="single" w:color="auto"/>
                <w:lang w:eastAsia="zh-CN"/>
              </w:rPr>
              <w:t>），生活</w:t>
            </w:r>
            <w:r>
              <w:rPr>
                <w:rFonts w:hint="default" w:ascii="Times New Roman" w:hAnsi="Times New Roman" w:cs="Times New Roman"/>
                <w:sz w:val="24"/>
                <w:szCs w:val="24"/>
                <w:u w:val="single" w:color="auto"/>
              </w:rPr>
              <w:t>用水</w:t>
            </w:r>
            <w:r>
              <w:rPr>
                <w:rFonts w:hint="eastAsia" w:cs="Times New Roman"/>
                <w:sz w:val="24"/>
                <w:szCs w:val="24"/>
                <w:u w:val="single" w:color="auto"/>
                <w:lang w:eastAsia="zh-CN"/>
              </w:rPr>
              <w:t>为</w:t>
            </w:r>
            <w:r>
              <w:rPr>
                <w:rFonts w:hint="default" w:ascii="Times New Roman" w:hAnsi="Times New Roman" w:cs="Times New Roman"/>
                <w:sz w:val="24"/>
                <w:szCs w:val="24"/>
                <w:u w:val="single" w:color="auto"/>
              </w:rPr>
              <w:t>职工生活用水，</w:t>
            </w:r>
            <w:r>
              <w:rPr>
                <w:rFonts w:hint="default" w:ascii="Times New Roman" w:hAnsi="Times New Roman" w:cs="Times New Roman"/>
                <w:bCs/>
                <w:sz w:val="24"/>
                <w:u w:val="single" w:color="auto"/>
              </w:rPr>
              <w:t>本项目营运期劳动定员</w:t>
            </w:r>
            <w:r>
              <w:rPr>
                <w:rFonts w:hint="eastAsia" w:cs="Times New Roman"/>
                <w:bCs/>
                <w:sz w:val="24"/>
                <w:u w:val="single" w:color="auto"/>
                <w:lang w:val="en-US" w:eastAsia="zh-CN"/>
              </w:rPr>
              <w:t>25</w:t>
            </w:r>
            <w:r>
              <w:rPr>
                <w:rFonts w:hint="default" w:ascii="Times New Roman" w:hAnsi="Times New Roman" w:cs="Times New Roman"/>
                <w:bCs/>
                <w:sz w:val="24"/>
                <w:u w:val="single" w:color="auto"/>
              </w:rPr>
              <w:t>人，</w:t>
            </w:r>
            <w:r>
              <w:rPr>
                <w:rFonts w:hint="eastAsia" w:cs="Times New Roman"/>
                <w:bCs/>
                <w:sz w:val="24"/>
                <w:u w:val="single" w:color="auto"/>
                <w:lang w:eastAsia="zh-CN"/>
              </w:rPr>
              <w:t>均</w:t>
            </w:r>
            <w:r>
              <w:rPr>
                <w:rFonts w:hint="default" w:ascii="Times New Roman" w:hAnsi="Times New Roman" w:cs="Times New Roman"/>
                <w:bCs/>
                <w:sz w:val="24"/>
                <w:u w:val="single" w:color="auto"/>
              </w:rPr>
              <w:t>不在厂区食宿，根据《湖南省用水定额》（DB43T388-2014）的规定，生活用水量按50L/人•d计，则生活用水量为</w:t>
            </w:r>
            <w:r>
              <w:rPr>
                <w:rFonts w:hint="eastAsia" w:cs="Times New Roman"/>
                <w:bCs/>
                <w:sz w:val="24"/>
                <w:u w:val="single" w:color="auto"/>
                <w:lang w:val="en-US" w:eastAsia="zh-CN"/>
              </w:rPr>
              <w:t>1.25</w:t>
            </w:r>
            <w:r>
              <w:rPr>
                <w:rFonts w:hint="default" w:ascii="Times New Roman" w:hAnsi="Times New Roman" w:cs="Times New Roman"/>
                <w:bCs/>
                <w:sz w:val="24"/>
                <w:u w:val="single" w:color="auto"/>
              </w:rPr>
              <w:t>m</w:t>
            </w:r>
            <w:r>
              <w:rPr>
                <w:rFonts w:hint="default" w:ascii="Times New Roman" w:hAnsi="Times New Roman" w:cs="Times New Roman"/>
                <w:bCs/>
                <w:sz w:val="24"/>
                <w:u w:val="single" w:color="auto"/>
                <w:vertAlign w:val="superscript"/>
              </w:rPr>
              <w:t>3</w:t>
            </w:r>
            <w:r>
              <w:rPr>
                <w:rFonts w:hint="default" w:ascii="Times New Roman" w:hAnsi="Times New Roman" w:cs="Times New Roman"/>
                <w:bCs/>
                <w:sz w:val="24"/>
                <w:u w:val="single" w:color="auto"/>
              </w:rPr>
              <w:t>/d，</w:t>
            </w:r>
            <w:r>
              <w:rPr>
                <w:rFonts w:hint="eastAsia" w:cs="Times New Roman"/>
                <w:bCs/>
                <w:sz w:val="24"/>
                <w:u w:val="single" w:color="auto"/>
                <w:lang w:val="en-US" w:eastAsia="zh-CN"/>
              </w:rPr>
              <w:t>375</w:t>
            </w:r>
            <w:r>
              <w:rPr>
                <w:rFonts w:hint="default" w:ascii="Times New Roman" w:hAnsi="Times New Roman" w:cs="Times New Roman"/>
                <w:bCs/>
                <w:sz w:val="24"/>
                <w:u w:val="single" w:color="auto"/>
              </w:rPr>
              <w:t xml:space="preserve"> m</w:t>
            </w:r>
            <w:r>
              <w:rPr>
                <w:rFonts w:hint="default" w:ascii="Times New Roman" w:hAnsi="Times New Roman" w:cs="Times New Roman"/>
                <w:bCs/>
                <w:sz w:val="24"/>
                <w:u w:val="single" w:color="auto"/>
                <w:vertAlign w:val="superscript"/>
              </w:rPr>
              <w:t>3</w:t>
            </w:r>
            <w:r>
              <w:rPr>
                <w:rFonts w:hint="default" w:ascii="Times New Roman" w:hAnsi="Times New Roman" w:cs="Times New Roman"/>
                <w:bCs/>
                <w:sz w:val="24"/>
                <w:u w:val="single" w:color="auto"/>
              </w:rPr>
              <w:t>/a</w:t>
            </w:r>
            <w:r>
              <w:rPr>
                <w:rFonts w:hint="eastAsia" w:cs="Times New Roman"/>
                <w:bCs/>
                <w:sz w:val="24"/>
                <w:u w:val="single" w:color="auto"/>
                <w:lang w:eastAsia="zh-CN"/>
              </w:rPr>
              <w:t>；项目设置</w:t>
            </w:r>
            <w:r>
              <w:rPr>
                <w:rFonts w:hint="eastAsia" w:cs="Times New Roman"/>
                <w:bCs/>
                <w:sz w:val="24"/>
                <w:u w:val="single" w:color="auto"/>
                <w:lang w:val="en-US" w:eastAsia="zh-CN"/>
              </w:rPr>
              <w:t>冷却水循环水池，循环水量为3m</w:t>
            </w:r>
            <w:r>
              <w:rPr>
                <w:rFonts w:hint="eastAsia" w:cs="Times New Roman"/>
                <w:bCs/>
                <w:sz w:val="24"/>
                <w:u w:val="single" w:color="auto"/>
                <w:vertAlign w:val="superscript"/>
                <w:lang w:val="en-US" w:eastAsia="zh-CN"/>
              </w:rPr>
              <w:t>3</w:t>
            </w:r>
            <w:r>
              <w:rPr>
                <w:rFonts w:hint="eastAsia" w:cs="Times New Roman"/>
                <w:bCs/>
                <w:sz w:val="24"/>
                <w:u w:val="single" w:color="auto"/>
                <w:lang w:val="en-US" w:eastAsia="zh-CN"/>
              </w:rPr>
              <w:t>/d，损耗量为0.1m</w:t>
            </w:r>
            <w:r>
              <w:rPr>
                <w:rFonts w:hint="eastAsia" w:cs="Times New Roman"/>
                <w:bCs/>
                <w:sz w:val="24"/>
                <w:u w:val="single" w:color="auto"/>
                <w:vertAlign w:val="superscript"/>
                <w:lang w:val="en-US" w:eastAsia="zh-CN"/>
              </w:rPr>
              <w:t>3</w:t>
            </w:r>
            <w:r>
              <w:rPr>
                <w:rFonts w:hint="eastAsia" w:cs="Times New Roman"/>
                <w:bCs/>
                <w:sz w:val="24"/>
                <w:u w:val="single" w:color="auto"/>
                <w:lang w:val="en-US" w:eastAsia="zh-CN"/>
              </w:rPr>
              <w:t>/d，故冷却水年损耗量为30t</w:t>
            </w:r>
            <w:r>
              <w:rPr>
                <w:rFonts w:hint="default" w:ascii="Times New Roman" w:hAnsi="Times New Roman" w:cs="Times New Roman"/>
                <w:sz w:val="24"/>
                <w:szCs w:val="24"/>
                <w:u w:val="single" w:color="auto"/>
              </w:rPr>
              <w:t>。</w:t>
            </w:r>
            <w:r>
              <w:rPr>
                <w:rFonts w:hint="default" w:ascii="Times New Roman" w:hAnsi="Times New Roman" w:cs="Times New Roman"/>
                <w:bCs/>
                <w:sz w:val="24"/>
                <w:u w:val="single" w:color="auto"/>
              </w:rPr>
              <w:t>本项目用水情况如表1-</w:t>
            </w:r>
            <w:r>
              <w:rPr>
                <w:rFonts w:hint="eastAsia" w:cs="Times New Roman"/>
                <w:bCs/>
                <w:sz w:val="24"/>
                <w:u w:val="single" w:color="auto"/>
                <w:lang w:val="en-US" w:eastAsia="zh-CN"/>
              </w:rPr>
              <w:t>6</w:t>
            </w:r>
            <w:r>
              <w:rPr>
                <w:rFonts w:hint="default" w:ascii="Times New Roman" w:hAnsi="Times New Roman" w:cs="Times New Roman"/>
                <w:bCs/>
                <w:sz w:val="24"/>
                <w:u w:val="single" w:color="auto"/>
              </w:rPr>
              <w:t>所示：</w:t>
            </w:r>
          </w:p>
          <w:p>
            <w:pPr>
              <w:pStyle w:val="173"/>
              <w:spacing w:line="240" w:lineRule="auto"/>
              <w:ind w:firstLine="482"/>
              <w:jc w:val="center"/>
              <w:rPr>
                <w:rFonts w:hint="default" w:ascii="Times New Roman" w:hAnsi="Times New Roman" w:cs="Times New Roman"/>
                <w:b/>
                <w:u w:val="single" w:color="auto"/>
              </w:rPr>
            </w:pPr>
            <w:r>
              <w:rPr>
                <w:rFonts w:hint="default" w:ascii="Times New Roman" w:hAnsi="Times New Roman" w:cs="Times New Roman"/>
                <w:b/>
                <w:u w:val="single" w:color="auto"/>
              </w:rPr>
              <w:t>表1-</w:t>
            </w:r>
            <w:r>
              <w:rPr>
                <w:rFonts w:hint="default" w:ascii="Times New Roman" w:hAnsi="Times New Roman" w:cs="Times New Roman"/>
                <w:b/>
                <w:u w:val="single" w:color="auto"/>
                <w:lang w:val="en-US" w:eastAsia="zh-CN"/>
              </w:rPr>
              <w:t>6</w:t>
            </w:r>
            <w:r>
              <w:rPr>
                <w:rFonts w:hint="default" w:ascii="Times New Roman" w:hAnsi="Times New Roman" w:cs="Times New Roman"/>
                <w:b/>
                <w:u w:val="single" w:color="auto"/>
              </w:rPr>
              <w:t xml:space="preserve">  项目用水情况估算一览表</w:t>
            </w:r>
          </w:p>
          <w:tbl>
            <w:tblPr>
              <w:tblStyle w:val="40"/>
              <w:tblW w:w="906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7"/>
              <w:gridCol w:w="1128"/>
              <w:gridCol w:w="713"/>
              <w:gridCol w:w="1273"/>
              <w:gridCol w:w="1416"/>
              <w:gridCol w:w="1844"/>
              <w:gridCol w:w="1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blHeader/>
              </w:trPr>
              <w:tc>
                <w:tcPr>
                  <w:tcW w:w="737" w:type="dxa"/>
                  <w:vAlign w:val="center"/>
                </w:tcPr>
                <w:p>
                  <w:pPr>
                    <w:pStyle w:val="172"/>
                    <w:spacing w:before="48" w:after="48" w:line="240" w:lineRule="atLeast"/>
                    <w:rPr>
                      <w:rFonts w:hint="default" w:ascii="Times New Roman" w:hAnsi="Times New Roman" w:eastAsia="宋体" w:cs="Times New Roman"/>
                      <w:b/>
                      <w:sz w:val="21"/>
                      <w:szCs w:val="21"/>
                      <w:u w:val="single" w:color="auto"/>
                    </w:rPr>
                  </w:pPr>
                  <w:r>
                    <w:rPr>
                      <w:rFonts w:hint="default" w:ascii="Times New Roman" w:hAnsi="Times New Roman" w:eastAsia="宋体" w:cs="Times New Roman"/>
                      <w:b/>
                      <w:sz w:val="21"/>
                      <w:szCs w:val="21"/>
                      <w:u w:val="single" w:color="auto"/>
                    </w:rPr>
                    <w:t>序号</w:t>
                  </w:r>
                </w:p>
              </w:tc>
              <w:tc>
                <w:tcPr>
                  <w:tcW w:w="1128" w:type="dxa"/>
                  <w:vAlign w:val="center"/>
                </w:tcPr>
                <w:p>
                  <w:pPr>
                    <w:pStyle w:val="172"/>
                    <w:spacing w:before="48" w:after="48" w:line="240" w:lineRule="atLeast"/>
                    <w:rPr>
                      <w:rFonts w:hint="default" w:ascii="Times New Roman" w:hAnsi="Times New Roman" w:eastAsia="宋体" w:cs="Times New Roman"/>
                      <w:b/>
                      <w:sz w:val="21"/>
                      <w:szCs w:val="21"/>
                      <w:u w:val="single" w:color="auto"/>
                    </w:rPr>
                  </w:pPr>
                  <w:r>
                    <w:rPr>
                      <w:rFonts w:hint="default" w:ascii="Times New Roman" w:hAnsi="Times New Roman" w:eastAsia="宋体" w:cs="Times New Roman"/>
                      <w:b/>
                      <w:sz w:val="21"/>
                      <w:szCs w:val="21"/>
                      <w:u w:val="single" w:color="auto"/>
                    </w:rPr>
                    <w:t>项目</w:t>
                  </w:r>
                </w:p>
              </w:tc>
              <w:tc>
                <w:tcPr>
                  <w:tcW w:w="713" w:type="dxa"/>
                  <w:vAlign w:val="center"/>
                </w:tcPr>
                <w:p>
                  <w:pPr>
                    <w:pStyle w:val="172"/>
                    <w:spacing w:before="48" w:after="48" w:line="240" w:lineRule="atLeast"/>
                    <w:rPr>
                      <w:rFonts w:hint="default" w:ascii="Times New Roman" w:hAnsi="Times New Roman" w:eastAsia="宋体" w:cs="Times New Roman"/>
                      <w:b/>
                      <w:sz w:val="21"/>
                      <w:szCs w:val="21"/>
                      <w:u w:val="single" w:color="auto"/>
                    </w:rPr>
                  </w:pPr>
                  <w:r>
                    <w:rPr>
                      <w:rFonts w:hint="default" w:ascii="Times New Roman" w:hAnsi="Times New Roman" w:eastAsia="宋体" w:cs="Times New Roman"/>
                      <w:b/>
                      <w:sz w:val="21"/>
                      <w:szCs w:val="21"/>
                      <w:u w:val="single" w:color="auto"/>
                    </w:rPr>
                    <w:t>人数</w:t>
                  </w:r>
                </w:p>
              </w:tc>
              <w:tc>
                <w:tcPr>
                  <w:tcW w:w="1273" w:type="dxa"/>
                  <w:vAlign w:val="center"/>
                </w:tcPr>
                <w:p>
                  <w:pPr>
                    <w:pStyle w:val="172"/>
                    <w:spacing w:before="48" w:after="48" w:line="240" w:lineRule="atLeast"/>
                    <w:rPr>
                      <w:rFonts w:hint="default" w:ascii="Times New Roman" w:hAnsi="Times New Roman" w:eastAsia="宋体" w:cs="Times New Roman"/>
                      <w:b/>
                      <w:sz w:val="21"/>
                      <w:szCs w:val="21"/>
                      <w:u w:val="single" w:color="auto"/>
                    </w:rPr>
                  </w:pPr>
                  <w:r>
                    <w:rPr>
                      <w:rFonts w:hint="default" w:ascii="Times New Roman" w:hAnsi="Times New Roman" w:eastAsia="宋体" w:cs="Times New Roman"/>
                      <w:b/>
                      <w:sz w:val="21"/>
                      <w:szCs w:val="21"/>
                      <w:u w:val="single" w:color="auto"/>
                    </w:rPr>
                    <w:t>用水定额</w:t>
                  </w:r>
                </w:p>
              </w:tc>
              <w:tc>
                <w:tcPr>
                  <w:tcW w:w="1416" w:type="dxa"/>
                  <w:vAlign w:val="center"/>
                </w:tcPr>
                <w:p>
                  <w:pPr>
                    <w:pStyle w:val="172"/>
                    <w:spacing w:before="48" w:after="48" w:line="240" w:lineRule="atLeast"/>
                    <w:rPr>
                      <w:rFonts w:hint="default" w:ascii="Times New Roman" w:hAnsi="Times New Roman" w:eastAsia="宋体" w:cs="Times New Roman"/>
                      <w:b/>
                      <w:sz w:val="21"/>
                      <w:szCs w:val="21"/>
                      <w:u w:val="single" w:color="auto"/>
                    </w:rPr>
                  </w:pPr>
                  <w:r>
                    <w:rPr>
                      <w:rFonts w:hint="default" w:ascii="Times New Roman" w:hAnsi="Times New Roman" w:eastAsia="宋体" w:cs="Times New Roman"/>
                      <w:b/>
                      <w:sz w:val="21"/>
                      <w:szCs w:val="21"/>
                      <w:u w:val="single" w:color="auto"/>
                    </w:rPr>
                    <w:t>年工作天数</w:t>
                  </w:r>
                </w:p>
              </w:tc>
              <w:tc>
                <w:tcPr>
                  <w:tcW w:w="1844" w:type="dxa"/>
                </w:tcPr>
                <w:p>
                  <w:pPr>
                    <w:pStyle w:val="172"/>
                    <w:spacing w:before="48" w:after="48" w:line="240" w:lineRule="atLeast"/>
                    <w:rPr>
                      <w:rFonts w:hint="default" w:ascii="Times New Roman" w:hAnsi="Times New Roman" w:eastAsia="宋体" w:cs="Times New Roman"/>
                      <w:b/>
                      <w:sz w:val="21"/>
                      <w:szCs w:val="21"/>
                      <w:u w:val="single" w:color="auto"/>
                    </w:rPr>
                  </w:pPr>
                  <w:r>
                    <w:rPr>
                      <w:rFonts w:hint="default" w:ascii="Times New Roman" w:hAnsi="Times New Roman" w:eastAsia="宋体" w:cs="Times New Roman"/>
                      <w:b/>
                      <w:sz w:val="21"/>
                      <w:szCs w:val="21"/>
                      <w:u w:val="single" w:color="auto"/>
                    </w:rPr>
                    <w:t>日用水量（t/a）</w:t>
                  </w:r>
                </w:p>
              </w:tc>
              <w:tc>
                <w:tcPr>
                  <w:tcW w:w="1957" w:type="dxa"/>
                </w:tcPr>
                <w:p>
                  <w:pPr>
                    <w:pStyle w:val="172"/>
                    <w:spacing w:before="48" w:after="48" w:line="240" w:lineRule="atLeast"/>
                    <w:rPr>
                      <w:rFonts w:hint="default" w:ascii="Times New Roman" w:hAnsi="Times New Roman" w:eastAsia="宋体" w:cs="Times New Roman"/>
                      <w:b/>
                      <w:sz w:val="21"/>
                      <w:szCs w:val="21"/>
                      <w:u w:val="single" w:color="auto"/>
                    </w:rPr>
                  </w:pPr>
                  <w:r>
                    <w:rPr>
                      <w:rFonts w:hint="default" w:ascii="Times New Roman" w:hAnsi="Times New Roman" w:eastAsia="宋体" w:cs="Times New Roman"/>
                      <w:b/>
                      <w:sz w:val="21"/>
                      <w:szCs w:val="21"/>
                      <w:u w:val="single" w:color="auto"/>
                    </w:rPr>
                    <w:t>年用水量（t/a）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737" w:type="dxa"/>
                  <w:tcBorders>
                    <w:bottom w:val="single" w:color="auto" w:sz="4" w:space="0"/>
                  </w:tcBorders>
                  <w:vAlign w:val="center"/>
                </w:tcPr>
                <w:p>
                  <w:pPr>
                    <w:pStyle w:val="172"/>
                    <w:spacing w:before="48" w:after="48" w:line="240" w:lineRule="atLeast"/>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rPr>
                    <w:t>1</w:t>
                  </w:r>
                </w:p>
              </w:tc>
              <w:tc>
                <w:tcPr>
                  <w:tcW w:w="1128" w:type="dxa"/>
                  <w:tcBorders>
                    <w:bottom w:val="single" w:color="auto" w:sz="4" w:space="0"/>
                  </w:tcBorders>
                  <w:vAlign w:val="center"/>
                </w:tcPr>
                <w:p>
                  <w:pPr>
                    <w:pStyle w:val="172"/>
                    <w:spacing w:before="48" w:after="48" w:line="240" w:lineRule="atLeast"/>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rPr>
                    <w:t>生活用水</w:t>
                  </w:r>
                </w:p>
              </w:tc>
              <w:tc>
                <w:tcPr>
                  <w:tcW w:w="713" w:type="dxa"/>
                  <w:tcBorders>
                    <w:bottom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25</w:t>
                  </w:r>
                </w:p>
              </w:tc>
              <w:tc>
                <w:tcPr>
                  <w:tcW w:w="1273" w:type="dxa"/>
                  <w:tcBorders>
                    <w:bottom w:val="single" w:color="auto" w:sz="4" w:space="0"/>
                  </w:tcBorders>
                  <w:vAlign w:val="center"/>
                </w:tcPr>
                <w:p>
                  <w:pPr>
                    <w:pStyle w:val="172"/>
                    <w:spacing w:before="48" w:after="48" w:line="240" w:lineRule="atLeast"/>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rPr>
                    <w:t>50 L</w:t>
                  </w:r>
                  <w:r>
                    <w:rPr>
                      <w:rFonts w:hint="default" w:ascii="Times New Roman" w:hAnsi="Times New Roman" w:eastAsia="宋体" w:cs="Times New Roman"/>
                      <w:sz w:val="21"/>
                      <w:szCs w:val="21"/>
                      <w:u w:val="single" w:color="auto"/>
                      <w:lang w:val="en-US" w:eastAsia="zh-CN"/>
                    </w:rPr>
                    <w:t xml:space="preserve"> </w:t>
                  </w:r>
                  <w:r>
                    <w:rPr>
                      <w:rFonts w:hint="default" w:ascii="Times New Roman" w:hAnsi="Times New Roman" w:eastAsia="宋体" w:cs="Times New Roman"/>
                      <w:sz w:val="21"/>
                      <w:szCs w:val="21"/>
                      <w:u w:val="single" w:color="auto"/>
                    </w:rPr>
                    <w:t>/人·d</w:t>
                  </w:r>
                </w:p>
              </w:tc>
              <w:tc>
                <w:tcPr>
                  <w:tcW w:w="1416" w:type="dxa"/>
                  <w:tcBorders>
                    <w:bottom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rPr>
                  </w:pPr>
                  <w:r>
                    <w:rPr>
                      <w:rFonts w:hint="default" w:ascii="Times New Roman" w:hAnsi="Times New Roman" w:eastAsia="宋体" w:cs="Times New Roman"/>
                      <w:sz w:val="21"/>
                      <w:szCs w:val="21"/>
                      <w:u w:val="single" w:color="auto"/>
                    </w:rPr>
                    <w:t>300</w:t>
                  </w:r>
                </w:p>
              </w:tc>
              <w:tc>
                <w:tcPr>
                  <w:tcW w:w="1844" w:type="dxa"/>
                  <w:tcBorders>
                    <w:bottom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1.25</w:t>
                  </w:r>
                </w:p>
              </w:tc>
              <w:tc>
                <w:tcPr>
                  <w:tcW w:w="1957" w:type="dxa"/>
                  <w:tcBorders>
                    <w:bottom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737" w:type="dxa"/>
                  <w:tcBorders>
                    <w:top w:val="single" w:color="auto" w:sz="4" w:space="0"/>
                    <w:bottom w:val="single" w:color="auto" w:sz="4" w:space="0"/>
                  </w:tcBorders>
                  <w:vAlign w:val="center"/>
                </w:tcPr>
                <w:p>
                  <w:pPr>
                    <w:pStyle w:val="172"/>
                    <w:spacing w:before="48" w:after="48" w:line="240" w:lineRule="atLeast"/>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2</w:t>
                  </w:r>
                </w:p>
              </w:tc>
              <w:tc>
                <w:tcPr>
                  <w:tcW w:w="1128" w:type="dxa"/>
                  <w:tcBorders>
                    <w:top w:val="single" w:color="auto" w:sz="4" w:space="0"/>
                    <w:bottom w:val="single" w:color="auto" w:sz="4" w:space="0"/>
                  </w:tcBorders>
                  <w:vAlign w:val="center"/>
                </w:tcPr>
                <w:p>
                  <w:pPr>
                    <w:pStyle w:val="172"/>
                    <w:spacing w:before="48" w:after="48" w:line="240" w:lineRule="atLeast"/>
                    <w:rPr>
                      <w:rFonts w:hint="eastAsia" w:ascii="Times New Roman" w:hAnsi="Times New Roman" w:eastAsia="宋体" w:cs="Times New Roman"/>
                      <w:sz w:val="21"/>
                      <w:szCs w:val="21"/>
                      <w:u w:val="single" w:color="auto"/>
                      <w:lang w:eastAsia="zh-CN"/>
                    </w:rPr>
                  </w:pPr>
                  <w:r>
                    <w:rPr>
                      <w:rFonts w:hint="eastAsia" w:eastAsia="宋体" w:cs="Times New Roman"/>
                      <w:sz w:val="21"/>
                      <w:szCs w:val="21"/>
                      <w:u w:val="single" w:color="auto"/>
                      <w:lang w:eastAsia="zh-CN"/>
                    </w:rPr>
                    <w:t>冷却</w:t>
                  </w:r>
                  <w:r>
                    <w:rPr>
                      <w:rFonts w:hint="eastAsia" w:ascii="Times New Roman" w:hAnsi="Times New Roman" w:eastAsia="宋体" w:cs="Times New Roman"/>
                      <w:sz w:val="21"/>
                      <w:szCs w:val="21"/>
                      <w:u w:val="single" w:color="auto"/>
                      <w:lang w:eastAsia="zh-CN"/>
                    </w:rPr>
                    <w:t>用水</w:t>
                  </w:r>
                </w:p>
              </w:tc>
              <w:tc>
                <w:tcPr>
                  <w:tcW w:w="713" w:type="dxa"/>
                  <w:tcBorders>
                    <w:top w:val="single" w:color="auto" w:sz="4" w:space="0"/>
                    <w:bottom w:val="single" w:color="auto" w:sz="4" w:space="0"/>
                  </w:tcBorders>
                </w:tcPr>
                <w:p>
                  <w:pPr>
                    <w:pStyle w:val="172"/>
                    <w:spacing w:before="48" w:after="48" w:line="240" w:lineRule="atLeast"/>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1273" w:type="dxa"/>
                  <w:tcBorders>
                    <w:top w:val="single" w:color="auto" w:sz="4" w:space="0"/>
                    <w:bottom w:val="single" w:color="auto" w:sz="4" w:space="0"/>
                  </w:tcBorders>
                  <w:vAlign w:val="center"/>
                </w:tcPr>
                <w:p>
                  <w:pPr>
                    <w:pStyle w:val="172"/>
                    <w:spacing w:before="48" w:after="48" w:line="240" w:lineRule="atLeast"/>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1416" w:type="dxa"/>
                  <w:tcBorders>
                    <w:top w:val="single" w:color="auto" w:sz="4" w:space="0"/>
                    <w:bottom w:val="single" w:color="auto" w:sz="4" w:space="0"/>
                  </w:tcBorders>
                  <w:vAlign w:val="bottom"/>
                </w:tcPr>
                <w:p>
                  <w:pPr>
                    <w:pStyle w:val="172"/>
                    <w:spacing w:before="48" w:after="48" w:line="240" w:lineRule="atLeast"/>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1844" w:type="dxa"/>
                  <w:tcBorders>
                    <w:top w:val="single" w:color="auto" w:sz="4" w:space="0"/>
                    <w:bottom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0.</w:t>
                  </w:r>
                  <w:r>
                    <w:rPr>
                      <w:rFonts w:hint="eastAsia" w:eastAsia="宋体" w:cs="Times New Roman"/>
                      <w:sz w:val="21"/>
                      <w:szCs w:val="21"/>
                      <w:u w:val="single" w:color="auto"/>
                      <w:lang w:val="en-US" w:eastAsia="zh-CN"/>
                    </w:rPr>
                    <w:t>1</w:t>
                  </w:r>
                </w:p>
              </w:tc>
              <w:tc>
                <w:tcPr>
                  <w:tcW w:w="1957" w:type="dxa"/>
                  <w:tcBorders>
                    <w:top w:val="single" w:color="auto" w:sz="4" w:space="0"/>
                    <w:bottom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eastAsia" w:eastAsia="宋体" w:cs="Times New Roman"/>
                      <w:sz w:val="21"/>
                      <w:szCs w:val="21"/>
                      <w:u w:val="single" w:color="auto"/>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737" w:type="dxa"/>
                  <w:tcBorders>
                    <w:top w:val="single" w:color="auto" w:sz="4" w:space="0"/>
                  </w:tcBorders>
                  <w:vAlign w:val="center"/>
                </w:tcPr>
                <w:p>
                  <w:pPr>
                    <w:pStyle w:val="172"/>
                    <w:spacing w:before="48" w:after="48" w:line="240" w:lineRule="atLeast"/>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3</w:t>
                  </w:r>
                </w:p>
              </w:tc>
              <w:tc>
                <w:tcPr>
                  <w:tcW w:w="1128" w:type="dxa"/>
                  <w:tcBorders>
                    <w:top w:val="single" w:color="auto" w:sz="4" w:space="0"/>
                  </w:tcBorders>
                  <w:vAlign w:val="center"/>
                </w:tcPr>
                <w:p>
                  <w:pPr>
                    <w:pStyle w:val="172"/>
                    <w:spacing w:before="48" w:after="48" w:line="240" w:lineRule="atLeast"/>
                    <w:rPr>
                      <w:rFonts w:hint="eastAsia" w:ascii="Times New Roman" w:hAnsi="Times New Roman" w:eastAsia="宋体" w:cs="Times New Roman"/>
                      <w:sz w:val="21"/>
                      <w:szCs w:val="21"/>
                      <w:u w:val="single" w:color="auto"/>
                      <w:lang w:eastAsia="zh-CN"/>
                    </w:rPr>
                  </w:pPr>
                  <w:r>
                    <w:rPr>
                      <w:rFonts w:hint="eastAsia" w:eastAsia="宋体" w:cs="Times New Roman"/>
                      <w:sz w:val="21"/>
                      <w:szCs w:val="21"/>
                      <w:u w:val="single" w:color="auto"/>
                      <w:lang w:eastAsia="zh-CN"/>
                    </w:rPr>
                    <w:t>冷却</w:t>
                  </w:r>
                  <w:r>
                    <w:rPr>
                      <w:rFonts w:hint="eastAsia" w:ascii="Times New Roman" w:hAnsi="Times New Roman" w:eastAsia="宋体" w:cs="Times New Roman"/>
                      <w:sz w:val="21"/>
                      <w:szCs w:val="21"/>
                      <w:u w:val="single" w:color="auto"/>
                      <w:lang w:eastAsia="zh-CN"/>
                    </w:rPr>
                    <w:t>循环用水</w:t>
                  </w:r>
                </w:p>
              </w:tc>
              <w:tc>
                <w:tcPr>
                  <w:tcW w:w="713" w:type="dxa"/>
                  <w:tcBorders>
                    <w:top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1273" w:type="dxa"/>
                  <w:tcBorders>
                    <w:top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1416" w:type="dxa"/>
                  <w:tcBorders>
                    <w:top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1844" w:type="dxa"/>
                  <w:tcBorders>
                    <w:top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c>
                <w:tcPr>
                  <w:tcW w:w="1957" w:type="dxa"/>
                  <w:tcBorders>
                    <w:top w:val="single" w:color="auto" w:sz="4" w:space="0"/>
                  </w:tcBorders>
                  <w:vAlign w:val="center"/>
                </w:tcPr>
                <w:p>
                  <w:pPr>
                    <w:pStyle w:val="172"/>
                    <w:spacing w:before="48" w:after="48" w:line="240" w:lineRule="atLeast"/>
                    <w:jc w:val="center"/>
                    <w:rPr>
                      <w:rFonts w:hint="default" w:ascii="Times New Roman" w:hAnsi="Times New Roman" w:eastAsia="宋体" w:cs="Times New Roman"/>
                      <w:sz w:val="21"/>
                      <w:szCs w:val="21"/>
                      <w:u w:val="single" w:color="auto"/>
                      <w:lang w:val="en-US" w:eastAsia="zh-CN"/>
                    </w:rPr>
                  </w:pPr>
                  <w:r>
                    <w:rPr>
                      <w:rFonts w:hint="eastAsia" w:eastAsia="宋体" w:cs="Times New Roman"/>
                      <w:sz w:val="21"/>
                      <w:szCs w:val="21"/>
                      <w:u w:val="single" w:color="auto"/>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37" w:type="dxa"/>
                  <w:vAlign w:val="center"/>
                </w:tcPr>
                <w:p>
                  <w:pPr>
                    <w:pStyle w:val="172"/>
                    <w:spacing w:before="48" w:after="48" w:line="240" w:lineRule="atLeast"/>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w:t>
                  </w:r>
                </w:p>
              </w:tc>
              <w:tc>
                <w:tcPr>
                  <w:tcW w:w="6374" w:type="dxa"/>
                  <w:gridSpan w:val="5"/>
                  <w:vAlign w:val="center"/>
                </w:tcPr>
                <w:p>
                  <w:pPr>
                    <w:pStyle w:val="172"/>
                    <w:spacing w:before="48" w:after="48" w:line="240" w:lineRule="atLeast"/>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rPr>
                    <w:t>合计</w:t>
                  </w:r>
                </w:p>
              </w:tc>
              <w:tc>
                <w:tcPr>
                  <w:tcW w:w="1957" w:type="dxa"/>
                </w:tcPr>
                <w:p>
                  <w:pPr>
                    <w:pStyle w:val="172"/>
                    <w:spacing w:before="48" w:after="48" w:line="240" w:lineRule="atLeast"/>
                    <w:rPr>
                      <w:rFonts w:hint="default" w:ascii="Times New Roman" w:hAnsi="Times New Roman" w:eastAsia="宋体" w:cs="Times New Roman"/>
                      <w:sz w:val="21"/>
                      <w:szCs w:val="21"/>
                      <w:u w:val="single" w:color="auto"/>
                      <w:lang w:val="en-US" w:eastAsia="zh-CN"/>
                    </w:rPr>
                  </w:pPr>
                  <w:r>
                    <w:rPr>
                      <w:rFonts w:hint="eastAsia" w:eastAsia="宋体" w:cs="Times New Roman"/>
                      <w:sz w:val="21"/>
                      <w:szCs w:val="21"/>
                      <w:u w:val="single" w:color="auto"/>
                      <w:lang w:val="en-US" w:eastAsia="zh-CN"/>
                    </w:rPr>
                    <w:t>408</w:t>
                  </w:r>
                </w:p>
              </w:tc>
            </w:tr>
          </w:tbl>
          <w:p>
            <w:pPr>
              <w:snapToGrid w:val="0"/>
              <w:spacing w:line="360" w:lineRule="auto"/>
              <w:ind w:firstLine="480" w:firstLineChars="200"/>
              <w:rPr>
                <w:rFonts w:hint="default" w:ascii="Times New Roman" w:hAnsi="Times New Roman" w:cs="Times New Roman"/>
                <w:bCs/>
                <w:sz w:val="24"/>
                <w:u w:val="single" w:color="auto"/>
              </w:rPr>
            </w:pPr>
            <w:r>
              <w:rPr>
                <w:rFonts w:hint="default" w:ascii="Times New Roman" w:hAnsi="Times New Roman" w:cs="Times New Roman"/>
                <w:bCs/>
                <w:sz w:val="24"/>
                <w:u w:val="single" w:color="auto"/>
              </w:rPr>
              <w:t>（2）排水</w:t>
            </w:r>
          </w:p>
          <w:p>
            <w:pPr>
              <w:snapToGrid w:val="0"/>
              <w:spacing w:line="360" w:lineRule="auto"/>
              <w:ind w:firstLine="480" w:firstLineChars="200"/>
              <w:rPr>
                <w:rFonts w:hint="default" w:ascii="Times New Roman" w:hAnsi="Times New Roman" w:cs="Times New Roman"/>
                <w:bCs/>
                <w:sz w:val="24"/>
                <w:szCs w:val="24"/>
                <w:u w:val="single" w:color="auto"/>
              </w:rPr>
            </w:pPr>
            <w:r>
              <w:rPr>
                <w:rFonts w:hint="default" w:ascii="Times New Roman" w:hAnsi="Times New Roman" w:cs="Times New Roman"/>
                <w:sz w:val="24"/>
                <w:szCs w:val="24"/>
                <w:u w:val="single" w:color="auto"/>
              </w:rPr>
              <w:t>本项目</w:t>
            </w:r>
            <w:r>
              <w:rPr>
                <w:rFonts w:hint="default" w:ascii="Times New Roman" w:hAnsi="Times New Roman" w:cs="Times New Roman"/>
                <w:bCs/>
                <w:sz w:val="24"/>
                <w:szCs w:val="24"/>
                <w:u w:val="single" w:color="auto"/>
              </w:rPr>
              <w:t>生活污水按</w:t>
            </w:r>
            <w:r>
              <w:rPr>
                <w:rFonts w:hint="default" w:ascii="Times New Roman" w:hAnsi="Times New Roman" w:cs="Times New Roman"/>
                <w:sz w:val="24"/>
                <w:szCs w:val="24"/>
                <w:u w:val="single" w:color="auto"/>
              </w:rPr>
              <w:t>产生率按</w:t>
            </w:r>
            <w:r>
              <w:rPr>
                <w:rFonts w:hint="default" w:ascii="Times New Roman" w:hAnsi="Times New Roman" w:eastAsia="Times New Roman" w:cs="Times New Roman"/>
                <w:sz w:val="24"/>
                <w:szCs w:val="24"/>
                <w:u w:val="single" w:color="auto"/>
              </w:rPr>
              <w:t>80%</w:t>
            </w:r>
            <w:r>
              <w:rPr>
                <w:rFonts w:hint="default" w:ascii="Times New Roman" w:hAnsi="Times New Roman" w:cs="Times New Roman"/>
                <w:sz w:val="24"/>
                <w:szCs w:val="24"/>
                <w:u w:val="single" w:color="auto"/>
              </w:rPr>
              <w:t>计，项目营运期生活污水产生量为</w:t>
            </w:r>
            <w:r>
              <w:rPr>
                <w:rFonts w:hint="eastAsia" w:cs="Times New Roman"/>
                <w:sz w:val="24"/>
                <w:szCs w:val="24"/>
                <w:u w:val="single" w:color="auto"/>
                <w:lang w:val="en-US" w:eastAsia="zh-CN"/>
              </w:rPr>
              <w:t>1</w:t>
            </w:r>
            <w:r>
              <w:rPr>
                <w:rFonts w:hint="default" w:ascii="Times New Roman" w:hAnsi="Times New Roman" w:cs="Times New Roman"/>
                <w:bCs/>
                <w:sz w:val="24"/>
                <w:szCs w:val="24"/>
                <w:u w:val="single" w:color="auto"/>
              </w:rPr>
              <w:t>m</w:t>
            </w:r>
            <w:r>
              <w:rPr>
                <w:rFonts w:hint="default" w:ascii="Times New Roman" w:hAnsi="Times New Roman" w:cs="Times New Roman"/>
                <w:bCs/>
                <w:sz w:val="24"/>
                <w:szCs w:val="24"/>
                <w:u w:val="single" w:color="auto"/>
                <w:vertAlign w:val="superscript"/>
              </w:rPr>
              <w:t>3</w:t>
            </w:r>
            <w:r>
              <w:rPr>
                <w:rFonts w:hint="default" w:ascii="Times New Roman" w:hAnsi="Times New Roman" w:cs="Times New Roman"/>
                <w:bCs/>
                <w:sz w:val="24"/>
                <w:szCs w:val="24"/>
                <w:u w:val="single" w:color="auto"/>
              </w:rPr>
              <w:t>/d、</w:t>
            </w:r>
            <w:r>
              <w:rPr>
                <w:rFonts w:hint="eastAsia" w:cs="Times New Roman"/>
                <w:bCs/>
                <w:sz w:val="24"/>
                <w:szCs w:val="24"/>
                <w:u w:val="single" w:color="auto"/>
                <w:lang w:val="en-US" w:eastAsia="zh-CN"/>
              </w:rPr>
              <w:t>300</w:t>
            </w:r>
            <w:r>
              <w:rPr>
                <w:rFonts w:hint="default" w:ascii="Times New Roman" w:hAnsi="Times New Roman" w:cs="Times New Roman"/>
                <w:bCs/>
                <w:sz w:val="24"/>
                <w:szCs w:val="24"/>
                <w:u w:val="single" w:color="auto"/>
              </w:rPr>
              <w:t>m</w:t>
            </w:r>
            <w:r>
              <w:rPr>
                <w:rFonts w:hint="default" w:ascii="Times New Roman" w:hAnsi="Times New Roman" w:cs="Times New Roman"/>
                <w:bCs/>
                <w:sz w:val="24"/>
                <w:szCs w:val="24"/>
                <w:u w:val="single" w:color="auto"/>
                <w:vertAlign w:val="superscript"/>
              </w:rPr>
              <w:t>3</w:t>
            </w:r>
            <w:r>
              <w:rPr>
                <w:rFonts w:hint="default" w:ascii="Times New Roman" w:hAnsi="Times New Roman" w:cs="Times New Roman"/>
                <w:bCs/>
                <w:sz w:val="24"/>
                <w:szCs w:val="24"/>
                <w:u w:val="single" w:color="auto"/>
              </w:rPr>
              <w:t>/a。</w:t>
            </w:r>
            <w:r>
              <w:rPr>
                <w:rFonts w:hint="eastAsia"/>
                <w:sz w:val="24"/>
                <w:szCs w:val="24"/>
                <w:u w:val="single" w:color="auto"/>
                <w:lang w:val="en-US" w:eastAsia="zh-CN"/>
              </w:rPr>
              <w:t>湘阴县第三污水处理厂建成且接通前：</w:t>
            </w:r>
            <w:r>
              <w:rPr>
                <w:sz w:val="24"/>
                <w:szCs w:val="24"/>
                <w:u w:val="single" w:color="auto"/>
              </w:rPr>
              <w:t>项目</w:t>
            </w:r>
            <w:r>
              <w:rPr>
                <w:rFonts w:hint="eastAsia"/>
                <w:sz w:val="24"/>
                <w:szCs w:val="24"/>
                <w:u w:val="single" w:color="auto"/>
                <w:lang w:val="en-US" w:eastAsia="zh-CN"/>
              </w:rPr>
              <w:t>生活</w:t>
            </w:r>
            <w:r>
              <w:rPr>
                <w:sz w:val="24"/>
                <w:szCs w:val="24"/>
                <w:u w:val="single" w:color="auto"/>
              </w:rPr>
              <w:t>污水通过化粪池处理后排入园区污水管网再进入</w:t>
            </w:r>
            <w:r>
              <w:rPr>
                <w:rFonts w:hint="eastAsia"/>
                <w:sz w:val="24"/>
                <w:szCs w:val="24"/>
                <w:u w:val="single" w:color="auto"/>
                <w:lang w:eastAsia="zh-CN"/>
              </w:rPr>
              <w:t>卓达金谷创业园自建的污水处理站</w:t>
            </w:r>
            <w:r>
              <w:rPr>
                <w:sz w:val="24"/>
                <w:szCs w:val="24"/>
                <w:u w:val="single" w:color="auto"/>
              </w:rPr>
              <w:t>处理</w:t>
            </w:r>
            <w:r>
              <w:rPr>
                <w:rFonts w:hAnsi="宋体"/>
                <w:sz w:val="24"/>
                <w:szCs w:val="24"/>
                <w:u w:val="single" w:color="auto"/>
              </w:rPr>
              <w:t>达</w:t>
            </w:r>
            <w:r>
              <w:rPr>
                <w:rFonts w:hint="eastAsia" w:hAnsi="宋体"/>
                <w:sz w:val="24"/>
                <w:szCs w:val="24"/>
                <w:u w:val="single" w:color="auto"/>
                <w:lang w:eastAsia="zh-CN"/>
              </w:rPr>
              <w:t>到</w:t>
            </w:r>
            <w:r>
              <w:rPr>
                <w:sz w:val="24"/>
                <w:szCs w:val="24"/>
                <w:u w:val="single" w:color="auto"/>
              </w:rPr>
              <w:t>《城镇污水处理厂污染物排放标准（GB18918—2002）》中一级标准的A类标准后</w:t>
            </w:r>
            <w:r>
              <w:rPr>
                <w:rFonts w:hint="eastAsia"/>
                <w:sz w:val="24"/>
                <w:szCs w:val="24"/>
                <w:u w:val="single" w:color="auto"/>
                <w:lang w:eastAsia="zh-CN"/>
              </w:rPr>
              <w:t>进入洋沙河</w:t>
            </w:r>
            <w:r>
              <w:rPr>
                <w:rFonts w:hint="eastAsia"/>
                <w:sz w:val="24"/>
                <w:szCs w:val="24"/>
                <w:u w:val="single" w:color="auto"/>
                <w:lang w:val="en-US" w:eastAsia="zh-CN"/>
              </w:rPr>
              <w:t>流入洋沙湖</w:t>
            </w:r>
            <w:r>
              <w:rPr>
                <w:sz w:val="24"/>
                <w:szCs w:val="24"/>
                <w:u w:val="single" w:color="auto"/>
              </w:rPr>
              <w:t>，最终汇入湘江</w:t>
            </w:r>
            <w:r>
              <w:rPr>
                <w:rFonts w:hint="eastAsia"/>
                <w:sz w:val="24"/>
                <w:szCs w:val="24"/>
                <w:u w:val="single" w:color="auto"/>
                <w:lang w:eastAsia="zh-CN"/>
              </w:rPr>
              <w:t>。</w:t>
            </w:r>
            <w:r>
              <w:rPr>
                <w:rFonts w:hint="eastAsia"/>
                <w:sz w:val="24"/>
                <w:szCs w:val="24"/>
                <w:u w:val="single" w:color="auto"/>
                <w:lang w:val="en-US" w:eastAsia="zh-CN"/>
              </w:rPr>
              <w:t>湘阴县第三污水处理厂建成且接通后：</w:t>
            </w:r>
            <w:r>
              <w:rPr>
                <w:sz w:val="24"/>
                <w:szCs w:val="24"/>
                <w:u w:val="single" w:color="auto"/>
              </w:rPr>
              <w:t>项目</w:t>
            </w:r>
            <w:r>
              <w:rPr>
                <w:rFonts w:hint="eastAsia"/>
                <w:sz w:val="24"/>
                <w:szCs w:val="24"/>
                <w:u w:val="single" w:color="auto"/>
                <w:lang w:val="en-US" w:eastAsia="zh-CN"/>
              </w:rPr>
              <w:t>生活</w:t>
            </w:r>
            <w:r>
              <w:rPr>
                <w:sz w:val="24"/>
                <w:szCs w:val="24"/>
                <w:u w:val="single" w:color="auto"/>
              </w:rPr>
              <w:t>污水通过化粪池处理后排入园区污水管网</w:t>
            </w:r>
            <w:r>
              <w:rPr>
                <w:rFonts w:hint="eastAsia"/>
                <w:sz w:val="24"/>
                <w:szCs w:val="24"/>
                <w:u w:val="single" w:color="auto"/>
                <w:lang w:val="en-US" w:eastAsia="zh-CN"/>
              </w:rPr>
              <w:t>进入湘阴县第三污水处理厂处理后排入洋沙河流入洋沙湖，最终进入湘江</w:t>
            </w:r>
            <w:r>
              <w:rPr>
                <w:rFonts w:hint="eastAsia"/>
                <w:sz w:val="24"/>
                <w:szCs w:val="24"/>
                <w:u w:val="single" w:color="auto"/>
                <w:lang w:eastAsia="zh-CN"/>
              </w:rPr>
              <w:t>；冷却水经循环水池收集后循环使用，不外排</w:t>
            </w:r>
            <w:r>
              <w:rPr>
                <w:rFonts w:hint="default" w:ascii="Times New Roman" w:hAnsi="Times New Roman" w:cs="Times New Roman"/>
                <w:sz w:val="24"/>
                <w:szCs w:val="24"/>
                <w:u w:val="single" w:color="auto"/>
              </w:rPr>
              <w:t>。</w:t>
            </w:r>
          </w:p>
          <w:p>
            <w:pPr>
              <w:snapToGrid w:val="0"/>
              <w:spacing w:line="360" w:lineRule="auto"/>
              <w:ind w:firstLine="470" w:firstLineChars="196"/>
              <w:rPr>
                <w:rFonts w:hint="default" w:ascii="Times New Roman" w:hAnsi="Times New Roman" w:cs="Times New Roman"/>
                <w:b/>
                <w:bCs/>
                <w:u w:val="single" w:color="auto"/>
              </w:rPr>
            </w:pPr>
            <w:r>
              <w:rPr>
                <w:rFonts w:hint="default" w:ascii="Times New Roman" w:hAnsi="Times New Roman" w:cs="Times New Roman"/>
                <w:bCs/>
                <w:sz w:val="24"/>
                <w:u w:val="single" w:color="auto"/>
              </w:rPr>
              <w:t>本项目水平衡情况如图1-1所示。</w:t>
            </w:r>
            <w:r>
              <w:rPr>
                <w:rFonts w:hint="default" w:ascii="Times New Roman" w:hAnsi="Times New Roman" w:cs="Times New Roman"/>
                <w:sz w:val="24"/>
                <w:u w:val="single" w:color="auto"/>
                <w:lang w:eastAsia="zh-CN"/>
              </w:rPr>
              <w:pict>
                <v:shape id="_x0000_s1026" o:spid="_x0000_s1026" o:spt="75" type="#_x0000_t75" style="position:absolute;left:0pt;margin-left:3.4pt;margin-top:14.25pt;height:157.95pt;width:451.25pt;z-index:251663360;mso-width-relative:page;mso-height-relative:page;" o:ole="t" filled="f" o:preferrelative="t" stroked="f" coordsize="21600,21600">
                  <v:path/>
                  <v:fill on="f" focussize="0,0"/>
                  <v:stroke on="f"/>
                  <v:imagedata r:id="rId11" o:title=""/>
                  <o:lock v:ext="edit" aspectratio="f"/>
                </v:shape>
                <o:OLEObject Type="Embed" ProgID="Visio.Drawing.11" ShapeID="_x0000_s1026" DrawAspect="Content" ObjectID="_1468075725" r:id="rId10">
                  <o:LockedField>false</o:LockedField>
                </o:OLEObject>
              </w:pict>
            </w:r>
          </w:p>
          <w:p>
            <w:pPr>
              <w:pStyle w:val="173"/>
              <w:spacing w:line="360" w:lineRule="auto"/>
              <w:ind w:firstLineChars="83"/>
              <w:jc w:val="center"/>
              <w:rPr>
                <w:rFonts w:hint="default" w:ascii="Times New Roman" w:hAnsi="Times New Roman" w:cs="Times New Roman"/>
                <w:b/>
                <w:bCs/>
                <w:u w:val="single" w:color="auto"/>
              </w:rPr>
            </w:pPr>
          </w:p>
          <w:p>
            <w:pPr>
              <w:pStyle w:val="173"/>
              <w:spacing w:line="360" w:lineRule="auto"/>
              <w:ind w:firstLineChars="83"/>
              <w:jc w:val="center"/>
              <w:rPr>
                <w:rFonts w:hint="default" w:ascii="Times New Roman" w:hAnsi="Times New Roman" w:cs="Times New Roman"/>
                <w:b/>
                <w:bCs/>
                <w:u w:val="single" w:color="auto"/>
              </w:rPr>
            </w:pPr>
          </w:p>
          <w:p>
            <w:pPr>
              <w:pStyle w:val="173"/>
              <w:spacing w:line="360" w:lineRule="auto"/>
              <w:ind w:firstLineChars="83"/>
              <w:jc w:val="center"/>
              <w:rPr>
                <w:rFonts w:hint="default" w:ascii="Times New Roman" w:hAnsi="Times New Roman" w:cs="Times New Roman"/>
                <w:b/>
                <w:bCs/>
                <w:u w:val="single" w:color="auto"/>
              </w:rPr>
            </w:pPr>
          </w:p>
          <w:p>
            <w:pPr>
              <w:pStyle w:val="173"/>
              <w:spacing w:line="360" w:lineRule="auto"/>
              <w:ind w:firstLineChars="83"/>
              <w:jc w:val="center"/>
              <w:rPr>
                <w:rFonts w:hint="default" w:ascii="Times New Roman" w:hAnsi="Times New Roman" w:cs="Times New Roman"/>
                <w:b/>
                <w:bCs/>
                <w:u w:val="single" w:color="auto"/>
              </w:rPr>
            </w:pPr>
          </w:p>
          <w:p>
            <w:pPr>
              <w:pStyle w:val="173"/>
              <w:spacing w:line="360" w:lineRule="auto"/>
              <w:ind w:firstLineChars="83"/>
              <w:jc w:val="center"/>
              <w:rPr>
                <w:rFonts w:hint="default" w:ascii="Times New Roman" w:hAnsi="Times New Roman" w:cs="Times New Roman"/>
                <w:b/>
                <w:bCs/>
                <w:u w:val="single" w:color="auto"/>
              </w:rPr>
            </w:pPr>
          </w:p>
          <w:p>
            <w:pPr>
              <w:pStyle w:val="173"/>
              <w:spacing w:line="360" w:lineRule="auto"/>
              <w:ind w:firstLineChars="83"/>
              <w:jc w:val="center"/>
              <w:rPr>
                <w:rFonts w:hint="default" w:ascii="Times New Roman" w:hAnsi="Times New Roman" w:cs="Times New Roman"/>
                <w:b/>
                <w:bCs/>
                <w:u w:val="single" w:color="auto"/>
              </w:rPr>
            </w:pPr>
          </w:p>
          <w:p>
            <w:pPr>
              <w:pStyle w:val="173"/>
              <w:spacing w:line="360" w:lineRule="auto"/>
              <w:ind w:firstLineChars="83"/>
              <w:jc w:val="center"/>
              <w:rPr>
                <w:rFonts w:hint="default" w:ascii="Times New Roman" w:hAnsi="Times New Roman" w:cs="Times New Roman"/>
                <w:b/>
                <w:bCs/>
                <w:u w:val="single" w:color="auto"/>
              </w:rPr>
            </w:pPr>
          </w:p>
          <w:p>
            <w:pPr>
              <w:pStyle w:val="173"/>
              <w:spacing w:line="360" w:lineRule="auto"/>
              <w:ind w:firstLineChars="83"/>
              <w:jc w:val="center"/>
              <w:rPr>
                <w:rFonts w:hint="default" w:ascii="Times New Roman" w:hAnsi="Times New Roman" w:cs="Times New Roman"/>
                <w:b/>
                <w:bCs/>
                <w:u w:val="single" w:color="auto"/>
              </w:rPr>
            </w:pPr>
          </w:p>
          <w:p>
            <w:pPr>
              <w:pStyle w:val="173"/>
              <w:spacing w:line="360" w:lineRule="auto"/>
              <w:ind w:firstLineChars="83"/>
              <w:jc w:val="center"/>
              <w:rPr>
                <w:rFonts w:hint="default" w:ascii="Times New Roman" w:hAnsi="Times New Roman" w:cs="Times New Roman"/>
                <w:b/>
                <w:sz w:val="24"/>
                <w:szCs w:val="24"/>
                <w:u w:val="single" w:color="auto"/>
              </w:rPr>
            </w:pPr>
            <w:r>
              <w:rPr>
                <w:rFonts w:hint="default" w:ascii="Times New Roman" w:hAnsi="Times New Roman" w:cs="Times New Roman"/>
                <w:b/>
                <w:bCs/>
                <w:u w:val="single" w:color="auto"/>
              </w:rPr>
              <w:t>图1-1  项目水平衡图</w:t>
            </w:r>
          </w:p>
          <w:p>
            <w:pPr>
              <w:spacing w:line="360" w:lineRule="auto"/>
              <w:ind w:firstLine="482" w:firstLineChars="200"/>
              <w:jc w:val="left"/>
              <w:rPr>
                <w:rFonts w:hint="default" w:ascii="Times New Roman" w:hAnsi="Times New Roman" w:cs="Times New Roman"/>
                <w:b/>
                <w:sz w:val="24"/>
                <w:szCs w:val="24"/>
                <w:u w:val="none" w:color="auto"/>
              </w:rPr>
            </w:pPr>
            <w:r>
              <w:rPr>
                <w:rFonts w:hint="eastAsia" w:cs="Times New Roman"/>
                <w:b/>
                <w:sz w:val="24"/>
                <w:szCs w:val="24"/>
                <w:u w:val="none" w:color="auto"/>
                <w:lang w:val="en-US" w:eastAsia="zh-CN"/>
              </w:rPr>
              <w:t>8</w:t>
            </w:r>
            <w:r>
              <w:rPr>
                <w:rFonts w:hint="default" w:ascii="Times New Roman" w:hAnsi="Times New Roman" w:cs="Times New Roman"/>
                <w:b/>
                <w:sz w:val="24"/>
                <w:szCs w:val="24"/>
                <w:u w:val="none" w:color="auto"/>
              </w:rPr>
              <w:t>、劳动定员及生产制度</w:t>
            </w:r>
          </w:p>
          <w:p>
            <w:pPr>
              <w:tabs>
                <w:tab w:val="left" w:pos="630"/>
              </w:tabs>
              <w:spacing w:line="360" w:lineRule="auto"/>
              <w:ind w:firstLine="480" w:firstLineChars="200"/>
              <w:jc w:val="left"/>
              <w:rPr>
                <w:rFonts w:hint="default" w:ascii="Times New Roman" w:hAnsi="Times New Roman" w:cs="Times New Roman"/>
                <w:sz w:val="24"/>
                <w:u w:val="none" w:color="auto"/>
              </w:rPr>
            </w:pPr>
            <w:r>
              <w:rPr>
                <w:rFonts w:hint="default" w:ascii="Times New Roman" w:hAnsi="Times New Roman" w:cs="Times New Roman"/>
                <w:sz w:val="24"/>
                <w:u w:val="none" w:color="auto"/>
              </w:rPr>
              <w:t>劳动定员：项目劳动定员总数为</w:t>
            </w:r>
            <w:r>
              <w:rPr>
                <w:rFonts w:hint="eastAsia" w:cs="Times New Roman"/>
                <w:sz w:val="24"/>
                <w:u w:val="none" w:color="auto"/>
                <w:lang w:val="en-US" w:eastAsia="zh-CN"/>
              </w:rPr>
              <w:t>25</w:t>
            </w:r>
            <w:r>
              <w:rPr>
                <w:rFonts w:hint="default" w:ascii="Times New Roman" w:hAnsi="Times New Roman" w:cs="Times New Roman"/>
                <w:sz w:val="24"/>
                <w:u w:val="none" w:color="auto"/>
              </w:rPr>
              <w:t>人。年工作300天，每班运行8小时。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85" w:type="dxa"/>
            <w:bottom w:w="0" w:type="dxa"/>
            <w:right w:w="85" w:type="dxa"/>
          </w:tblCellMar>
        </w:tblPrEx>
        <w:trPr>
          <w:trHeight w:val="1549" w:hRule="atLeast"/>
          <w:jc w:val="center"/>
        </w:trPr>
        <w:tc>
          <w:tcPr>
            <w:tcW w:w="9268" w:type="dxa"/>
            <w:gridSpan w:val="7"/>
          </w:tcPr>
          <w:p>
            <w:pPr>
              <w:adjustRightInd w:val="0"/>
              <w:snapToGrid w:val="0"/>
              <w:spacing w:line="360" w:lineRule="auto"/>
              <w:rPr>
                <w:rFonts w:hint="default" w:ascii="Times New Roman" w:hAnsi="Times New Roman" w:cs="Times New Roman"/>
                <w:b/>
                <w:bCs/>
                <w:sz w:val="30"/>
                <w:szCs w:val="30"/>
                <w:u w:val="none" w:color="auto"/>
              </w:rPr>
            </w:pPr>
            <w:r>
              <w:rPr>
                <w:rFonts w:hint="default" w:ascii="Times New Roman" w:hAnsi="Times New Roman" w:cs="Times New Roman"/>
                <w:b/>
                <w:bCs/>
                <w:sz w:val="30"/>
                <w:szCs w:val="30"/>
                <w:u w:val="none" w:color="auto"/>
              </w:rPr>
              <w:t>与本项目有关的原有污染情况及主要环境问题：</w:t>
            </w:r>
          </w:p>
          <w:p>
            <w:pPr>
              <w:spacing w:line="360" w:lineRule="auto"/>
              <w:ind w:firstLine="600" w:firstLineChars="250"/>
              <w:rPr>
                <w:rFonts w:hint="eastAsia" w:ascii="Times New Roman" w:hAnsi="Times New Roman" w:eastAsia="宋体" w:cs="Times New Roman"/>
                <w:bCs/>
                <w:sz w:val="24"/>
                <w:u w:val="none" w:color="auto"/>
                <w:lang w:val="en-US" w:eastAsia="zh-CN"/>
              </w:rPr>
            </w:pPr>
            <w:r>
              <w:rPr>
                <w:rFonts w:hint="default" w:ascii="Times New Roman" w:hAnsi="Times New Roman" w:cs="Times New Roman"/>
                <w:bCs/>
                <w:sz w:val="24"/>
                <w:u w:val="none" w:color="auto"/>
              </w:rPr>
              <w:t>本项目</w:t>
            </w:r>
            <w:r>
              <w:rPr>
                <w:rFonts w:hint="eastAsia" w:cs="Times New Roman"/>
                <w:bCs/>
                <w:sz w:val="24"/>
                <w:u w:val="none" w:color="auto"/>
                <w:lang w:eastAsia="zh-CN"/>
              </w:rPr>
              <w:t>购买位于</w:t>
            </w:r>
            <w:r>
              <w:rPr>
                <w:rFonts w:hint="eastAsia" w:cs="Times New Roman"/>
                <w:sz w:val="24"/>
                <w:szCs w:val="24"/>
                <w:u w:val="none" w:color="auto"/>
                <w:lang w:eastAsia="zh-CN"/>
              </w:rPr>
              <w:t>岳阳市湘阴县金龙新区工业园湖南卓达置业有限公司一期7A栋</w:t>
            </w:r>
            <w:r>
              <w:rPr>
                <w:rFonts w:hint="default" w:ascii="Times New Roman" w:hAnsi="Times New Roman" w:cs="Times New Roman"/>
                <w:sz w:val="24"/>
                <w:szCs w:val="24"/>
                <w:u w:val="none" w:color="auto"/>
              </w:rPr>
              <w:t>现有厂房</w:t>
            </w:r>
            <w:r>
              <w:rPr>
                <w:rFonts w:hint="default" w:ascii="Times New Roman" w:hAnsi="Times New Roman" w:cs="Times New Roman"/>
                <w:bCs/>
                <w:sz w:val="24"/>
                <w:u w:val="none" w:color="auto"/>
              </w:rPr>
              <w:t>进行生产</w:t>
            </w:r>
            <w:r>
              <w:rPr>
                <w:rFonts w:hint="eastAsia" w:cs="Times New Roman"/>
                <w:bCs/>
                <w:sz w:val="24"/>
                <w:u w:val="none" w:color="auto"/>
                <w:lang w:val="en-US" w:eastAsia="zh-CN"/>
              </w:rPr>
              <w:t>。</w:t>
            </w:r>
          </w:p>
          <w:p>
            <w:pPr>
              <w:spacing w:line="360" w:lineRule="auto"/>
              <w:ind w:firstLine="600" w:firstLineChars="250"/>
              <w:rPr>
                <w:rFonts w:hint="default" w:ascii="Times New Roman" w:hAnsi="Times New Roman" w:cs="Times New Roman"/>
                <w:sz w:val="24"/>
                <w:u w:val="none" w:color="auto"/>
              </w:rPr>
            </w:pPr>
            <w:r>
              <w:rPr>
                <w:rFonts w:hint="eastAsia" w:cs="Times New Roman"/>
                <w:sz w:val="24"/>
                <w:u w:val="none" w:color="auto"/>
                <w:lang w:val="en-US" w:eastAsia="zh-CN"/>
              </w:rPr>
              <w:t>1、</w:t>
            </w:r>
            <w:r>
              <w:rPr>
                <w:rFonts w:hint="default" w:ascii="Times New Roman" w:hAnsi="Times New Roman" w:cs="Times New Roman"/>
                <w:sz w:val="24"/>
                <w:u w:val="none" w:color="auto"/>
              </w:rPr>
              <w:t>与项目有关的原有污染情况</w:t>
            </w:r>
          </w:p>
          <w:p>
            <w:pPr>
              <w:spacing w:line="360" w:lineRule="auto"/>
              <w:ind w:firstLine="600" w:firstLineChars="250"/>
              <w:rPr>
                <w:rFonts w:hint="default" w:ascii="Times New Roman" w:hAnsi="Times New Roman" w:cs="Times New Roman"/>
                <w:sz w:val="24"/>
                <w:u w:val="none" w:color="auto"/>
              </w:rPr>
            </w:pPr>
            <w:r>
              <w:rPr>
                <w:rFonts w:hint="eastAsia" w:cs="Times New Roman"/>
                <w:sz w:val="24"/>
                <w:u w:val="none" w:color="auto"/>
                <w:lang w:eastAsia="zh-CN"/>
              </w:rPr>
              <w:t>本项目属于新建项目，无与本项目有关的原有污染情况</w:t>
            </w:r>
            <w:r>
              <w:rPr>
                <w:rFonts w:hint="default" w:ascii="Times New Roman" w:hAnsi="Times New Roman" w:cs="Times New Roman"/>
                <w:sz w:val="24"/>
                <w:u w:val="none" w:color="auto"/>
              </w:rPr>
              <w:t>。</w:t>
            </w:r>
          </w:p>
          <w:p>
            <w:pPr>
              <w:spacing w:line="360" w:lineRule="auto"/>
              <w:ind w:firstLine="600" w:firstLineChars="250"/>
              <w:rPr>
                <w:rFonts w:hint="eastAsia" w:ascii="Times New Roman" w:hAnsi="Times New Roman" w:eastAsia="宋体" w:cs="Times New Roman"/>
                <w:sz w:val="24"/>
                <w:u w:val="none" w:color="auto"/>
                <w:lang w:eastAsia="zh-CN"/>
              </w:rPr>
            </w:pPr>
            <w:r>
              <w:rPr>
                <w:rFonts w:hint="eastAsia" w:cs="Times New Roman"/>
                <w:sz w:val="24"/>
                <w:u w:val="none" w:color="auto"/>
                <w:lang w:val="en-US" w:eastAsia="zh-CN"/>
              </w:rPr>
              <w:t>2、</w:t>
            </w:r>
            <w:r>
              <w:rPr>
                <w:rFonts w:hint="eastAsia" w:cs="Times New Roman"/>
                <w:sz w:val="24"/>
                <w:u w:val="none" w:color="auto"/>
                <w:lang w:eastAsia="zh-CN"/>
              </w:rPr>
              <w:t>项目周边污染源</w:t>
            </w:r>
          </w:p>
          <w:p>
            <w:pPr>
              <w:spacing w:line="360" w:lineRule="auto"/>
              <w:ind w:firstLine="600" w:firstLineChars="250"/>
              <w:rPr>
                <w:rFonts w:hint="eastAsia" w:ascii="Times New Roman" w:hAnsi="Times New Roman" w:eastAsia="宋体" w:cs="Times New Roman"/>
                <w:sz w:val="24"/>
                <w:u w:val="none" w:color="auto"/>
                <w:lang w:eastAsia="zh-CN"/>
              </w:rPr>
            </w:pPr>
            <w:r>
              <w:rPr>
                <w:rFonts w:hint="eastAsia" w:cs="Times New Roman"/>
                <w:sz w:val="24"/>
                <w:u w:val="none" w:color="auto"/>
                <w:lang w:eastAsia="zh-CN"/>
              </w:rPr>
              <w:t>项目周边主要环境问题为周边企业产生的废水、废气、噪声。根据走访了解，周边企业废水、废气、噪声均经处理后达标排放，生活垃圾交由环卫部门进行处理。故可知，项目周边无明显污染。</w:t>
            </w: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cs="Times New Roman"/>
                <w:bCs/>
                <w:sz w:val="24"/>
                <w:u w:val="none" w:color="auto"/>
                <w:lang w:eastAsia="zh-CN"/>
              </w:rPr>
            </w:pPr>
          </w:p>
          <w:p>
            <w:pPr>
              <w:snapToGrid w:val="0"/>
              <w:spacing w:line="360" w:lineRule="auto"/>
              <w:ind w:firstLine="470" w:firstLineChars="196"/>
              <w:rPr>
                <w:rFonts w:hint="eastAsia" w:ascii="Times New Roman" w:hAnsi="Times New Roman" w:eastAsia="宋体" w:cs="Times New Roman"/>
                <w:bCs/>
                <w:sz w:val="24"/>
                <w:u w:val="none" w:color="auto"/>
                <w:lang w:eastAsia="zh-CN"/>
              </w:rPr>
            </w:pPr>
          </w:p>
          <w:p>
            <w:pPr>
              <w:pStyle w:val="34"/>
              <w:rPr>
                <w:rFonts w:hint="default" w:ascii="Times New Roman" w:hAnsi="Times New Roman" w:cs="Times New Roman"/>
                <w:u w:val="none" w:color="auto"/>
              </w:rPr>
            </w:pPr>
          </w:p>
          <w:p>
            <w:pPr>
              <w:rPr>
                <w:rFonts w:hint="default" w:ascii="Times New Roman" w:hAnsi="Times New Roman" w:cs="Times New Roman"/>
                <w:u w:val="none" w:color="auto"/>
              </w:rPr>
            </w:pPr>
          </w:p>
        </w:tc>
      </w:tr>
    </w:tbl>
    <w:p>
      <w:pPr>
        <w:snapToGrid w:val="0"/>
        <w:spacing w:before="120"/>
        <w:outlineLvl w:val="0"/>
        <w:rPr>
          <w:rFonts w:eastAsia="黑体"/>
          <w:sz w:val="32"/>
          <w:u w:val="none" w:color="auto"/>
        </w:rPr>
        <w:sectPr>
          <w:headerReference r:id="rId6" w:type="default"/>
          <w:footerReference r:id="rId7" w:type="default"/>
          <w:pgSz w:w="11906" w:h="16838"/>
          <w:pgMar w:top="1418" w:right="1134" w:bottom="1418" w:left="1474" w:header="851" w:footer="992" w:gutter="0"/>
          <w:pgBorders>
            <w:top w:val="none" w:sz="0" w:space="0"/>
            <w:left w:val="none" w:sz="0" w:space="0"/>
            <w:bottom w:val="none" w:sz="0" w:space="0"/>
            <w:right w:val="none" w:sz="0" w:space="0"/>
          </w:pgBorders>
          <w:pgNumType w:start="1"/>
          <w:cols w:space="720" w:num="1"/>
          <w:docGrid w:linePitch="312" w:charSpace="55034"/>
        </w:sectPr>
      </w:pPr>
    </w:p>
    <w:p>
      <w:pPr>
        <w:snapToGrid w:val="0"/>
        <w:outlineLvl w:val="0"/>
        <w:rPr>
          <w:rFonts w:eastAsia="黑体"/>
          <w:kern w:val="24"/>
          <w:sz w:val="32"/>
          <w:u w:val="none" w:color="auto"/>
        </w:rPr>
      </w:pPr>
      <w:bookmarkStart w:id="1" w:name="_Toc24476"/>
      <w:r>
        <w:rPr>
          <w:rFonts w:hint="eastAsia" w:eastAsia="黑体"/>
          <w:sz w:val="32"/>
          <w:u w:val="none" w:color="auto"/>
        </w:rPr>
        <w:t>二、</w:t>
      </w:r>
      <w:r>
        <w:rPr>
          <w:rFonts w:eastAsia="黑体"/>
          <w:sz w:val="32"/>
          <w:u w:val="none" w:color="auto"/>
        </w:rPr>
        <w:t>建设项目所在地自然环境简况</w:t>
      </w:r>
      <w:bookmarkEnd w:id="1"/>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85" w:type="dxa"/>
          <w:bottom w:w="0" w:type="dxa"/>
          <w:right w:w="85" w:type="dxa"/>
        </w:tblCellMar>
      </w:tblPr>
      <w:tblGrid>
        <w:gridCol w:w="92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85" w:type="dxa"/>
            <w:bottom w:w="0" w:type="dxa"/>
            <w:right w:w="85" w:type="dxa"/>
          </w:tblCellMar>
        </w:tblPrEx>
        <w:trPr>
          <w:trHeight w:val="13005" w:hRule="atLeast"/>
          <w:jc w:val="center"/>
        </w:trPr>
        <w:tc>
          <w:tcPr>
            <w:tcW w:w="9268" w:type="dxa"/>
          </w:tcPr>
          <w:p>
            <w:pPr>
              <w:adjustRightInd w:val="0"/>
              <w:snapToGrid w:val="0"/>
              <w:spacing w:line="360" w:lineRule="auto"/>
              <w:rPr>
                <w:b/>
                <w:bCs/>
                <w:sz w:val="24"/>
                <w:szCs w:val="24"/>
                <w:u w:val="none" w:color="auto"/>
              </w:rPr>
            </w:pPr>
            <w:r>
              <w:rPr>
                <w:rFonts w:hint="eastAsia"/>
                <w:b/>
                <w:bCs/>
                <w:sz w:val="24"/>
                <w:szCs w:val="24"/>
                <w:u w:val="none" w:color="auto"/>
              </w:rPr>
              <w:t>一、</w:t>
            </w:r>
            <w:r>
              <w:rPr>
                <w:b/>
                <w:bCs/>
                <w:sz w:val="24"/>
                <w:szCs w:val="24"/>
                <w:u w:val="none" w:color="auto"/>
              </w:rPr>
              <w:t>自然环境简况（地形、地貌、地质、气候、气象、水文、植被、生物多样性等）：</w:t>
            </w:r>
          </w:p>
          <w:p>
            <w:pPr>
              <w:adjustRightInd w:val="0"/>
              <w:snapToGrid w:val="0"/>
              <w:spacing w:line="360" w:lineRule="auto"/>
              <w:ind w:firstLine="466" w:firstLineChars="200"/>
              <w:rPr>
                <w:b/>
                <w:bCs/>
                <w:sz w:val="24"/>
                <w:szCs w:val="24"/>
                <w:u w:val="none" w:color="auto"/>
              </w:rPr>
            </w:pPr>
            <w:r>
              <w:rPr>
                <w:b/>
                <w:bCs/>
                <w:sz w:val="24"/>
                <w:szCs w:val="24"/>
                <w:u w:val="none" w:color="auto"/>
              </w:rPr>
              <w:t>1、地理位置与交通</w:t>
            </w:r>
          </w:p>
          <w:p>
            <w:pPr>
              <w:spacing w:line="360" w:lineRule="auto"/>
              <w:ind w:firstLine="480"/>
              <w:rPr>
                <w:bCs/>
                <w:sz w:val="24"/>
                <w:u w:val="none" w:color="auto"/>
              </w:rPr>
            </w:pPr>
            <w:r>
              <w:rPr>
                <w:bCs/>
                <w:sz w:val="24"/>
                <w:u w:val="none" w:color="auto"/>
              </w:rPr>
              <w:t>湘阴县位于湖南省东北部、居湘、资两水尾间，濒南洞庭湖。东邻汨罗市、西接湘阴县，南界望城县，北抵沅江市、屈原行政区，介于东经112°30′~113°02′，北纬28°30′~29°03′之间。南北长61公里，东西宽51.3公里，面积1581.5平方公里，距湘阴县区仅50公里，岳阳市区110公里，经长湘公路至长沙仅45公里，交通十分便利。</w:t>
            </w:r>
          </w:p>
          <w:p>
            <w:pPr>
              <w:snapToGrid w:val="0"/>
              <w:spacing w:line="360" w:lineRule="auto"/>
              <w:ind w:firstLine="457" w:firstLineChars="196"/>
              <w:rPr>
                <w:bCs/>
                <w:sz w:val="24"/>
                <w:u w:val="none" w:color="auto"/>
              </w:rPr>
            </w:pPr>
            <w:r>
              <w:rPr>
                <w:bCs/>
                <w:sz w:val="24"/>
                <w:u w:val="none" w:color="auto"/>
              </w:rPr>
              <w:t>本项目位于</w:t>
            </w:r>
            <w:r>
              <w:rPr>
                <w:rFonts w:hint="eastAsia"/>
                <w:bCs/>
                <w:sz w:val="24"/>
                <w:u w:val="none" w:color="auto"/>
                <w:lang w:eastAsia="zh-CN"/>
              </w:rPr>
              <w:t>岳阳市湘阴县金龙新区工业园湖南卓达置业有限公司一期7A栋</w:t>
            </w:r>
            <w:r>
              <w:rPr>
                <w:bCs/>
                <w:sz w:val="24"/>
                <w:u w:val="none" w:color="auto"/>
              </w:rPr>
              <w:t>，其具体位置见附图1所示。</w:t>
            </w:r>
          </w:p>
          <w:p>
            <w:pPr>
              <w:adjustRightInd w:val="0"/>
              <w:snapToGrid w:val="0"/>
              <w:spacing w:line="360" w:lineRule="auto"/>
              <w:ind w:firstLine="466" w:firstLineChars="200"/>
              <w:rPr>
                <w:b/>
                <w:bCs/>
                <w:sz w:val="24"/>
                <w:szCs w:val="24"/>
                <w:u w:val="none" w:color="auto"/>
              </w:rPr>
            </w:pPr>
            <w:r>
              <w:rPr>
                <w:b/>
                <w:bCs/>
                <w:sz w:val="24"/>
                <w:szCs w:val="24"/>
                <w:u w:val="none" w:color="auto"/>
              </w:rPr>
              <w:t>2、地形、地貌、地质</w:t>
            </w:r>
          </w:p>
          <w:p>
            <w:pPr>
              <w:spacing w:line="360" w:lineRule="auto"/>
              <w:ind w:firstLine="480"/>
              <w:rPr>
                <w:bCs/>
                <w:sz w:val="24"/>
                <w:u w:val="none" w:color="auto"/>
              </w:rPr>
            </w:pPr>
            <w:r>
              <w:rPr>
                <w:rFonts w:hint="eastAsia"/>
                <w:bCs/>
                <w:sz w:val="24"/>
                <w:u w:val="none" w:color="auto"/>
              </w:rPr>
              <w:t>湘阴地块属新华夏构造体系的第二隆起带，所处地质状况，使其地貌呈低山、岗地、平原三种形态，具有如下三个特征：其一、地势东南高、西北低。位居幕阜山余脉走向洞庭湖凹陷处的过渡地带，地势至东南向西北递降，形成一个微向洞庭湖碰盆中心的倾斜面。其二、以滨湖平原为主体，成块状分布。地处湘江大断裂带，其东盘上升，基岩裸露，构成低山、岗地；西盘下降，阶台下切，形成滨湖平源。全县除去江河湖泊及其他水面，滨湖、江河、溪谷三种平原共</w:t>
            </w:r>
            <w:r>
              <w:rPr>
                <w:bCs/>
                <w:sz w:val="24"/>
                <w:u w:val="none" w:color="auto"/>
              </w:rPr>
              <w:t>702.11</w:t>
            </w:r>
            <w:r>
              <w:rPr>
                <w:rFonts w:hint="eastAsia"/>
                <w:bCs/>
                <w:sz w:val="24"/>
                <w:u w:val="none" w:color="auto"/>
              </w:rPr>
              <w:t>平方公里，占全县总面积的</w:t>
            </w:r>
            <w:r>
              <w:rPr>
                <w:bCs/>
                <w:sz w:val="24"/>
                <w:u w:val="none" w:color="auto"/>
              </w:rPr>
              <w:t>44.4%</w:t>
            </w:r>
            <w:r>
              <w:rPr>
                <w:rFonts w:hint="eastAsia"/>
                <w:bCs/>
                <w:sz w:val="24"/>
                <w:u w:val="none" w:color="auto"/>
              </w:rPr>
              <w:t>；岗地占</w:t>
            </w:r>
            <w:r>
              <w:rPr>
                <w:bCs/>
                <w:sz w:val="24"/>
                <w:u w:val="none" w:color="auto"/>
              </w:rPr>
              <w:t>13.59%</w:t>
            </w:r>
            <w:r>
              <w:rPr>
                <w:rFonts w:hint="eastAsia"/>
                <w:bCs/>
                <w:sz w:val="24"/>
                <w:u w:val="none" w:color="auto"/>
              </w:rPr>
              <w:t>；低山占</w:t>
            </w:r>
            <w:r>
              <w:rPr>
                <w:bCs/>
                <w:sz w:val="24"/>
                <w:u w:val="none" w:color="auto"/>
              </w:rPr>
              <w:t>1.51%</w:t>
            </w:r>
            <w:r>
              <w:rPr>
                <w:rFonts w:hint="eastAsia"/>
                <w:bCs/>
                <w:sz w:val="24"/>
                <w:u w:val="none" w:color="auto"/>
              </w:rPr>
              <w:t>。其三、河湖交会，水域广阔。湘江自南而北贯穿全景，自然分成东西两部，江东为东乡，为低山岗丘地，岗丘婉蜒，地形起伏；江西为西乡，属滨湖平原地，河渠纵横，湖沼塘堰星罗棋布。全县国土总面积</w:t>
            </w:r>
            <w:r>
              <w:rPr>
                <w:bCs/>
                <w:sz w:val="24"/>
                <w:u w:val="none" w:color="auto"/>
              </w:rPr>
              <w:t>1581.5</w:t>
            </w:r>
            <w:r>
              <w:rPr>
                <w:rFonts w:hint="eastAsia"/>
                <w:bCs/>
                <w:sz w:val="24"/>
                <w:u w:val="none" w:color="auto"/>
              </w:rPr>
              <w:t>平方公里，湖区、山丘区、湖洲分别为</w:t>
            </w:r>
            <w:r>
              <w:rPr>
                <w:bCs/>
                <w:sz w:val="24"/>
                <w:u w:val="none" w:color="auto"/>
              </w:rPr>
              <w:t>675.0</w:t>
            </w:r>
            <w:r>
              <w:rPr>
                <w:rFonts w:hint="eastAsia"/>
                <w:bCs/>
                <w:sz w:val="24"/>
                <w:u w:val="none" w:color="auto"/>
              </w:rPr>
              <w:t>平方公里、</w:t>
            </w:r>
            <w:r>
              <w:rPr>
                <w:bCs/>
                <w:sz w:val="24"/>
                <w:u w:val="none" w:color="auto"/>
              </w:rPr>
              <w:t>484.6</w:t>
            </w:r>
            <w:r>
              <w:rPr>
                <w:rFonts w:hint="eastAsia"/>
                <w:bCs/>
                <w:sz w:val="24"/>
                <w:u w:val="none" w:color="auto"/>
              </w:rPr>
              <w:t>平方公里、</w:t>
            </w:r>
            <w:r>
              <w:rPr>
                <w:bCs/>
                <w:sz w:val="24"/>
                <w:u w:val="none" w:color="auto"/>
              </w:rPr>
              <w:t>421.9</w:t>
            </w:r>
            <w:r>
              <w:rPr>
                <w:rFonts w:hint="eastAsia"/>
                <w:bCs/>
                <w:sz w:val="24"/>
                <w:u w:val="none" w:color="auto"/>
              </w:rPr>
              <w:t>平方公里。水域面积</w:t>
            </w:r>
            <w:r>
              <w:rPr>
                <w:bCs/>
                <w:sz w:val="24"/>
                <w:u w:val="none" w:color="auto"/>
              </w:rPr>
              <w:t>98.56</w:t>
            </w:r>
            <w:r>
              <w:rPr>
                <w:rFonts w:hint="eastAsia"/>
                <w:bCs/>
                <w:sz w:val="24"/>
                <w:u w:val="none" w:color="auto"/>
              </w:rPr>
              <w:t>万亩，占全县总面积的</w:t>
            </w:r>
            <w:r>
              <w:rPr>
                <w:bCs/>
                <w:sz w:val="24"/>
                <w:u w:val="none" w:color="auto"/>
              </w:rPr>
              <w:t>41.56%</w:t>
            </w:r>
            <w:r>
              <w:rPr>
                <w:rFonts w:hint="eastAsia"/>
                <w:bCs/>
                <w:sz w:val="24"/>
                <w:u w:val="none" w:color="auto"/>
              </w:rPr>
              <w:t>。各类地貌中的水面面积占总面积的百分比分别为：滨湖平原为</w:t>
            </w:r>
            <w:r>
              <w:rPr>
                <w:bCs/>
                <w:sz w:val="24"/>
                <w:u w:val="none" w:color="auto"/>
              </w:rPr>
              <w:t>89.06</w:t>
            </w:r>
            <w:r>
              <w:rPr>
                <w:rFonts w:hint="eastAsia"/>
                <w:bCs/>
                <w:sz w:val="24"/>
                <w:u w:val="none" w:color="auto"/>
              </w:rPr>
              <w:t>万亩，占</w:t>
            </w:r>
            <w:r>
              <w:rPr>
                <w:bCs/>
                <w:sz w:val="24"/>
                <w:u w:val="none" w:color="auto"/>
              </w:rPr>
              <w:t>53.99%</w:t>
            </w:r>
            <w:r>
              <w:rPr>
                <w:rFonts w:hint="eastAsia"/>
                <w:bCs/>
                <w:sz w:val="24"/>
                <w:u w:val="none" w:color="auto"/>
              </w:rPr>
              <w:t>；江河平原为</w:t>
            </w:r>
            <w:r>
              <w:rPr>
                <w:bCs/>
                <w:sz w:val="24"/>
                <w:u w:val="none" w:color="auto"/>
              </w:rPr>
              <w:t>2.37</w:t>
            </w:r>
            <w:r>
              <w:rPr>
                <w:rFonts w:hint="eastAsia"/>
                <w:bCs/>
                <w:sz w:val="24"/>
                <w:u w:val="none" w:color="auto"/>
              </w:rPr>
              <w:t>万亩，占</w:t>
            </w:r>
            <w:r>
              <w:rPr>
                <w:bCs/>
                <w:sz w:val="24"/>
                <w:u w:val="none" w:color="auto"/>
              </w:rPr>
              <w:t>21.68%</w:t>
            </w:r>
            <w:r>
              <w:rPr>
                <w:rFonts w:hint="eastAsia"/>
                <w:bCs/>
                <w:sz w:val="24"/>
                <w:u w:val="none" w:color="auto"/>
              </w:rPr>
              <w:t>；溪谷平原为</w:t>
            </w:r>
            <w:r>
              <w:rPr>
                <w:bCs/>
                <w:sz w:val="24"/>
                <w:u w:val="none" w:color="auto"/>
              </w:rPr>
              <w:t>3.82</w:t>
            </w:r>
            <w:r>
              <w:rPr>
                <w:rFonts w:hint="eastAsia"/>
                <w:bCs/>
                <w:sz w:val="24"/>
                <w:u w:val="none" w:color="auto"/>
              </w:rPr>
              <w:t>万亩，占</w:t>
            </w:r>
            <w:r>
              <w:rPr>
                <w:bCs/>
                <w:sz w:val="24"/>
                <w:u w:val="none" w:color="auto"/>
              </w:rPr>
              <w:t>15.54%</w:t>
            </w:r>
            <w:r>
              <w:rPr>
                <w:rFonts w:hint="eastAsia"/>
                <w:bCs/>
                <w:sz w:val="24"/>
                <w:u w:val="none" w:color="auto"/>
              </w:rPr>
              <w:t>；岗地为</w:t>
            </w:r>
            <w:r>
              <w:rPr>
                <w:bCs/>
                <w:sz w:val="24"/>
                <w:u w:val="none" w:color="auto"/>
              </w:rPr>
              <w:t>2.95</w:t>
            </w:r>
            <w:r>
              <w:rPr>
                <w:rFonts w:hint="eastAsia"/>
                <w:bCs/>
                <w:sz w:val="24"/>
                <w:u w:val="none" w:color="auto"/>
              </w:rPr>
              <w:t>万亩，占</w:t>
            </w:r>
            <w:r>
              <w:rPr>
                <w:bCs/>
                <w:sz w:val="24"/>
                <w:u w:val="none" w:color="auto"/>
              </w:rPr>
              <w:t>8.92%</w:t>
            </w:r>
            <w:r>
              <w:rPr>
                <w:rFonts w:hint="eastAsia"/>
                <w:bCs/>
                <w:sz w:val="24"/>
                <w:u w:val="none" w:color="auto"/>
              </w:rPr>
              <w:t>，低山为</w:t>
            </w:r>
            <w:r>
              <w:rPr>
                <w:bCs/>
                <w:sz w:val="24"/>
                <w:u w:val="none" w:color="auto"/>
              </w:rPr>
              <w:t>3600</w:t>
            </w:r>
            <w:r>
              <w:rPr>
                <w:rFonts w:hint="eastAsia"/>
                <w:bCs/>
                <w:sz w:val="24"/>
                <w:u w:val="none" w:color="auto"/>
              </w:rPr>
              <w:t>亩，占</w:t>
            </w:r>
            <w:r>
              <w:rPr>
                <w:bCs/>
                <w:sz w:val="24"/>
                <w:u w:val="none" w:color="auto"/>
              </w:rPr>
              <w:t>10.08%</w:t>
            </w:r>
            <w:r>
              <w:rPr>
                <w:rFonts w:hint="eastAsia"/>
                <w:bCs/>
                <w:sz w:val="24"/>
                <w:u w:val="none" w:color="auto"/>
              </w:rPr>
              <w:t>。</w:t>
            </w:r>
          </w:p>
          <w:p>
            <w:pPr>
              <w:spacing w:line="360" w:lineRule="auto"/>
              <w:ind w:firstLine="480"/>
              <w:rPr>
                <w:bCs/>
                <w:sz w:val="24"/>
                <w:u w:val="none" w:color="auto"/>
              </w:rPr>
            </w:pPr>
            <w:r>
              <w:rPr>
                <w:rFonts w:hint="eastAsia"/>
                <w:bCs/>
                <w:sz w:val="24"/>
                <w:u w:val="none" w:color="auto"/>
              </w:rPr>
              <w:t>根据《建筑抗震设计规范》</w:t>
            </w:r>
            <w:r>
              <w:rPr>
                <w:bCs/>
                <w:sz w:val="24"/>
                <w:u w:val="none" w:color="auto"/>
              </w:rPr>
              <w:t>GB50011—2001</w:t>
            </w:r>
            <w:r>
              <w:rPr>
                <w:rFonts w:hint="eastAsia"/>
                <w:bCs/>
                <w:sz w:val="24"/>
                <w:u w:val="none" w:color="auto"/>
              </w:rPr>
              <w:t>附录</w:t>
            </w:r>
            <w:r>
              <w:rPr>
                <w:bCs/>
                <w:sz w:val="24"/>
                <w:u w:val="none" w:color="auto"/>
              </w:rPr>
              <w:t>A</w:t>
            </w:r>
            <w:r>
              <w:rPr>
                <w:rFonts w:hint="eastAsia"/>
                <w:bCs/>
                <w:sz w:val="24"/>
                <w:u w:val="none" w:color="auto"/>
              </w:rPr>
              <w:t>及相关规定，湘阴为</w:t>
            </w:r>
            <w:r>
              <w:rPr>
                <w:bCs/>
                <w:sz w:val="24"/>
                <w:u w:val="none" w:color="auto"/>
              </w:rPr>
              <w:t>Ⅶ</w:t>
            </w:r>
            <w:r>
              <w:rPr>
                <w:rFonts w:hint="eastAsia"/>
                <w:bCs/>
                <w:sz w:val="24"/>
                <w:u w:val="none" w:color="auto"/>
              </w:rPr>
              <w:t>度烈度区。</w:t>
            </w:r>
          </w:p>
          <w:p>
            <w:pPr>
              <w:adjustRightInd w:val="0"/>
              <w:snapToGrid w:val="0"/>
              <w:spacing w:line="360" w:lineRule="auto"/>
              <w:ind w:firstLine="466" w:firstLineChars="200"/>
              <w:rPr>
                <w:b/>
                <w:bCs/>
                <w:sz w:val="24"/>
                <w:szCs w:val="24"/>
                <w:u w:val="none" w:color="auto"/>
              </w:rPr>
            </w:pPr>
            <w:r>
              <w:rPr>
                <w:b/>
                <w:bCs/>
                <w:sz w:val="24"/>
                <w:szCs w:val="24"/>
                <w:u w:val="none" w:color="auto"/>
              </w:rPr>
              <w:t>3、气候气象</w:t>
            </w:r>
          </w:p>
          <w:p>
            <w:pPr>
              <w:snapToGrid w:val="0"/>
              <w:spacing w:line="360" w:lineRule="auto"/>
              <w:ind w:firstLine="457" w:firstLineChars="196"/>
              <w:rPr>
                <w:rFonts w:hAnsi="宋体"/>
                <w:bCs/>
                <w:sz w:val="24"/>
                <w:u w:val="none" w:color="auto"/>
              </w:rPr>
            </w:pPr>
            <w:r>
              <w:rPr>
                <w:rFonts w:hint="eastAsia" w:hAnsi="宋体"/>
                <w:bCs/>
                <w:sz w:val="24"/>
                <w:u w:val="none" w:color="auto"/>
              </w:rPr>
              <w:t>湘阴县地处中亚热带向北亚热带过渡的季风气候区，县域内地貌类型简单，东西两部分气候差异不显著，气候温和，雨量充沛，光照充足，四季分明。主要灾害性天气有暴雨、干旱、大风、雷雹、低温、冰冻。县气象站记载，1959～1985年的27年间，共发生此类天气141次，年均5.2次。各种灾害性天气发生次数及占此类天气总数的百分比为：暴雨25次，占17.85%；干旱23次，占16.42%，低温31次，占22.17%；大风26次，占18.57%；雷雹13次，占9.28%，冰冻23次，占15.71%。</w:t>
            </w:r>
          </w:p>
          <w:p>
            <w:pPr>
              <w:spacing w:line="360" w:lineRule="auto"/>
              <w:ind w:firstLine="480"/>
              <w:rPr>
                <w:sz w:val="24"/>
                <w:u w:val="none" w:color="auto"/>
              </w:rPr>
            </w:pPr>
            <w:r>
              <w:rPr>
                <w:bCs/>
                <w:sz w:val="24"/>
                <w:u w:val="none" w:color="auto"/>
              </w:rPr>
              <w:t>湘阴县区域</w:t>
            </w:r>
            <w:r>
              <w:rPr>
                <w:sz w:val="24"/>
                <w:u w:val="none" w:color="auto"/>
              </w:rPr>
              <w:t>主要气象数据；</w:t>
            </w:r>
          </w:p>
          <w:p>
            <w:pPr>
              <w:autoSpaceDE w:val="0"/>
              <w:spacing w:line="360" w:lineRule="auto"/>
              <w:ind w:firstLine="480"/>
              <w:rPr>
                <w:sz w:val="24"/>
                <w:u w:val="none" w:color="auto"/>
              </w:rPr>
            </w:pPr>
            <w:r>
              <w:rPr>
                <w:sz w:val="24"/>
                <w:u w:val="none" w:color="auto"/>
              </w:rPr>
              <w:t>年平均气温                     16.9℃</w:t>
            </w:r>
          </w:p>
          <w:p>
            <w:pPr>
              <w:tabs>
                <w:tab w:val="center" w:pos="4849"/>
              </w:tabs>
              <w:autoSpaceDE w:val="0"/>
              <w:spacing w:line="360" w:lineRule="auto"/>
              <w:ind w:firstLine="480"/>
              <w:rPr>
                <w:sz w:val="24"/>
                <w:u w:val="none" w:color="auto"/>
              </w:rPr>
            </w:pPr>
            <w:r>
              <w:rPr>
                <w:sz w:val="24"/>
                <w:u w:val="none" w:color="auto"/>
              </w:rPr>
              <w:t>最热月平均气温                 29.0℃</w:t>
            </w:r>
          </w:p>
          <w:p>
            <w:pPr>
              <w:tabs>
                <w:tab w:val="center" w:pos="4849"/>
              </w:tabs>
              <w:autoSpaceDE w:val="0"/>
              <w:spacing w:line="360" w:lineRule="auto"/>
              <w:ind w:firstLine="480"/>
              <w:rPr>
                <w:sz w:val="24"/>
                <w:u w:val="none" w:color="auto"/>
              </w:rPr>
            </w:pPr>
            <w:r>
              <w:rPr>
                <w:sz w:val="24"/>
                <w:u w:val="none" w:color="auto"/>
              </w:rPr>
              <w:t>最冷月平均气温                 4.4℃</w:t>
            </w:r>
          </w:p>
          <w:p>
            <w:pPr>
              <w:tabs>
                <w:tab w:val="center" w:pos="4849"/>
              </w:tabs>
              <w:autoSpaceDE w:val="0"/>
              <w:spacing w:line="360" w:lineRule="auto"/>
              <w:ind w:firstLine="480"/>
              <w:rPr>
                <w:sz w:val="24"/>
                <w:u w:val="none" w:color="auto"/>
              </w:rPr>
            </w:pPr>
            <w:r>
              <w:rPr>
                <w:sz w:val="24"/>
                <w:u w:val="none" w:color="auto"/>
              </w:rPr>
              <w:t>极端最高气温                   38.4℃</w:t>
            </w:r>
          </w:p>
          <w:p>
            <w:pPr>
              <w:tabs>
                <w:tab w:val="center" w:pos="4849"/>
              </w:tabs>
              <w:autoSpaceDE w:val="0"/>
              <w:spacing w:line="360" w:lineRule="auto"/>
              <w:ind w:firstLine="480"/>
              <w:rPr>
                <w:sz w:val="24"/>
                <w:u w:val="none" w:color="auto"/>
              </w:rPr>
            </w:pPr>
            <w:r>
              <w:rPr>
                <w:sz w:val="24"/>
                <w:u w:val="none" w:color="auto"/>
              </w:rPr>
              <w:t>极端最低气温                   -12.0℃</w:t>
            </w:r>
          </w:p>
          <w:p>
            <w:pPr>
              <w:tabs>
                <w:tab w:val="center" w:pos="4849"/>
              </w:tabs>
              <w:autoSpaceDE w:val="0"/>
              <w:spacing w:line="360" w:lineRule="auto"/>
              <w:ind w:firstLine="480"/>
              <w:rPr>
                <w:sz w:val="24"/>
                <w:u w:val="none" w:color="auto"/>
              </w:rPr>
            </w:pPr>
            <w:r>
              <w:rPr>
                <w:sz w:val="24"/>
                <w:u w:val="none" w:color="auto"/>
              </w:rPr>
              <w:t>年总降水量                     1410.8mm</w:t>
            </w:r>
          </w:p>
          <w:p>
            <w:pPr>
              <w:tabs>
                <w:tab w:val="center" w:pos="4849"/>
              </w:tabs>
              <w:autoSpaceDE w:val="0"/>
              <w:spacing w:line="360" w:lineRule="auto"/>
              <w:ind w:firstLine="480"/>
              <w:rPr>
                <w:sz w:val="24"/>
                <w:u w:val="none" w:color="auto"/>
              </w:rPr>
            </w:pPr>
            <w:r>
              <w:rPr>
                <w:sz w:val="24"/>
                <w:u w:val="none" w:color="auto"/>
              </w:rPr>
              <w:t>年总日照                       1610.5h</w:t>
            </w:r>
          </w:p>
          <w:p>
            <w:pPr>
              <w:spacing w:line="360" w:lineRule="auto"/>
              <w:ind w:firstLine="480"/>
              <w:rPr>
                <w:bCs/>
                <w:sz w:val="24"/>
                <w:u w:val="none" w:color="auto"/>
              </w:rPr>
            </w:pPr>
            <w:r>
              <w:rPr>
                <w:bCs/>
                <w:sz w:val="24"/>
                <w:u w:val="none" w:color="auto"/>
              </w:rPr>
              <w:t>年主导风向                     西北风</w:t>
            </w:r>
          </w:p>
          <w:p>
            <w:pPr>
              <w:spacing w:line="360" w:lineRule="auto"/>
              <w:ind w:firstLine="480"/>
              <w:rPr>
                <w:bCs/>
                <w:sz w:val="24"/>
                <w:u w:val="none" w:color="auto"/>
              </w:rPr>
            </w:pPr>
            <w:r>
              <w:rPr>
                <w:sz w:val="24"/>
                <w:u w:val="none" w:color="auto"/>
              </w:rPr>
              <w:t>年平均风速                     2.5m/s</w:t>
            </w:r>
          </w:p>
          <w:p>
            <w:pPr>
              <w:tabs>
                <w:tab w:val="center" w:pos="4849"/>
              </w:tabs>
              <w:autoSpaceDE w:val="0"/>
              <w:spacing w:line="360" w:lineRule="auto"/>
              <w:ind w:firstLine="480"/>
              <w:rPr>
                <w:sz w:val="24"/>
                <w:u w:val="none" w:color="auto"/>
              </w:rPr>
            </w:pPr>
            <w:r>
              <w:rPr>
                <w:sz w:val="24"/>
                <w:u w:val="none" w:color="auto"/>
              </w:rPr>
              <w:t>年相对湿度                     81%</w:t>
            </w:r>
          </w:p>
          <w:p>
            <w:pPr>
              <w:spacing w:line="360" w:lineRule="auto"/>
              <w:ind w:firstLine="480"/>
              <w:rPr>
                <w:bCs/>
                <w:sz w:val="24"/>
                <w:u w:val="none" w:color="auto"/>
              </w:rPr>
            </w:pPr>
            <w:r>
              <w:rPr>
                <w:bCs/>
                <w:sz w:val="24"/>
                <w:u w:val="none" w:color="auto"/>
              </w:rPr>
              <w:t>年平均降雨量                   1383毫米</w:t>
            </w:r>
          </w:p>
          <w:p>
            <w:pPr>
              <w:spacing w:line="360" w:lineRule="auto"/>
              <w:ind w:firstLine="480"/>
              <w:rPr>
                <w:bCs/>
                <w:sz w:val="24"/>
                <w:u w:val="none" w:color="auto"/>
              </w:rPr>
            </w:pPr>
            <w:r>
              <w:rPr>
                <w:sz w:val="24"/>
                <w:u w:val="none" w:color="auto"/>
              </w:rPr>
              <w:t>年总蒸发量                     1329.4mm</w:t>
            </w:r>
          </w:p>
          <w:p>
            <w:pPr>
              <w:spacing w:line="360" w:lineRule="auto"/>
              <w:ind w:firstLine="480"/>
              <w:rPr>
                <w:sz w:val="24"/>
                <w:u w:val="none" w:color="auto"/>
              </w:rPr>
            </w:pPr>
            <w:r>
              <w:rPr>
                <w:sz w:val="24"/>
                <w:u w:val="none" w:color="auto"/>
              </w:rPr>
              <w:t>全年无霜期                     274天</w:t>
            </w:r>
          </w:p>
          <w:p>
            <w:pPr>
              <w:adjustRightInd w:val="0"/>
              <w:snapToGrid w:val="0"/>
              <w:spacing w:line="360" w:lineRule="auto"/>
              <w:ind w:firstLine="466" w:firstLineChars="200"/>
              <w:rPr>
                <w:b/>
                <w:bCs/>
                <w:sz w:val="24"/>
                <w:szCs w:val="24"/>
                <w:u w:val="none" w:color="auto"/>
              </w:rPr>
            </w:pPr>
            <w:r>
              <w:rPr>
                <w:b/>
                <w:bCs/>
                <w:sz w:val="24"/>
                <w:szCs w:val="24"/>
                <w:u w:val="none" w:color="auto"/>
              </w:rPr>
              <w:t>4、水文</w:t>
            </w:r>
          </w:p>
          <w:p>
            <w:pPr>
              <w:snapToGrid w:val="0"/>
              <w:spacing w:line="360" w:lineRule="auto"/>
              <w:ind w:firstLine="457" w:firstLineChars="196"/>
              <w:rPr>
                <w:rFonts w:hAnsi="宋体"/>
                <w:bCs/>
                <w:sz w:val="24"/>
                <w:u w:val="none" w:color="auto"/>
              </w:rPr>
            </w:pPr>
            <w:r>
              <w:rPr>
                <w:rFonts w:hint="eastAsia" w:hAnsi="宋体"/>
                <w:bCs/>
                <w:sz w:val="24"/>
                <w:u w:val="none" w:color="auto"/>
              </w:rPr>
              <w:t>湘阴县位于湘江尾闾，洞庭湖滨。湘阴地区江湖甚多，水域面积占总面积的42%左右，河流主要有湘江、资江和白水江等，其直流纵横，河网密布，湖泊星罗棋布。湘资两水在湘阴县内流经长度达250余公里，内江流经长度70余公里，计有外湖81个，内湖78个，塘堰3372个，水坝2249座，主要外湖有横岭湖、团林湖、淳湖和荷叶湖等，主要内湖有鹤龙湖、洋沙湖、范家坝、白洋湖和南湖垸哑河等。水域面积98.56万多亩，占全县总面积的41.56%以上，为养殖、捕捞、灌溉、航运、工业用水提供了十分充裕的水源。</w:t>
            </w:r>
          </w:p>
          <w:p>
            <w:pPr>
              <w:snapToGrid w:val="0"/>
              <w:spacing w:line="360" w:lineRule="auto"/>
              <w:ind w:firstLine="457" w:firstLineChars="196"/>
              <w:rPr>
                <w:rFonts w:hAnsi="宋体"/>
                <w:bCs/>
                <w:sz w:val="24"/>
                <w:u w:val="none" w:color="auto"/>
              </w:rPr>
            </w:pPr>
            <w:r>
              <w:rPr>
                <w:rFonts w:hint="eastAsia" w:hAnsi="宋体"/>
                <w:bCs/>
                <w:sz w:val="24"/>
                <w:u w:val="none" w:color="auto"/>
              </w:rPr>
              <w:t>湘阴县区域地表水发达，主要水系有洋沙湖、白水江、资江、湘江。本项目纳污水体为湘江。湘江是我省的最大河流，其发源于湖南省永州市蓝山县紫良瑶族乡蓝山国家森林公园的野狗岭，流经湖南省永州市、衡阳市、株洲市、湘潭市、长沙市，至岳阳市的湘阴县注入长江水系的洞庭湖，于城陵矶入长江，全长856km。湘江江面宽500～1500m，一般水深6～15m，河床多砂砾石且坡度平缓，河水流速慢。其流量分平、洪、丰、枯四个水期，有明显的季节变化，洪水期多出现在5～7月，枯水期多出现在12～翌年2月。湘江是湘阴县的一条景观河流和主要供水水源，保护好湘江水环境质量，是保证湘阴县可持续发展战略的重要因素之一。</w:t>
            </w:r>
          </w:p>
          <w:p>
            <w:pPr>
              <w:snapToGrid w:val="0"/>
              <w:spacing w:line="360" w:lineRule="auto"/>
              <w:ind w:firstLine="457" w:firstLineChars="196"/>
              <w:rPr>
                <w:rFonts w:hAnsi="宋体"/>
                <w:bCs/>
                <w:sz w:val="24"/>
                <w:u w:val="none" w:color="auto"/>
              </w:rPr>
            </w:pPr>
            <w:r>
              <w:rPr>
                <w:rFonts w:hint="eastAsia" w:hAnsi="宋体"/>
                <w:bCs/>
                <w:sz w:val="24"/>
                <w:u w:val="none" w:color="auto"/>
              </w:rPr>
              <w:t>项目所在区域湘江主要水文参数如下：</w:t>
            </w:r>
          </w:p>
          <w:p>
            <w:pPr>
              <w:snapToGrid w:val="0"/>
              <w:spacing w:line="360" w:lineRule="auto"/>
              <w:ind w:firstLine="457" w:firstLineChars="196"/>
              <w:rPr>
                <w:rFonts w:hAnsi="宋体"/>
                <w:bCs/>
                <w:sz w:val="24"/>
                <w:u w:val="none" w:color="auto"/>
              </w:rPr>
            </w:pPr>
            <w:r>
              <w:rPr>
                <w:rFonts w:hint="eastAsia" w:hAnsi="宋体"/>
                <w:bCs/>
                <w:sz w:val="24"/>
                <w:u w:val="none" w:color="auto"/>
              </w:rPr>
              <w:t>年平均水位                    27.31m</w:t>
            </w:r>
          </w:p>
          <w:p>
            <w:pPr>
              <w:snapToGrid w:val="0"/>
              <w:spacing w:line="360" w:lineRule="auto"/>
              <w:ind w:firstLine="457" w:firstLineChars="196"/>
              <w:rPr>
                <w:rFonts w:hAnsi="宋体"/>
                <w:bCs/>
                <w:sz w:val="24"/>
                <w:u w:val="none" w:color="auto"/>
              </w:rPr>
            </w:pPr>
            <w:r>
              <w:rPr>
                <w:rFonts w:hint="eastAsia" w:hAnsi="宋体"/>
                <w:bCs/>
                <w:sz w:val="24"/>
                <w:u w:val="none" w:color="auto"/>
              </w:rPr>
              <w:t>平均最高水位                  36.65m</w:t>
            </w:r>
          </w:p>
          <w:p>
            <w:pPr>
              <w:snapToGrid w:val="0"/>
              <w:spacing w:line="360" w:lineRule="auto"/>
              <w:ind w:firstLine="457" w:firstLineChars="196"/>
              <w:rPr>
                <w:rFonts w:hAnsi="宋体"/>
                <w:bCs/>
                <w:sz w:val="24"/>
                <w:u w:val="none" w:color="auto"/>
              </w:rPr>
            </w:pPr>
            <w:r>
              <w:rPr>
                <w:rFonts w:hint="eastAsia" w:hAnsi="宋体"/>
                <w:bCs/>
                <w:sz w:val="24"/>
                <w:u w:val="none" w:color="auto"/>
              </w:rPr>
              <w:t>平均最低水位                  23.25m</w:t>
            </w:r>
          </w:p>
          <w:p>
            <w:pPr>
              <w:snapToGrid w:val="0"/>
              <w:spacing w:line="360" w:lineRule="auto"/>
              <w:ind w:firstLine="457" w:firstLineChars="196"/>
              <w:rPr>
                <w:rFonts w:hAnsi="宋体"/>
                <w:bCs/>
                <w:sz w:val="24"/>
                <w:u w:val="none" w:color="auto"/>
              </w:rPr>
            </w:pPr>
            <w:r>
              <w:rPr>
                <w:rFonts w:hint="eastAsia" w:hAnsi="宋体"/>
                <w:bCs/>
                <w:sz w:val="24"/>
                <w:u w:val="none" w:color="auto"/>
              </w:rPr>
              <w:t>历史最高洪峰水位              37.37m</w:t>
            </w:r>
          </w:p>
          <w:p>
            <w:pPr>
              <w:snapToGrid w:val="0"/>
              <w:spacing w:line="360" w:lineRule="auto"/>
              <w:ind w:firstLine="457" w:firstLineChars="196"/>
              <w:rPr>
                <w:rFonts w:hAnsi="宋体"/>
                <w:bCs/>
                <w:sz w:val="24"/>
                <w:u w:val="none" w:color="auto"/>
              </w:rPr>
            </w:pPr>
            <w:r>
              <w:rPr>
                <w:rFonts w:hint="eastAsia" w:hAnsi="宋体"/>
                <w:bCs/>
                <w:sz w:val="24"/>
                <w:u w:val="none" w:color="auto"/>
              </w:rPr>
              <w:t>平均径流深                    7.76m</w:t>
            </w:r>
          </w:p>
          <w:p>
            <w:pPr>
              <w:snapToGrid w:val="0"/>
              <w:spacing w:line="360" w:lineRule="auto"/>
              <w:ind w:firstLine="457" w:firstLineChars="196"/>
              <w:rPr>
                <w:rFonts w:hAnsi="宋体"/>
                <w:bCs/>
                <w:sz w:val="24"/>
                <w:u w:val="none" w:color="auto"/>
              </w:rPr>
            </w:pPr>
            <w:r>
              <w:rPr>
                <w:rFonts w:hint="eastAsia" w:hAnsi="宋体"/>
                <w:bCs/>
                <w:sz w:val="24"/>
                <w:u w:val="none" w:color="auto"/>
              </w:rPr>
              <w:t>年平均流量                    2131m</w:t>
            </w:r>
            <w:r>
              <w:rPr>
                <w:rFonts w:hint="eastAsia" w:hAnsi="宋体"/>
                <w:bCs/>
                <w:sz w:val="24"/>
                <w:u w:val="none" w:color="auto"/>
                <w:vertAlign w:val="superscript"/>
              </w:rPr>
              <w:t>3</w:t>
            </w:r>
            <w:r>
              <w:rPr>
                <w:rFonts w:hint="eastAsia" w:hAnsi="宋体"/>
                <w:bCs/>
                <w:sz w:val="24"/>
                <w:u w:val="none" w:color="auto"/>
              </w:rPr>
              <w:t>/s</w:t>
            </w:r>
          </w:p>
          <w:p>
            <w:pPr>
              <w:snapToGrid w:val="0"/>
              <w:spacing w:line="360" w:lineRule="auto"/>
              <w:ind w:firstLine="457" w:firstLineChars="196"/>
              <w:rPr>
                <w:rFonts w:hAnsi="宋体"/>
                <w:bCs/>
                <w:sz w:val="24"/>
                <w:u w:val="none" w:color="auto"/>
              </w:rPr>
            </w:pPr>
            <w:r>
              <w:rPr>
                <w:rFonts w:hint="eastAsia" w:hAnsi="宋体"/>
                <w:bCs/>
                <w:sz w:val="24"/>
                <w:u w:val="none" w:color="auto"/>
              </w:rPr>
              <w:t>平均最大流量                  12900m</w:t>
            </w:r>
            <w:r>
              <w:rPr>
                <w:rFonts w:hint="eastAsia" w:hAnsi="宋体"/>
                <w:bCs/>
                <w:sz w:val="24"/>
                <w:u w:val="none" w:color="auto"/>
                <w:vertAlign w:val="superscript"/>
              </w:rPr>
              <w:t>3</w:t>
            </w:r>
            <w:r>
              <w:rPr>
                <w:rFonts w:hint="eastAsia" w:hAnsi="宋体"/>
                <w:bCs/>
                <w:sz w:val="24"/>
                <w:u w:val="none" w:color="auto"/>
              </w:rPr>
              <w:t>/s</w:t>
            </w:r>
          </w:p>
          <w:p>
            <w:pPr>
              <w:snapToGrid w:val="0"/>
              <w:spacing w:line="360" w:lineRule="auto"/>
              <w:ind w:firstLine="457" w:firstLineChars="196"/>
              <w:rPr>
                <w:rFonts w:hAnsi="宋体"/>
                <w:bCs/>
                <w:sz w:val="24"/>
                <w:u w:val="none" w:color="auto"/>
              </w:rPr>
            </w:pPr>
            <w:r>
              <w:rPr>
                <w:rFonts w:hint="eastAsia" w:hAnsi="宋体"/>
                <w:bCs/>
                <w:sz w:val="24"/>
                <w:u w:val="none" w:color="auto"/>
              </w:rPr>
              <w:t>平均最小流量                  248m</w:t>
            </w:r>
            <w:r>
              <w:rPr>
                <w:rFonts w:hint="eastAsia" w:hAnsi="宋体"/>
                <w:bCs/>
                <w:sz w:val="24"/>
                <w:u w:val="none" w:color="auto"/>
                <w:vertAlign w:val="superscript"/>
              </w:rPr>
              <w:t>3</w:t>
            </w:r>
            <w:r>
              <w:rPr>
                <w:rFonts w:hint="eastAsia" w:hAnsi="宋体"/>
                <w:bCs/>
                <w:sz w:val="24"/>
                <w:u w:val="none" w:color="auto"/>
              </w:rPr>
              <w:t>/s</w:t>
            </w:r>
          </w:p>
          <w:p>
            <w:pPr>
              <w:snapToGrid w:val="0"/>
              <w:spacing w:line="360" w:lineRule="auto"/>
              <w:ind w:firstLine="457" w:firstLineChars="196"/>
              <w:rPr>
                <w:rFonts w:hAnsi="宋体"/>
                <w:bCs/>
                <w:sz w:val="24"/>
                <w:u w:val="none" w:color="auto"/>
              </w:rPr>
            </w:pPr>
            <w:r>
              <w:rPr>
                <w:rFonts w:hint="eastAsia" w:hAnsi="宋体"/>
                <w:bCs/>
                <w:sz w:val="24"/>
                <w:u w:val="none" w:color="auto"/>
              </w:rPr>
              <w:t>最大流速                      2.6m/s</w:t>
            </w:r>
          </w:p>
          <w:p>
            <w:pPr>
              <w:snapToGrid w:val="0"/>
              <w:spacing w:line="360" w:lineRule="auto"/>
              <w:ind w:firstLine="457" w:firstLineChars="196"/>
              <w:rPr>
                <w:rFonts w:hAnsi="宋体"/>
                <w:bCs/>
                <w:sz w:val="24"/>
                <w:u w:val="none" w:color="auto"/>
              </w:rPr>
            </w:pPr>
            <w:r>
              <w:rPr>
                <w:rFonts w:hint="eastAsia" w:hAnsi="宋体"/>
                <w:bCs/>
                <w:sz w:val="24"/>
                <w:u w:val="none" w:color="auto"/>
              </w:rPr>
              <w:t>年平均流速                    0.45m/s</w:t>
            </w:r>
          </w:p>
          <w:p>
            <w:pPr>
              <w:snapToGrid w:val="0"/>
              <w:spacing w:line="360" w:lineRule="auto"/>
              <w:ind w:firstLine="457" w:firstLineChars="196"/>
              <w:rPr>
                <w:rFonts w:hAnsi="宋体"/>
                <w:bCs/>
                <w:sz w:val="24"/>
                <w:u w:val="none" w:color="auto"/>
              </w:rPr>
            </w:pPr>
            <w:r>
              <w:rPr>
                <w:rFonts w:hint="eastAsia" w:hAnsi="宋体"/>
                <w:bCs/>
                <w:sz w:val="24"/>
                <w:u w:val="none" w:color="auto"/>
              </w:rPr>
              <w:t xml:space="preserve">枯水期平均流速              </w:t>
            </w:r>
            <w:r>
              <w:rPr>
                <w:rFonts w:hAnsi="宋体"/>
                <w:bCs/>
                <w:sz w:val="24"/>
                <w:u w:val="none" w:color="auto"/>
              </w:rPr>
              <w:t xml:space="preserve"> </w:t>
            </w:r>
            <w:r>
              <w:rPr>
                <w:rFonts w:hint="eastAsia" w:hAnsi="宋体"/>
                <w:bCs/>
                <w:sz w:val="24"/>
                <w:u w:val="none" w:color="auto"/>
              </w:rPr>
              <w:t xml:space="preserve"> 0.18m/s</w:t>
            </w:r>
          </w:p>
          <w:p>
            <w:pPr>
              <w:snapToGrid w:val="0"/>
              <w:spacing w:line="360" w:lineRule="auto"/>
              <w:ind w:firstLine="457" w:firstLineChars="196"/>
              <w:rPr>
                <w:rFonts w:hAnsi="宋体"/>
                <w:bCs/>
                <w:sz w:val="24"/>
                <w:u w:val="none" w:color="auto"/>
              </w:rPr>
            </w:pPr>
            <w:r>
              <w:rPr>
                <w:rFonts w:hint="eastAsia" w:hAnsi="宋体"/>
                <w:bCs/>
                <w:sz w:val="24"/>
                <w:u w:val="none" w:color="auto"/>
              </w:rPr>
              <w:t>按《湖南省主要水系地表水环境功能区划》（DB43/023—2005），从湘江长沙段下游至湘阴的水环境功能区划为：①沩水河北口端至湘阴樟树港的22.5km为渔业用水区，执行Ⅲ类水质标准。②樟树港至浩河口的7.4km为渔业用水区，执行Ⅲ类水质标准。③浩河口至洋沙湖上游1000m（东支）5.2km为二级水源保护区，执行Ⅲ类水质标准。④洋沙湖上游1000m至下游200m（东支）1.2km为湘阴县一级水源保护区，执行Ⅱ类水质标准。⑤洋沙湖下游200m至磊石（东支）62.7km为渔业用水区，执行Ⅲ类水质标准。</w:t>
            </w:r>
          </w:p>
          <w:p>
            <w:pPr>
              <w:adjustRightInd w:val="0"/>
              <w:snapToGrid w:val="0"/>
              <w:spacing w:line="360" w:lineRule="auto"/>
              <w:ind w:firstLine="466" w:firstLineChars="200"/>
              <w:rPr>
                <w:b/>
                <w:bCs/>
                <w:sz w:val="24"/>
                <w:szCs w:val="24"/>
                <w:u w:val="none" w:color="auto"/>
              </w:rPr>
            </w:pPr>
            <w:r>
              <w:rPr>
                <w:b/>
                <w:bCs/>
                <w:sz w:val="24"/>
                <w:szCs w:val="24"/>
                <w:u w:val="none" w:color="auto"/>
              </w:rPr>
              <w:t xml:space="preserve">5、植被与生物 </w:t>
            </w:r>
          </w:p>
          <w:p>
            <w:pPr>
              <w:snapToGrid w:val="0"/>
              <w:spacing w:line="360" w:lineRule="auto"/>
              <w:ind w:firstLine="457" w:firstLineChars="196"/>
              <w:rPr>
                <w:rFonts w:hAnsi="宋体"/>
                <w:bCs/>
                <w:sz w:val="24"/>
                <w:u w:val="none" w:color="auto"/>
              </w:rPr>
            </w:pPr>
            <w:r>
              <w:rPr>
                <w:rFonts w:hint="eastAsia" w:hAnsi="宋体"/>
                <w:bCs/>
                <w:sz w:val="24"/>
                <w:u w:val="none" w:color="auto"/>
              </w:rPr>
              <w:t>湘阴县农业生物资源极为丰富，全县有以水稻、红薯为主的11种粮食作物，有以茶叶、棉花、藠头为主的15种经济作物，有以芦苇、湘莲为主的10余种水生经济作物，有以松、杉、樟、柳为主的228个树种，有以青、草、鲢、鳙、鲤和湘去鲫(鲤)为主的114个鱼类品种，有以猪、牛、山羊、鸡、鸭、鹅为主的9个畜禽种类。</w:t>
            </w:r>
          </w:p>
          <w:p>
            <w:pPr>
              <w:snapToGrid w:val="0"/>
              <w:spacing w:line="360" w:lineRule="auto"/>
              <w:ind w:firstLine="457" w:firstLineChars="196"/>
              <w:rPr>
                <w:rFonts w:hAnsi="宋体"/>
                <w:bCs/>
                <w:sz w:val="24"/>
                <w:u w:val="none" w:color="auto"/>
              </w:rPr>
            </w:pPr>
            <w:r>
              <w:rPr>
                <w:rFonts w:hint="eastAsia" w:hAnsi="宋体"/>
                <w:bCs/>
                <w:sz w:val="24"/>
                <w:u w:val="none" w:color="auto"/>
              </w:rPr>
              <w:t>全县山林24万亩，林业用地占陆地面积的16%，森林覆盖率为12.5%，用林主要分布在东部低山岗地。其中杉木基地分布在界头铺、玉华、长康等乡镇的低山地带及六塘、石塘乡部分岗地。长康等乡镇部分岗地。防护林主要分布在西部平原。从外地引进的意大利杨和美国松分别植于北部湖洲上和东部山岗区，引进的树种生长茂盛，大有发展前途。境内多珍奇生物，珍稀树种有银杏、枫香、杜仲等30余种，珍禽异兽有鹿、獐、獾、锦鸡、鸳鸯等。珍贵的鱼有中华鲟、白鲟、银鱼、胭脂鱼、非洲鲫等，还有特种水产甲鱼、乌龟、泥蛙、龙虾、河蟹、贝类以及世界珍稀的白鳍豚。</w:t>
            </w:r>
          </w:p>
          <w:p>
            <w:pPr>
              <w:snapToGrid w:val="0"/>
              <w:spacing w:line="360" w:lineRule="auto"/>
              <w:ind w:firstLine="480"/>
              <w:rPr>
                <w:rFonts w:hAnsi="宋体"/>
                <w:sz w:val="24"/>
                <w:szCs w:val="24"/>
                <w:u w:val="none" w:color="auto"/>
              </w:rPr>
            </w:pPr>
            <w:r>
              <w:rPr>
                <w:rFonts w:hint="eastAsia" w:hAnsi="宋体"/>
                <w:sz w:val="24"/>
                <w:szCs w:val="24"/>
                <w:u w:val="none" w:color="auto"/>
              </w:rPr>
              <w:t>项目区受人类活动的影响较大，人为开发程度高，工程区土壤主要为板、页岩发育的红壤、黄壤；因人类活动，原始植被已遭破坏，残存仅有少数壳丰科及樟科的常绿阔叶林和次生马尾松林，被覆地表的主要是人造的用材林、经济林、及栽培农作物，如油茶林、果木林、杉木林等，林下植被有灌木及茅草等；陆生动物主要为一些小型的啮齿类动物、两栖类动物、昆虫及一些常见鸟类。</w:t>
            </w:r>
          </w:p>
          <w:p>
            <w:pPr>
              <w:snapToGrid w:val="0"/>
              <w:spacing w:line="360" w:lineRule="auto"/>
              <w:ind w:firstLine="466" w:firstLineChars="200"/>
              <w:jc w:val="left"/>
              <w:rPr>
                <w:rFonts w:hAnsi="宋体"/>
                <w:sz w:val="24"/>
                <w:szCs w:val="24"/>
                <w:u w:val="none" w:color="auto"/>
              </w:rPr>
            </w:pPr>
            <w:r>
              <w:rPr>
                <w:rFonts w:hint="eastAsia" w:hAnsi="宋体"/>
                <w:sz w:val="24"/>
                <w:szCs w:val="24"/>
                <w:u w:val="none" w:color="auto"/>
              </w:rPr>
              <w:t>根据实地调查，评价区域内无名胜古迹、风景名胜区、文物保护区等需要特殊保护的目标，无需特殊保护的珍稀动植物。</w:t>
            </w:r>
          </w:p>
          <w:p>
            <w:pPr>
              <w:adjustRightInd w:val="0"/>
              <w:snapToGrid w:val="0"/>
              <w:spacing w:line="360" w:lineRule="auto"/>
              <w:ind w:firstLine="466" w:firstLineChars="200"/>
              <w:rPr>
                <w:b/>
                <w:sz w:val="24"/>
                <w:u w:val="none" w:color="auto"/>
              </w:rPr>
            </w:pPr>
            <w:r>
              <w:rPr>
                <w:sz w:val="24"/>
                <w:u w:val="none" w:color="auto"/>
              </w:rPr>
              <w:t>本项目所在地环境功能属性见表</w:t>
            </w:r>
            <w:r>
              <w:rPr>
                <w:rFonts w:hint="eastAsia"/>
                <w:sz w:val="24"/>
                <w:u w:val="none" w:color="auto"/>
                <w:lang w:val="en-US" w:eastAsia="zh-CN"/>
              </w:rPr>
              <w:t>2-1</w:t>
            </w:r>
            <w:r>
              <w:rPr>
                <w:sz w:val="24"/>
                <w:u w:val="none" w:color="auto"/>
              </w:rPr>
              <w:t>：</w:t>
            </w:r>
          </w:p>
          <w:p>
            <w:pPr>
              <w:snapToGrid w:val="0"/>
              <w:spacing w:line="360" w:lineRule="auto"/>
              <w:ind w:firstLine="466" w:firstLineChars="200"/>
              <w:jc w:val="center"/>
              <w:rPr>
                <w:b/>
                <w:sz w:val="24"/>
                <w:u w:val="none" w:color="auto"/>
              </w:rPr>
            </w:pPr>
            <w:r>
              <w:rPr>
                <w:b/>
                <w:sz w:val="24"/>
                <w:u w:val="none" w:color="auto"/>
              </w:rPr>
              <w:t>表</w:t>
            </w:r>
            <w:r>
              <w:rPr>
                <w:rFonts w:hint="eastAsia"/>
                <w:b/>
                <w:sz w:val="24"/>
                <w:u w:val="none" w:color="auto"/>
                <w:lang w:val="en-US" w:eastAsia="zh-CN"/>
              </w:rPr>
              <w:t>2-1</w:t>
            </w:r>
            <w:r>
              <w:rPr>
                <w:b/>
                <w:sz w:val="24"/>
                <w:u w:val="none" w:color="auto"/>
              </w:rPr>
              <w:t xml:space="preserve"> 本区域环境功能区划</w:t>
            </w:r>
          </w:p>
          <w:tbl>
            <w:tblPr>
              <w:tblStyle w:val="40"/>
              <w:tblW w:w="907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62"/>
              <w:gridCol w:w="2637"/>
              <w:gridCol w:w="547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编号</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项目</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功能属性及执行标准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1</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水环境功能区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执行《地表水环境质量标准》（Gb3838-2002）</w:t>
                  </w:r>
                </w:p>
                <w:p>
                  <w:pPr>
                    <w:adjustRightInd w:val="0"/>
                    <w:snapToGrid w:val="0"/>
                    <w:spacing w:line="360" w:lineRule="auto"/>
                    <w:jc w:val="center"/>
                    <w:rPr>
                      <w:szCs w:val="21"/>
                      <w:u w:val="none" w:color="auto"/>
                    </w:rPr>
                  </w:pPr>
                  <w:r>
                    <w:rPr>
                      <w:szCs w:val="21"/>
                      <w:u w:val="none" w:color="auto"/>
                    </w:rPr>
                    <w:t>Ⅲ类标准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2</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环境空气质量功能区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执行《环境空气质量标准》（GB3095-2012）中的二级标准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3</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声环境功能区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执行《声环境质量标准》</w:t>
                  </w:r>
                </w:p>
                <w:p>
                  <w:pPr>
                    <w:adjustRightInd w:val="0"/>
                    <w:snapToGrid w:val="0"/>
                    <w:spacing w:line="360" w:lineRule="auto"/>
                    <w:jc w:val="center"/>
                    <w:rPr>
                      <w:szCs w:val="21"/>
                      <w:u w:val="none" w:color="auto"/>
                    </w:rPr>
                  </w:pPr>
                  <w:r>
                    <w:rPr>
                      <w:szCs w:val="21"/>
                      <w:u w:val="none" w:color="auto"/>
                    </w:rPr>
                    <w:t>（GB3096-2008）</w:t>
                  </w:r>
                  <w:r>
                    <w:rPr>
                      <w:rFonts w:hint="eastAsia"/>
                      <w:szCs w:val="21"/>
                      <w:u w:val="none" w:color="auto"/>
                      <w:lang w:val="en-US" w:eastAsia="zh-CN"/>
                    </w:rPr>
                    <w:t>3</w:t>
                  </w:r>
                  <w:r>
                    <w:rPr>
                      <w:szCs w:val="21"/>
                      <w:u w:val="none" w:color="auto"/>
                    </w:rPr>
                    <w:t>类环境噪声限值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4</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是否基本农田保护区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5</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是否森林公园</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6</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是否生态功能保护区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7</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是否水土流失重点防治区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8</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是否人口密集区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9</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是否重点文物保护单位</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10</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是否三河、三湖、两控区</w:t>
                  </w:r>
                </w:p>
              </w:tc>
              <w:tc>
                <w:tcPr>
                  <w:tcW w:w="5479" w:type="dxa"/>
                  <w:noWrap w:val="0"/>
                  <w:vAlign w:val="center"/>
                </w:tcPr>
                <w:p>
                  <w:pPr>
                    <w:adjustRightInd w:val="0"/>
                    <w:snapToGrid w:val="0"/>
                    <w:spacing w:line="360" w:lineRule="auto"/>
                    <w:jc w:val="center"/>
                    <w:rPr>
                      <w:rFonts w:hint="eastAsia" w:eastAsia="宋体"/>
                      <w:szCs w:val="21"/>
                      <w:u w:val="none" w:color="auto"/>
                      <w:lang w:eastAsia="zh-CN"/>
                    </w:rPr>
                  </w:pPr>
                  <w:r>
                    <w:rPr>
                      <w:rFonts w:hint="eastAsia"/>
                      <w:szCs w:val="21"/>
                      <w:u w:val="none" w:color="auto"/>
                      <w:lang w:eastAsia="zh-CN"/>
                    </w:rPr>
                    <w:t>两控区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11</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是否水库库区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12</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是否污水处理厂集水范围</w:t>
                  </w:r>
                </w:p>
              </w:tc>
              <w:tc>
                <w:tcPr>
                  <w:tcW w:w="5479" w:type="dxa"/>
                  <w:noWrap w:val="0"/>
                  <w:vAlign w:val="center"/>
                </w:tcPr>
                <w:p>
                  <w:pPr>
                    <w:adjustRightInd w:val="0"/>
                    <w:snapToGrid w:val="0"/>
                    <w:spacing w:line="360" w:lineRule="auto"/>
                    <w:jc w:val="center"/>
                    <w:rPr>
                      <w:rFonts w:hint="eastAsia" w:eastAsia="宋体"/>
                      <w:szCs w:val="21"/>
                      <w:u w:val="none" w:color="auto"/>
                      <w:lang w:eastAsia="zh-CN"/>
                    </w:rPr>
                  </w:pPr>
                  <w:r>
                    <w:rPr>
                      <w:rFonts w:hint="eastAsia"/>
                      <w:szCs w:val="21"/>
                      <w:u w:val="none" w:color="auto"/>
                      <w:lang w:eastAsia="zh-CN"/>
                    </w:rPr>
                    <w:t>是（</w:t>
                  </w:r>
                  <w:r>
                    <w:rPr>
                      <w:rFonts w:hint="eastAsia"/>
                      <w:szCs w:val="21"/>
                      <w:u w:val="none" w:color="auto"/>
                      <w:lang w:val="en-US" w:eastAsia="zh-CN"/>
                    </w:rPr>
                    <w:t>湘阴县第三污水处理厂</w:t>
                  </w:r>
                  <w:r>
                    <w:rPr>
                      <w:rFonts w:hint="eastAsia"/>
                      <w:szCs w:val="21"/>
                      <w:u w:val="none" w:color="auto"/>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62" w:type="dxa"/>
                  <w:noWrap w:val="0"/>
                  <w:vAlign w:val="center"/>
                </w:tcPr>
                <w:p>
                  <w:pPr>
                    <w:adjustRightInd w:val="0"/>
                    <w:snapToGrid w:val="0"/>
                    <w:spacing w:line="360" w:lineRule="auto"/>
                    <w:jc w:val="center"/>
                    <w:rPr>
                      <w:szCs w:val="21"/>
                      <w:u w:val="none" w:color="auto"/>
                    </w:rPr>
                  </w:pPr>
                  <w:r>
                    <w:rPr>
                      <w:szCs w:val="21"/>
                      <w:u w:val="none" w:color="auto"/>
                    </w:rPr>
                    <w:t>13</w:t>
                  </w:r>
                </w:p>
              </w:tc>
              <w:tc>
                <w:tcPr>
                  <w:tcW w:w="2637" w:type="dxa"/>
                  <w:noWrap w:val="0"/>
                  <w:vAlign w:val="center"/>
                </w:tcPr>
                <w:p>
                  <w:pPr>
                    <w:adjustRightInd w:val="0"/>
                    <w:snapToGrid w:val="0"/>
                    <w:spacing w:line="360" w:lineRule="auto"/>
                    <w:jc w:val="center"/>
                    <w:rPr>
                      <w:szCs w:val="21"/>
                      <w:u w:val="none" w:color="auto"/>
                    </w:rPr>
                  </w:pPr>
                  <w:r>
                    <w:rPr>
                      <w:szCs w:val="21"/>
                      <w:u w:val="none" w:color="auto"/>
                    </w:rPr>
                    <w:t>是否属于生态敏感与脆弱区</w:t>
                  </w:r>
                </w:p>
              </w:tc>
              <w:tc>
                <w:tcPr>
                  <w:tcW w:w="5479" w:type="dxa"/>
                  <w:noWrap w:val="0"/>
                  <w:vAlign w:val="center"/>
                </w:tcPr>
                <w:p>
                  <w:pPr>
                    <w:adjustRightInd w:val="0"/>
                    <w:snapToGrid w:val="0"/>
                    <w:spacing w:line="360" w:lineRule="auto"/>
                    <w:jc w:val="center"/>
                    <w:rPr>
                      <w:szCs w:val="21"/>
                      <w:u w:val="none" w:color="auto"/>
                    </w:rPr>
                  </w:pPr>
                  <w:r>
                    <w:rPr>
                      <w:szCs w:val="21"/>
                      <w:u w:val="none" w:color="auto"/>
                    </w:rPr>
                    <w:t>否</w:t>
                  </w:r>
                </w:p>
              </w:tc>
            </w:tr>
          </w:tbl>
          <w:p>
            <w:pPr>
              <w:rPr>
                <w:u w:val="none" w:color="auto"/>
              </w:rPr>
            </w:pPr>
          </w:p>
        </w:tc>
      </w:tr>
    </w:tbl>
    <w:p>
      <w:pPr>
        <w:snapToGrid w:val="0"/>
        <w:textAlignment w:val="baseline"/>
        <w:outlineLvl w:val="0"/>
        <w:rPr>
          <w:rFonts w:eastAsia="黑体"/>
          <w:sz w:val="32"/>
          <w:u w:val="none" w:color="auto"/>
        </w:rPr>
      </w:pPr>
      <w:r>
        <w:rPr>
          <w:rFonts w:eastAsia="黑体"/>
          <w:sz w:val="32"/>
          <w:u w:val="none" w:color="auto"/>
        </w:rPr>
        <w:br w:type="page"/>
      </w:r>
      <w:bookmarkStart w:id="2" w:name="_Toc3926"/>
      <w:r>
        <w:rPr>
          <w:rFonts w:hint="eastAsia" w:eastAsia="黑体"/>
          <w:sz w:val="32"/>
          <w:u w:val="none" w:color="auto"/>
        </w:rPr>
        <w:t>三、</w:t>
      </w:r>
      <w:r>
        <w:rPr>
          <w:rFonts w:eastAsia="黑体"/>
          <w:sz w:val="32"/>
          <w:u w:val="none" w:color="auto"/>
        </w:rPr>
        <w:t>环境质量状况</w:t>
      </w:r>
      <w:bookmarkEnd w:id="2"/>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9268" w:type="dxa"/>
            <w:vAlign w:val="center"/>
          </w:tcPr>
          <w:p>
            <w:pPr>
              <w:snapToGrid w:val="0"/>
              <w:spacing w:before="162" w:beforeLines="50" w:line="360" w:lineRule="auto"/>
              <w:rPr>
                <w:rFonts w:ascii="宋体" w:hAnsi="宋体"/>
                <w:b/>
                <w:bCs/>
                <w:sz w:val="24"/>
                <w:szCs w:val="24"/>
                <w:u w:val="none" w:color="auto"/>
              </w:rPr>
            </w:pPr>
            <w:r>
              <w:rPr>
                <w:rFonts w:hint="eastAsia" w:ascii="宋体" w:hAnsi="宋体"/>
                <w:b/>
                <w:bCs/>
                <w:sz w:val="24"/>
                <w:szCs w:val="24"/>
                <w:u w:val="none" w:color="auto"/>
              </w:rPr>
              <w:t>建设项目所在地区域环境质量现状及主要环境问题(环境空气、地面水、声环境、生态环境等)：</w:t>
            </w:r>
          </w:p>
          <w:p>
            <w:pPr>
              <w:spacing w:line="360" w:lineRule="auto"/>
              <w:ind w:firstLine="233" w:firstLineChars="100"/>
              <w:rPr>
                <w:rFonts w:hint="default"/>
                <w:u w:val="none" w:color="auto"/>
              </w:rPr>
            </w:pPr>
            <w:r>
              <w:rPr>
                <w:rFonts w:hint="default" w:ascii="Times New Roman" w:hAnsi="Times New Roman" w:cs="Times New Roman"/>
                <w:b/>
                <w:bCs/>
                <w:color w:val="auto"/>
                <w:sz w:val="24"/>
                <w:szCs w:val="24"/>
                <w:u w:val="none" w:color="auto"/>
              </w:rPr>
              <w:t>3.1环境空气质量现状</w:t>
            </w:r>
          </w:p>
          <w:p>
            <w:pPr>
              <w:pStyle w:val="181"/>
              <w:spacing w:before="124" w:line="360" w:lineRule="auto"/>
              <w:ind w:right="77" w:firstLine="466" w:firstLineChars="200"/>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项目所在区域执行《环境空气质量标准》（GB3095-2012）的二级标准。</w:t>
            </w:r>
          </w:p>
          <w:p>
            <w:pPr>
              <w:pStyle w:val="174"/>
              <w:spacing w:line="360" w:lineRule="auto"/>
              <w:ind w:firstLine="466" w:firstLineChars="200"/>
              <w:rPr>
                <w:rFonts w:hint="eastAsia" w:cs="Times New Roman"/>
                <w:color w:val="auto"/>
                <w:kern w:val="0"/>
                <w:sz w:val="24"/>
                <w:szCs w:val="24"/>
                <w:u w:val="none" w:color="auto"/>
                <w:lang w:val="en-US" w:eastAsia="zh-CN" w:bidi="ar-SA"/>
              </w:rPr>
            </w:pPr>
            <w:r>
              <w:rPr>
                <w:rFonts w:hint="default" w:ascii="Times New Roman" w:hAnsi="Times New Roman" w:eastAsia="宋体" w:cs="Times New Roman"/>
                <w:color w:val="auto"/>
                <w:kern w:val="0"/>
                <w:sz w:val="24"/>
                <w:szCs w:val="24"/>
                <w:u w:val="none" w:color="auto"/>
                <w:lang w:val="en-US" w:eastAsia="en-US" w:bidi="ar-SA"/>
              </w:rPr>
              <w:t>根据《环境影响评价技术导则-大气环境》（HJ2.2-2018）中“6.2.1.1 项目所在区域达标判定，优先采用国家或生态环境主管部门发布的平均基准年环境质量公告或环境质量报告中的数据或结论”，基本因子采用</w:t>
            </w:r>
            <w:r>
              <w:rPr>
                <w:rFonts w:hint="eastAsia" w:ascii="Times New Roman" w:hAnsi="Times New Roman" w:eastAsia="宋体" w:cs="Times New Roman"/>
                <w:color w:val="auto"/>
                <w:kern w:val="0"/>
                <w:sz w:val="24"/>
                <w:szCs w:val="24"/>
                <w:u w:val="none" w:color="auto"/>
                <w:lang w:val="en-US" w:eastAsia="zh-CN" w:bidi="ar-SA"/>
              </w:rPr>
              <w:t>湘阴县环保</w:t>
            </w:r>
            <w:r>
              <w:rPr>
                <w:rFonts w:hint="default" w:ascii="Times New Roman" w:hAnsi="Times New Roman" w:eastAsia="宋体" w:cs="Times New Roman"/>
                <w:color w:val="auto"/>
                <w:kern w:val="0"/>
                <w:sz w:val="24"/>
                <w:szCs w:val="24"/>
                <w:u w:val="none" w:color="auto"/>
                <w:lang w:val="en-US" w:eastAsia="en-US" w:bidi="ar-SA"/>
              </w:rPr>
              <w:t>局发布的</w:t>
            </w:r>
            <w:r>
              <w:rPr>
                <w:rFonts w:hint="eastAsia" w:ascii="Times New Roman" w:hAnsi="Times New Roman" w:eastAsia="宋体" w:cs="Times New Roman"/>
                <w:color w:val="auto"/>
                <w:kern w:val="0"/>
                <w:sz w:val="24"/>
                <w:szCs w:val="24"/>
                <w:u w:val="none" w:color="auto"/>
                <w:lang w:val="en-US" w:eastAsia="zh-CN" w:bidi="ar-SA"/>
              </w:rPr>
              <w:t>湘阴县</w:t>
            </w:r>
            <w:r>
              <w:rPr>
                <w:rFonts w:hint="default" w:ascii="Times New Roman" w:hAnsi="Times New Roman" w:eastAsia="宋体" w:cs="Times New Roman"/>
                <w:color w:val="auto"/>
                <w:kern w:val="0"/>
                <w:sz w:val="24"/>
                <w:szCs w:val="24"/>
                <w:u w:val="none" w:color="auto"/>
                <w:lang w:val="en-US" w:eastAsia="en-US" w:bidi="ar-SA"/>
              </w:rPr>
              <w:t>环境空气质量情况进行评价，</w:t>
            </w:r>
            <w:r>
              <w:rPr>
                <w:rFonts w:hint="eastAsia" w:cs="Times New Roman"/>
                <w:color w:val="auto"/>
                <w:kern w:val="0"/>
                <w:sz w:val="24"/>
                <w:szCs w:val="24"/>
                <w:u w:val="none" w:color="auto"/>
                <w:lang w:val="en-US" w:eastAsia="zh-CN" w:bidi="ar-SA"/>
              </w:rPr>
              <w:t xml:space="preserve">      </w:t>
            </w:r>
          </w:p>
          <w:p>
            <w:pPr>
              <w:pStyle w:val="174"/>
              <w:spacing w:line="360" w:lineRule="auto"/>
              <w:ind w:firstLine="466" w:firstLineChars="200"/>
              <w:rPr>
                <w:rFonts w:hint="eastAsia"/>
                <w:color w:val="auto"/>
                <w:sz w:val="24"/>
                <w:szCs w:val="24"/>
                <w:u w:val="none" w:color="auto"/>
              </w:rPr>
            </w:pPr>
            <w:r>
              <w:rPr>
                <w:rFonts w:hint="eastAsia"/>
                <w:color w:val="auto"/>
                <w:sz w:val="24"/>
                <w:szCs w:val="24"/>
                <w:u w:val="none" w:color="auto"/>
                <w:lang w:eastAsia="zh-CN"/>
              </w:rPr>
              <w:t>根据</w:t>
            </w:r>
            <w:r>
              <w:rPr>
                <w:rFonts w:hint="eastAsia"/>
                <w:color w:val="auto"/>
                <w:sz w:val="24"/>
                <w:szCs w:val="24"/>
                <w:u w:val="none" w:color="auto"/>
                <w:lang w:val="en-US" w:eastAsia="zh-CN"/>
              </w:rPr>
              <w:t>2018年湘阴县环境空气质量公告中湘阴县环境空气质量数据（如下表所示），湘阴县</w:t>
            </w:r>
            <w:r>
              <w:rPr>
                <w:rFonts w:hint="default"/>
                <w:color w:val="auto"/>
                <w:sz w:val="24"/>
                <w:szCs w:val="24"/>
                <w:u w:val="none" w:color="auto"/>
              </w:rPr>
              <w:t>PM</w:t>
            </w:r>
            <w:r>
              <w:rPr>
                <w:rFonts w:hint="default"/>
                <w:color w:val="auto"/>
                <w:sz w:val="24"/>
                <w:szCs w:val="24"/>
                <w:u w:val="none" w:color="auto"/>
                <w:vertAlign w:val="subscript"/>
              </w:rPr>
              <w:t>10</w:t>
            </w:r>
            <w:r>
              <w:rPr>
                <w:rFonts w:hint="eastAsia"/>
                <w:color w:val="auto"/>
                <w:sz w:val="24"/>
                <w:szCs w:val="24"/>
                <w:u w:val="none" w:color="auto"/>
                <w:lang w:eastAsia="zh-CN"/>
              </w:rPr>
              <w:t>、</w:t>
            </w:r>
            <w:r>
              <w:rPr>
                <w:rFonts w:hint="default"/>
                <w:color w:val="auto"/>
                <w:sz w:val="24"/>
                <w:szCs w:val="24"/>
                <w:u w:val="none" w:color="auto"/>
              </w:rPr>
              <w:t>SO</w:t>
            </w:r>
            <w:r>
              <w:rPr>
                <w:rFonts w:hint="default"/>
                <w:color w:val="auto"/>
                <w:sz w:val="24"/>
                <w:szCs w:val="24"/>
                <w:u w:val="none" w:color="auto"/>
                <w:vertAlign w:val="subscript"/>
              </w:rPr>
              <w:t>2</w:t>
            </w:r>
            <w:r>
              <w:rPr>
                <w:rFonts w:hint="eastAsia"/>
                <w:color w:val="auto"/>
                <w:sz w:val="24"/>
                <w:szCs w:val="24"/>
                <w:u w:val="none" w:color="auto"/>
                <w:lang w:eastAsia="zh-CN"/>
              </w:rPr>
              <w:t>、</w:t>
            </w:r>
            <w:r>
              <w:rPr>
                <w:rFonts w:hint="default"/>
                <w:color w:val="auto"/>
                <w:sz w:val="24"/>
                <w:szCs w:val="24"/>
                <w:u w:val="none" w:color="auto"/>
              </w:rPr>
              <w:t>NO</w:t>
            </w:r>
            <w:r>
              <w:rPr>
                <w:rFonts w:hint="default"/>
                <w:color w:val="auto"/>
                <w:sz w:val="24"/>
                <w:szCs w:val="24"/>
                <w:u w:val="none" w:color="auto"/>
                <w:vertAlign w:val="subscript"/>
              </w:rPr>
              <w:t>2</w:t>
            </w:r>
            <w:r>
              <w:rPr>
                <w:rFonts w:hint="eastAsia"/>
                <w:color w:val="auto"/>
                <w:sz w:val="24"/>
                <w:szCs w:val="24"/>
                <w:u w:val="none" w:color="auto"/>
                <w:lang w:eastAsia="zh-CN"/>
              </w:rPr>
              <w:t>年平均质量浓度和</w:t>
            </w:r>
            <w:r>
              <w:rPr>
                <w:rFonts w:hint="eastAsia"/>
                <w:color w:val="auto"/>
                <w:sz w:val="24"/>
                <w:szCs w:val="24"/>
                <w:u w:val="none" w:color="auto"/>
                <w:lang w:val="en-US" w:eastAsia="zh-CN"/>
              </w:rPr>
              <w:t>C</w:t>
            </w:r>
            <w:r>
              <w:rPr>
                <w:rFonts w:hint="default"/>
                <w:color w:val="auto"/>
                <w:sz w:val="24"/>
                <w:szCs w:val="24"/>
                <w:u w:val="none" w:color="auto"/>
              </w:rPr>
              <w:t>O</w:t>
            </w:r>
            <w:r>
              <w:rPr>
                <w:rFonts w:hint="eastAsia"/>
                <w:color w:val="auto"/>
                <w:sz w:val="24"/>
                <w:szCs w:val="24"/>
                <w:u w:val="none" w:color="auto"/>
                <w:lang w:val="en-US" w:eastAsia="zh-CN"/>
              </w:rPr>
              <w:t>95百分位数</w:t>
            </w:r>
            <w:r>
              <w:rPr>
                <w:rFonts w:hint="eastAsia"/>
                <w:color w:val="auto"/>
                <w:sz w:val="24"/>
                <w:szCs w:val="24"/>
                <w:u w:val="none" w:color="auto"/>
                <w:lang w:eastAsia="zh-CN"/>
              </w:rPr>
              <w:t>日平均质量浓度、</w:t>
            </w:r>
            <w:r>
              <w:rPr>
                <w:rFonts w:hint="default"/>
                <w:color w:val="auto"/>
                <w:sz w:val="24"/>
                <w:szCs w:val="24"/>
                <w:u w:val="none" w:color="auto"/>
              </w:rPr>
              <w:t>O</w:t>
            </w:r>
            <w:r>
              <w:rPr>
                <w:rFonts w:hint="eastAsia"/>
                <w:color w:val="auto"/>
                <w:sz w:val="24"/>
                <w:szCs w:val="24"/>
                <w:u w:val="none" w:color="auto"/>
                <w:vertAlign w:val="subscript"/>
                <w:lang w:val="en-US" w:eastAsia="zh-CN"/>
              </w:rPr>
              <w:t>3</w:t>
            </w:r>
            <w:r>
              <w:rPr>
                <w:rFonts w:hint="eastAsia"/>
                <w:color w:val="auto"/>
                <w:sz w:val="24"/>
                <w:szCs w:val="24"/>
                <w:u w:val="none" w:color="auto"/>
                <w:lang w:val="en-US" w:eastAsia="zh-CN"/>
              </w:rPr>
              <w:t>90百分位数</w:t>
            </w:r>
            <w:r>
              <w:rPr>
                <w:rFonts w:hint="eastAsia"/>
                <w:color w:val="auto"/>
                <w:sz w:val="24"/>
                <w:szCs w:val="24"/>
                <w:u w:val="none" w:color="auto"/>
                <w:lang w:eastAsia="zh-CN"/>
              </w:rPr>
              <w:t>最大</w:t>
            </w:r>
            <w:r>
              <w:rPr>
                <w:rFonts w:hint="eastAsia"/>
                <w:color w:val="auto"/>
                <w:sz w:val="24"/>
                <w:szCs w:val="24"/>
                <w:u w:val="none" w:color="auto"/>
                <w:lang w:val="en-US" w:eastAsia="zh-CN"/>
              </w:rPr>
              <w:t>8小时平均质量浓度</w:t>
            </w:r>
            <w:r>
              <w:rPr>
                <w:rFonts w:hint="eastAsia"/>
                <w:color w:val="auto"/>
                <w:sz w:val="24"/>
                <w:szCs w:val="24"/>
                <w:u w:val="none" w:color="auto"/>
                <w:lang w:eastAsia="zh-CN"/>
              </w:rPr>
              <w:t>可达到</w:t>
            </w:r>
            <w:r>
              <w:rPr>
                <w:color w:val="auto"/>
                <w:sz w:val="24"/>
                <w:szCs w:val="24"/>
                <w:u w:val="none" w:color="auto"/>
              </w:rPr>
              <w:t>《环境空气质量标准》（GB3095-2012）中二级标准。</w:t>
            </w:r>
            <w:r>
              <w:rPr>
                <w:rFonts w:hint="default"/>
                <w:color w:val="auto"/>
                <w:sz w:val="24"/>
                <w:szCs w:val="24"/>
                <w:u w:val="none" w:color="auto"/>
              </w:rPr>
              <w:t>PM</w:t>
            </w:r>
            <w:r>
              <w:rPr>
                <w:rFonts w:hint="eastAsia"/>
                <w:color w:val="auto"/>
                <w:sz w:val="24"/>
                <w:szCs w:val="24"/>
                <w:u w:val="none" w:color="auto"/>
                <w:vertAlign w:val="subscript"/>
                <w:lang w:val="en-US" w:eastAsia="zh-CN"/>
              </w:rPr>
              <w:t>2.5</w:t>
            </w:r>
            <w:r>
              <w:rPr>
                <w:rFonts w:hint="eastAsia"/>
                <w:color w:val="auto"/>
                <w:sz w:val="24"/>
                <w:szCs w:val="24"/>
                <w:u w:val="none" w:color="auto"/>
                <w:lang w:eastAsia="zh-CN"/>
              </w:rPr>
              <w:t>年平均质量浓度尚未达到</w:t>
            </w:r>
            <w:r>
              <w:rPr>
                <w:color w:val="auto"/>
                <w:sz w:val="24"/>
                <w:szCs w:val="24"/>
                <w:u w:val="none" w:color="auto"/>
              </w:rPr>
              <w:t>《环境空气质量标准》（GB3095-2012）中二级标准。</w:t>
            </w:r>
          </w:p>
          <w:p>
            <w:pPr>
              <w:pStyle w:val="188"/>
              <w:rPr>
                <w:rFonts w:hint="eastAsia"/>
                <w:color w:val="auto"/>
                <w:u w:val="none" w:color="auto"/>
                <w:lang w:val="en-US" w:eastAsia="zh-CN"/>
              </w:rPr>
            </w:pPr>
            <w:r>
              <w:rPr>
                <w:rFonts w:hint="default"/>
                <w:color w:val="auto"/>
                <w:u w:val="none" w:color="auto"/>
              </w:rPr>
              <w:t>表</w:t>
            </w:r>
            <w:r>
              <w:rPr>
                <w:rFonts w:hint="eastAsia"/>
                <w:color w:val="auto"/>
                <w:u w:val="none" w:color="auto"/>
                <w:lang w:val="en-US" w:eastAsia="zh-CN"/>
              </w:rPr>
              <w:t>3-1</w:t>
            </w:r>
            <w:r>
              <w:rPr>
                <w:rFonts w:hint="default"/>
                <w:color w:val="auto"/>
                <w:u w:val="none" w:color="auto"/>
              </w:rPr>
              <w:t xml:space="preserve">  </w:t>
            </w:r>
            <w:r>
              <w:rPr>
                <w:rFonts w:hint="eastAsia"/>
                <w:color w:val="auto"/>
                <w:u w:val="none" w:color="auto"/>
                <w:lang w:val="en-US" w:eastAsia="zh-CN"/>
              </w:rPr>
              <w:t>2018年</w:t>
            </w:r>
            <w:r>
              <w:rPr>
                <w:rFonts w:hint="eastAsia"/>
                <w:color w:val="auto"/>
                <w:u w:val="none" w:color="auto"/>
                <w:lang w:eastAsia="zh-CN"/>
              </w:rPr>
              <w:t>区域空气质量现状评价</w:t>
            </w:r>
            <w:r>
              <w:rPr>
                <w:rFonts w:hint="default"/>
                <w:color w:val="auto"/>
                <w:u w:val="none" w:color="auto"/>
                <w:lang w:val="en-US" w:eastAsia="zh-CN"/>
              </w:rPr>
              <w:t>表</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123"/>
              <w:gridCol w:w="1917"/>
              <w:gridCol w:w="1405"/>
              <w:gridCol w:w="1293"/>
              <w:gridCol w:w="1209"/>
              <w:gridCol w:w="1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76" w:type="dxa"/>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eastAsia"/>
                      <w:color w:val="auto"/>
                      <w:sz w:val="22"/>
                      <w:szCs w:val="22"/>
                      <w:u w:val="none" w:color="auto"/>
                      <w:lang w:eastAsia="zh-CN"/>
                    </w:rPr>
                    <w:t>所在</w:t>
                  </w:r>
                </w:p>
                <w:p>
                  <w:pPr>
                    <w:pStyle w:val="186"/>
                    <w:spacing w:line="360" w:lineRule="auto"/>
                    <w:rPr>
                      <w:rFonts w:hint="eastAsia"/>
                      <w:color w:val="auto"/>
                      <w:sz w:val="22"/>
                      <w:szCs w:val="22"/>
                      <w:u w:val="none" w:color="auto"/>
                      <w:lang w:eastAsia="zh-CN"/>
                    </w:rPr>
                  </w:pPr>
                  <w:r>
                    <w:rPr>
                      <w:rFonts w:hint="eastAsia"/>
                      <w:color w:val="auto"/>
                      <w:sz w:val="22"/>
                      <w:szCs w:val="22"/>
                      <w:u w:val="none" w:color="auto"/>
                      <w:lang w:eastAsia="zh-CN"/>
                    </w:rPr>
                    <w:t>区域</w:t>
                  </w: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监测</w:t>
                  </w:r>
                </w:p>
                <w:p>
                  <w:pPr>
                    <w:pStyle w:val="186"/>
                    <w:spacing w:line="360" w:lineRule="auto"/>
                    <w:rPr>
                      <w:rFonts w:hint="default"/>
                      <w:color w:val="auto"/>
                      <w:sz w:val="22"/>
                      <w:szCs w:val="22"/>
                      <w:u w:val="none" w:color="auto"/>
                    </w:rPr>
                  </w:pPr>
                  <w:r>
                    <w:rPr>
                      <w:rFonts w:hint="default"/>
                      <w:color w:val="auto"/>
                      <w:sz w:val="22"/>
                      <w:szCs w:val="22"/>
                      <w:u w:val="none" w:color="auto"/>
                    </w:rPr>
                    <w:t>项目</w:t>
                  </w:r>
                </w:p>
              </w:tc>
              <w:tc>
                <w:tcPr>
                  <w:tcW w:w="1933"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年评价指标</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现状浓度（u</w:t>
                  </w:r>
                  <w:r>
                    <w:rPr>
                      <w:rFonts w:hint="default"/>
                      <w:color w:val="auto"/>
                      <w:sz w:val="22"/>
                      <w:szCs w:val="22"/>
                      <w:u w:val="none" w:color="auto"/>
                    </w:rPr>
                    <w:t>g/m</w:t>
                  </w:r>
                  <w:r>
                    <w:rPr>
                      <w:rFonts w:hint="default"/>
                      <w:color w:val="auto"/>
                      <w:sz w:val="22"/>
                      <w:szCs w:val="22"/>
                      <w:u w:val="none" w:color="auto"/>
                      <w:vertAlign w:val="superscript"/>
                    </w:rPr>
                    <w:t>3</w:t>
                  </w:r>
                  <w:r>
                    <w:rPr>
                      <w:rFonts w:hint="eastAsia"/>
                      <w:color w:val="auto"/>
                      <w:sz w:val="22"/>
                      <w:szCs w:val="22"/>
                      <w:u w:val="none" w:color="auto"/>
                      <w:lang w:val="en-US" w:eastAsia="zh-CN"/>
                    </w:rPr>
                    <w:t>）</w:t>
                  </w:r>
                </w:p>
              </w:tc>
              <w:tc>
                <w:tcPr>
                  <w:tcW w:w="1294"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标准值</w:t>
                  </w:r>
                  <w:r>
                    <w:rPr>
                      <w:rFonts w:hint="eastAsia"/>
                      <w:color w:val="auto"/>
                      <w:sz w:val="22"/>
                      <w:szCs w:val="22"/>
                      <w:u w:val="none" w:color="auto"/>
                      <w:lang w:val="en-US" w:eastAsia="zh-CN"/>
                    </w:rPr>
                    <w:t>（u</w:t>
                  </w:r>
                  <w:r>
                    <w:rPr>
                      <w:rFonts w:hint="default"/>
                      <w:color w:val="auto"/>
                      <w:sz w:val="22"/>
                      <w:szCs w:val="22"/>
                      <w:u w:val="none" w:color="auto"/>
                    </w:rPr>
                    <w:t>g/m</w:t>
                  </w:r>
                  <w:r>
                    <w:rPr>
                      <w:rFonts w:hint="default"/>
                      <w:color w:val="auto"/>
                      <w:sz w:val="22"/>
                      <w:szCs w:val="22"/>
                      <w:u w:val="none" w:color="auto"/>
                      <w:vertAlign w:val="superscript"/>
                    </w:rPr>
                    <w:t>3</w:t>
                  </w:r>
                  <w:r>
                    <w:rPr>
                      <w:rFonts w:hint="eastAsia"/>
                      <w:color w:val="auto"/>
                      <w:sz w:val="22"/>
                      <w:szCs w:val="22"/>
                      <w:u w:val="none" w:color="auto"/>
                      <w:lang w:val="en-US" w:eastAsia="zh-CN"/>
                    </w:rPr>
                    <w:t>）</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超标倍数</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restart"/>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eastAsia"/>
                      <w:color w:val="auto"/>
                      <w:sz w:val="22"/>
                      <w:szCs w:val="22"/>
                      <w:u w:val="none" w:color="auto"/>
                      <w:lang w:eastAsia="zh-CN"/>
                    </w:rPr>
                    <w:t>湘阴县</w:t>
                  </w: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SO</w:t>
                  </w:r>
                  <w:r>
                    <w:rPr>
                      <w:rFonts w:hint="default"/>
                      <w:color w:val="auto"/>
                      <w:sz w:val="22"/>
                      <w:szCs w:val="22"/>
                      <w:u w:val="none" w:color="auto"/>
                      <w:vertAlign w:val="subscript"/>
                    </w:rPr>
                    <w:t>2</w:t>
                  </w:r>
                </w:p>
              </w:tc>
              <w:tc>
                <w:tcPr>
                  <w:tcW w:w="1933" w:type="dxa"/>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8.09</w:t>
                  </w:r>
                </w:p>
              </w:tc>
              <w:tc>
                <w:tcPr>
                  <w:tcW w:w="1294" w:type="dxa"/>
                  <w:tcBorders>
                    <w:tl2br w:val="nil"/>
                    <w:tr2bl w:val="nil"/>
                  </w:tcBorders>
                  <w:noWrap w:val="0"/>
                  <w:vAlign w:val="center"/>
                </w:tcPr>
                <w:p>
                  <w:pPr>
                    <w:pStyle w:val="186"/>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60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NO</w:t>
                  </w:r>
                  <w:r>
                    <w:rPr>
                      <w:rFonts w:hint="default"/>
                      <w:color w:val="auto"/>
                      <w:sz w:val="22"/>
                      <w:szCs w:val="22"/>
                      <w:u w:val="none" w:color="auto"/>
                      <w:vertAlign w:val="subscript"/>
                    </w:rPr>
                    <w:t>2</w:t>
                  </w:r>
                </w:p>
              </w:tc>
              <w:tc>
                <w:tcPr>
                  <w:tcW w:w="1933" w:type="dxa"/>
                  <w:tcBorders>
                    <w:tl2br w:val="nil"/>
                    <w:tr2bl w:val="nil"/>
                  </w:tcBorders>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19.09</w:t>
                  </w:r>
                </w:p>
              </w:tc>
              <w:tc>
                <w:tcPr>
                  <w:tcW w:w="1294" w:type="dxa"/>
                  <w:tcBorders>
                    <w:tl2br w:val="nil"/>
                    <w:tr2bl w:val="nil"/>
                  </w:tcBorders>
                  <w:noWrap w:val="0"/>
                  <w:vAlign w:val="center"/>
                </w:tcPr>
                <w:p>
                  <w:pPr>
                    <w:pStyle w:val="186"/>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40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PM</w:t>
                  </w:r>
                  <w:r>
                    <w:rPr>
                      <w:rFonts w:hint="default"/>
                      <w:color w:val="auto"/>
                      <w:sz w:val="22"/>
                      <w:szCs w:val="22"/>
                      <w:u w:val="none" w:color="auto"/>
                      <w:vertAlign w:val="subscript"/>
                    </w:rPr>
                    <w:t>10</w:t>
                  </w:r>
                </w:p>
              </w:tc>
              <w:tc>
                <w:tcPr>
                  <w:tcW w:w="1933" w:type="dxa"/>
                  <w:tcBorders>
                    <w:tl2br w:val="nil"/>
                    <w:tr2bl w:val="nil"/>
                  </w:tcBorders>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55.54</w:t>
                  </w:r>
                </w:p>
              </w:tc>
              <w:tc>
                <w:tcPr>
                  <w:tcW w:w="1294" w:type="dxa"/>
                  <w:tcBorders>
                    <w:tl2br w:val="nil"/>
                    <w:tr2bl w:val="nil"/>
                  </w:tcBorders>
                  <w:noWrap w:val="0"/>
                  <w:vAlign w:val="center"/>
                </w:tcPr>
                <w:p>
                  <w:pPr>
                    <w:pStyle w:val="186"/>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70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default"/>
                      <w:color w:val="auto"/>
                      <w:sz w:val="22"/>
                      <w:szCs w:val="22"/>
                      <w:u w:val="none" w:color="auto"/>
                    </w:rPr>
                    <w:t>PM</w:t>
                  </w:r>
                  <w:r>
                    <w:rPr>
                      <w:rFonts w:hint="eastAsia"/>
                      <w:color w:val="auto"/>
                      <w:sz w:val="22"/>
                      <w:szCs w:val="22"/>
                      <w:u w:val="none" w:color="auto"/>
                      <w:vertAlign w:val="subscript"/>
                      <w:lang w:val="en-US" w:eastAsia="zh-CN"/>
                    </w:rPr>
                    <w:t>2.5</w:t>
                  </w:r>
                </w:p>
              </w:tc>
              <w:tc>
                <w:tcPr>
                  <w:tcW w:w="1933" w:type="dxa"/>
                  <w:tcBorders>
                    <w:tl2br w:val="nil"/>
                    <w:tr2bl w:val="nil"/>
                  </w:tcBorders>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6"/>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40.27</w:t>
                  </w:r>
                </w:p>
              </w:tc>
              <w:tc>
                <w:tcPr>
                  <w:tcW w:w="1294" w:type="dxa"/>
                  <w:tcBorders>
                    <w:tl2br w:val="nil"/>
                    <w:tr2bl w:val="nil"/>
                  </w:tcBorders>
                  <w:noWrap w:val="0"/>
                  <w:vAlign w:val="center"/>
                </w:tcPr>
                <w:p>
                  <w:pPr>
                    <w:pStyle w:val="186"/>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35</w:t>
                  </w:r>
                </w:p>
              </w:tc>
              <w:tc>
                <w:tcPr>
                  <w:tcW w:w="1216" w:type="dxa"/>
                  <w:tcBorders>
                    <w:tl2br w:val="nil"/>
                    <w:tr2bl w:val="nil"/>
                  </w:tcBorders>
                  <w:noWrap w:val="0"/>
                  <w:vAlign w:val="center"/>
                </w:tcPr>
                <w:p>
                  <w:pPr>
                    <w:pStyle w:val="186"/>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0.14</w:t>
                  </w:r>
                </w:p>
              </w:tc>
              <w:tc>
                <w:tcPr>
                  <w:tcW w:w="1216" w:type="dxa"/>
                  <w:tcBorders>
                    <w:tl2br w:val="nil"/>
                    <w:tr2bl w:val="nil"/>
                  </w:tcBorders>
                  <w:noWrap w:val="0"/>
                  <w:vAlign w:val="center"/>
                </w:tcPr>
                <w:p>
                  <w:pPr>
                    <w:pStyle w:val="186"/>
                    <w:spacing w:line="360" w:lineRule="auto"/>
                    <w:rPr>
                      <w:rFonts w:hint="default"/>
                      <w:b/>
                      <w:bCs/>
                      <w:color w:val="auto"/>
                      <w:sz w:val="22"/>
                      <w:szCs w:val="22"/>
                      <w:u w:val="none" w:color="auto"/>
                    </w:rPr>
                  </w:pPr>
                  <w:r>
                    <w:rPr>
                      <w:rFonts w:hint="eastAsia"/>
                      <w:b/>
                      <w:bCs/>
                      <w:color w:val="auto"/>
                      <w:sz w:val="22"/>
                      <w:szCs w:val="22"/>
                      <w:u w:val="none" w:color="auto"/>
                      <w:lang w:eastAsia="zh-CN"/>
                    </w:rPr>
                    <w:t>不</w:t>
                  </w:r>
                  <w:r>
                    <w:rPr>
                      <w:rFonts w:hint="default"/>
                      <w:b/>
                      <w:bCs/>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val="en-US" w:eastAsia="zh-CN"/>
                    </w:rPr>
                    <w:t>C</w:t>
                  </w:r>
                  <w:r>
                    <w:rPr>
                      <w:rFonts w:hint="default"/>
                      <w:color w:val="auto"/>
                      <w:sz w:val="22"/>
                      <w:szCs w:val="22"/>
                      <w:u w:val="none" w:color="auto"/>
                    </w:rPr>
                    <w:t>O</w:t>
                  </w:r>
                </w:p>
              </w:tc>
              <w:tc>
                <w:tcPr>
                  <w:tcW w:w="1933" w:type="dxa"/>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eastAsia"/>
                      <w:color w:val="auto"/>
                      <w:sz w:val="22"/>
                      <w:szCs w:val="22"/>
                      <w:u w:val="none" w:color="auto"/>
                      <w:lang w:val="en-US" w:eastAsia="zh-CN"/>
                    </w:rPr>
                    <w:t>95百分位数</w:t>
                  </w:r>
                  <w:r>
                    <w:rPr>
                      <w:rFonts w:hint="eastAsia"/>
                      <w:color w:val="auto"/>
                      <w:sz w:val="22"/>
                      <w:szCs w:val="22"/>
                      <w:u w:val="none" w:color="auto"/>
                      <w:lang w:eastAsia="zh-CN"/>
                    </w:rPr>
                    <w:t>日平均质量浓度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0.93</w:t>
                  </w:r>
                </w:p>
              </w:tc>
              <w:tc>
                <w:tcPr>
                  <w:tcW w:w="1294"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4000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default"/>
                      <w:color w:val="auto"/>
                      <w:sz w:val="22"/>
                      <w:szCs w:val="22"/>
                      <w:u w:val="none" w:color="auto"/>
                    </w:rPr>
                    <w:t>O</w:t>
                  </w:r>
                  <w:r>
                    <w:rPr>
                      <w:rFonts w:hint="eastAsia"/>
                      <w:color w:val="auto"/>
                      <w:sz w:val="22"/>
                      <w:szCs w:val="22"/>
                      <w:u w:val="none" w:color="auto"/>
                      <w:vertAlign w:val="subscript"/>
                      <w:lang w:val="en-US" w:eastAsia="zh-CN"/>
                    </w:rPr>
                    <w:t>3</w:t>
                  </w:r>
                </w:p>
              </w:tc>
              <w:tc>
                <w:tcPr>
                  <w:tcW w:w="1933"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90百分位数</w:t>
                  </w:r>
                  <w:r>
                    <w:rPr>
                      <w:rFonts w:hint="eastAsia"/>
                      <w:color w:val="auto"/>
                      <w:sz w:val="22"/>
                      <w:szCs w:val="22"/>
                      <w:u w:val="none" w:color="auto"/>
                      <w:lang w:eastAsia="zh-CN"/>
                    </w:rPr>
                    <w:t>最大</w:t>
                  </w:r>
                  <w:r>
                    <w:rPr>
                      <w:rFonts w:hint="eastAsia"/>
                      <w:color w:val="auto"/>
                      <w:sz w:val="22"/>
                      <w:szCs w:val="22"/>
                      <w:u w:val="none" w:color="auto"/>
                      <w:lang w:val="en-US" w:eastAsia="zh-CN"/>
                    </w:rPr>
                    <w:t>8小时平均质量浓度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89.18</w:t>
                  </w:r>
                </w:p>
              </w:tc>
              <w:tc>
                <w:tcPr>
                  <w:tcW w:w="1294"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160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bl>
          <w:p>
            <w:pPr>
              <w:pStyle w:val="174"/>
              <w:spacing w:line="360" w:lineRule="auto"/>
              <w:ind w:firstLine="466" w:firstLineChars="200"/>
              <w:rPr>
                <w:rFonts w:hint="eastAsia"/>
                <w:color w:val="auto"/>
                <w:sz w:val="24"/>
                <w:szCs w:val="24"/>
                <w:u w:val="none" w:color="auto"/>
              </w:rPr>
            </w:pPr>
            <w:r>
              <w:rPr>
                <w:rFonts w:hint="eastAsia"/>
                <w:color w:val="auto"/>
                <w:sz w:val="24"/>
                <w:szCs w:val="24"/>
                <w:u w:val="none" w:color="auto"/>
                <w:lang w:eastAsia="zh-CN"/>
              </w:rPr>
              <w:t>根据</w:t>
            </w:r>
            <w:r>
              <w:rPr>
                <w:rFonts w:hint="eastAsia"/>
                <w:color w:val="auto"/>
                <w:sz w:val="24"/>
                <w:szCs w:val="24"/>
                <w:u w:val="none" w:color="auto"/>
                <w:lang w:val="en-US" w:eastAsia="zh-CN"/>
              </w:rPr>
              <w:t>2019年湘阴县环境空气质量公告中湘阴县环境空气质量数据（如下表所示），湘阴县</w:t>
            </w:r>
            <w:r>
              <w:rPr>
                <w:rFonts w:hint="default"/>
                <w:color w:val="auto"/>
                <w:sz w:val="24"/>
                <w:szCs w:val="24"/>
                <w:u w:val="none" w:color="auto"/>
              </w:rPr>
              <w:t>PM</w:t>
            </w:r>
            <w:r>
              <w:rPr>
                <w:rFonts w:hint="default"/>
                <w:color w:val="auto"/>
                <w:sz w:val="24"/>
                <w:szCs w:val="24"/>
                <w:u w:val="none" w:color="auto"/>
                <w:vertAlign w:val="subscript"/>
              </w:rPr>
              <w:t>10</w:t>
            </w:r>
            <w:r>
              <w:rPr>
                <w:rFonts w:hint="eastAsia"/>
                <w:color w:val="auto"/>
                <w:sz w:val="24"/>
                <w:szCs w:val="24"/>
                <w:u w:val="none" w:color="auto"/>
                <w:lang w:eastAsia="zh-CN"/>
              </w:rPr>
              <w:t>、</w:t>
            </w:r>
            <w:r>
              <w:rPr>
                <w:rFonts w:hint="default"/>
                <w:color w:val="auto"/>
                <w:sz w:val="24"/>
                <w:szCs w:val="24"/>
                <w:u w:val="none" w:color="auto"/>
              </w:rPr>
              <w:t>SO</w:t>
            </w:r>
            <w:r>
              <w:rPr>
                <w:rFonts w:hint="default"/>
                <w:color w:val="auto"/>
                <w:sz w:val="24"/>
                <w:szCs w:val="24"/>
                <w:u w:val="none" w:color="auto"/>
                <w:vertAlign w:val="subscript"/>
              </w:rPr>
              <w:t>2</w:t>
            </w:r>
            <w:r>
              <w:rPr>
                <w:rFonts w:hint="eastAsia"/>
                <w:color w:val="auto"/>
                <w:sz w:val="24"/>
                <w:szCs w:val="24"/>
                <w:u w:val="none" w:color="auto"/>
                <w:lang w:eastAsia="zh-CN"/>
              </w:rPr>
              <w:t>、</w:t>
            </w:r>
            <w:r>
              <w:rPr>
                <w:rFonts w:hint="default"/>
                <w:color w:val="auto"/>
                <w:sz w:val="24"/>
                <w:szCs w:val="24"/>
                <w:u w:val="none" w:color="auto"/>
              </w:rPr>
              <w:t>NO</w:t>
            </w:r>
            <w:r>
              <w:rPr>
                <w:rFonts w:hint="default"/>
                <w:color w:val="auto"/>
                <w:sz w:val="24"/>
                <w:szCs w:val="24"/>
                <w:u w:val="none" w:color="auto"/>
                <w:vertAlign w:val="subscript"/>
              </w:rPr>
              <w:t>2</w:t>
            </w:r>
            <w:r>
              <w:rPr>
                <w:rFonts w:hint="eastAsia"/>
                <w:color w:val="auto"/>
                <w:sz w:val="24"/>
                <w:szCs w:val="24"/>
                <w:u w:val="none" w:color="auto"/>
                <w:lang w:eastAsia="zh-CN"/>
              </w:rPr>
              <w:t>年平均质量浓度和</w:t>
            </w:r>
            <w:r>
              <w:rPr>
                <w:rFonts w:hint="eastAsia"/>
                <w:color w:val="auto"/>
                <w:sz w:val="24"/>
                <w:szCs w:val="24"/>
                <w:u w:val="none" w:color="auto"/>
                <w:lang w:val="en-US" w:eastAsia="zh-CN"/>
              </w:rPr>
              <w:t>C</w:t>
            </w:r>
            <w:r>
              <w:rPr>
                <w:rFonts w:hint="default"/>
                <w:color w:val="auto"/>
                <w:sz w:val="24"/>
                <w:szCs w:val="24"/>
                <w:u w:val="none" w:color="auto"/>
              </w:rPr>
              <w:t>O</w:t>
            </w:r>
            <w:r>
              <w:rPr>
                <w:rFonts w:hint="eastAsia"/>
                <w:color w:val="auto"/>
                <w:sz w:val="24"/>
                <w:szCs w:val="24"/>
                <w:u w:val="none" w:color="auto"/>
                <w:lang w:val="en-US" w:eastAsia="zh-CN"/>
              </w:rPr>
              <w:t>95百分位数</w:t>
            </w:r>
            <w:r>
              <w:rPr>
                <w:rFonts w:hint="eastAsia"/>
                <w:color w:val="auto"/>
                <w:sz w:val="24"/>
                <w:szCs w:val="24"/>
                <w:u w:val="none" w:color="auto"/>
                <w:lang w:eastAsia="zh-CN"/>
              </w:rPr>
              <w:t>日平均质量浓度、</w:t>
            </w:r>
            <w:r>
              <w:rPr>
                <w:rFonts w:hint="default"/>
                <w:color w:val="auto"/>
                <w:sz w:val="24"/>
                <w:szCs w:val="24"/>
                <w:u w:val="none" w:color="auto"/>
              </w:rPr>
              <w:t>O</w:t>
            </w:r>
            <w:r>
              <w:rPr>
                <w:rFonts w:hint="eastAsia"/>
                <w:color w:val="auto"/>
                <w:sz w:val="24"/>
                <w:szCs w:val="24"/>
                <w:u w:val="none" w:color="auto"/>
                <w:vertAlign w:val="subscript"/>
                <w:lang w:val="en-US" w:eastAsia="zh-CN"/>
              </w:rPr>
              <w:t>3</w:t>
            </w:r>
            <w:r>
              <w:rPr>
                <w:rFonts w:hint="eastAsia"/>
                <w:color w:val="auto"/>
                <w:sz w:val="24"/>
                <w:szCs w:val="24"/>
                <w:u w:val="none" w:color="auto"/>
                <w:lang w:val="en-US" w:eastAsia="zh-CN"/>
              </w:rPr>
              <w:t>90百分位数</w:t>
            </w:r>
            <w:r>
              <w:rPr>
                <w:rFonts w:hint="eastAsia"/>
                <w:color w:val="auto"/>
                <w:sz w:val="24"/>
                <w:szCs w:val="24"/>
                <w:u w:val="none" w:color="auto"/>
                <w:lang w:eastAsia="zh-CN"/>
              </w:rPr>
              <w:t>最大</w:t>
            </w:r>
            <w:r>
              <w:rPr>
                <w:rFonts w:hint="eastAsia"/>
                <w:color w:val="auto"/>
                <w:sz w:val="24"/>
                <w:szCs w:val="24"/>
                <w:u w:val="none" w:color="auto"/>
                <w:lang w:val="en-US" w:eastAsia="zh-CN"/>
              </w:rPr>
              <w:t>8小时平均质量浓度</w:t>
            </w:r>
            <w:r>
              <w:rPr>
                <w:rFonts w:hint="eastAsia"/>
                <w:color w:val="auto"/>
                <w:sz w:val="24"/>
                <w:szCs w:val="24"/>
                <w:u w:val="none" w:color="auto"/>
                <w:lang w:eastAsia="zh-CN"/>
              </w:rPr>
              <w:t>可达到</w:t>
            </w:r>
            <w:r>
              <w:rPr>
                <w:color w:val="auto"/>
                <w:sz w:val="24"/>
                <w:szCs w:val="24"/>
                <w:u w:val="none" w:color="auto"/>
              </w:rPr>
              <w:t>《环境空气质量标准》（GB3095-2012）中二级标准。</w:t>
            </w:r>
            <w:r>
              <w:rPr>
                <w:rFonts w:hint="default"/>
                <w:color w:val="auto"/>
                <w:sz w:val="24"/>
                <w:szCs w:val="24"/>
                <w:u w:val="none" w:color="auto"/>
              </w:rPr>
              <w:t>PM</w:t>
            </w:r>
            <w:r>
              <w:rPr>
                <w:rFonts w:hint="eastAsia"/>
                <w:color w:val="auto"/>
                <w:sz w:val="24"/>
                <w:szCs w:val="24"/>
                <w:u w:val="none" w:color="auto"/>
                <w:vertAlign w:val="subscript"/>
                <w:lang w:val="en-US" w:eastAsia="zh-CN"/>
              </w:rPr>
              <w:t>2.5</w:t>
            </w:r>
            <w:r>
              <w:rPr>
                <w:rFonts w:hint="eastAsia"/>
                <w:color w:val="auto"/>
                <w:sz w:val="24"/>
                <w:szCs w:val="24"/>
                <w:u w:val="none" w:color="auto"/>
                <w:lang w:eastAsia="zh-CN"/>
              </w:rPr>
              <w:t>年平均质量浓度尚未达到</w:t>
            </w:r>
            <w:r>
              <w:rPr>
                <w:color w:val="auto"/>
                <w:sz w:val="24"/>
                <w:szCs w:val="24"/>
                <w:u w:val="none" w:color="auto"/>
              </w:rPr>
              <w:t>《环境空气质量标准》（GB3095-2012）中二级标准。</w:t>
            </w:r>
          </w:p>
          <w:p>
            <w:pPr>
              <w:pStyle w:val="188"/>
              <w:rPr>
                <w:rFonts w:hint="eastAsia"/>
                <w:color w:val="auto"/>
                <w:u w:val="none" w:color="auto"/>
                <w:lang w:val="en-US" w:eastAsia="zh-CN"/>
              </w:rPr>
            </w:pPr>
            <w:r>
              <w:rPr>
                <w:rFonts w:hint="eastAsia"/>
                <w:color w:val="auto"/>
                <w:u w:val="none" w:color="auto"/>
                <w:lang w:val="en-US" w:eastAsia="zh-CN"/>
              </w:rPr>
              <w:t xml:space="preserve">                </w:t>
            </w:r>
          </w:p>
          <w:p>
            <w:pPr>
              <w:pStyle w:val="188"/>
              <w:rPr>
                <w:rFonts w:hint="eastAsia"/>
                <w:color w:val="auto"/>
                <w:u w:val="none" w:color="auto"/>
                <w:lang w:val="en-US" w:eastAsia="zh-CN"/>
              </w:rPr>
            </w:pPr>
          </w:p>
          <w:p>
            <w:pPr>
              <w:pStyle w:val="188"/>
              <w:rPr>
                <w:rFonts w:hint="eastAsia"/>
                <w:color w:val="auto"/>
                <w:u w:val="none" w:color="auto"/>
                <w:lang w:val="en-US" w:eastAsia="zh-CN"/>
              </w:rPr>
            </w:pPr>
            <w:r>
              <w:rPr>
                <w:rFonts w:hint="eastAsia"/>
                <w:color w:val="auto"/>
                <w:u w:val="none" w:color="auto"/>
                <w:lang w:val="en-US" w:eastAsia="zh-CN"/>
              </w:rPr>
              <w:t xml:space="preserve">        </w:t>
            </w:r>
            <w:r>
              <w:rPr>
                <w:rFonts w:hint="default"/>
                <w:color w:val="auto"/>
                <w:u w:val="none" w:color="auto"/>
              </w:rPr>
              <w:t>表</w:t>
            </w:r>
            <w:r>
              <w:rPr>
                <w:rFonts w:hint="eastAsia"/>
                <w:color w:val="auto"/>
                <w:u w:val="none" w:color="auto"/>
                <w:lang w:val="en-US" w:eastAsia="zh-CN"/>
              </w:rPr>
              <w:t>3-2</w:t>
            </w:r>
            <w:r>
              <w:rPr>
                <w:rFonts w:hint="default"/>
                <w:color w:val="auto"/>
                <w:u w:val="none" w:color="auto"/>
              </w:rPr>
              <w:t xml:space="preserve">  </w:t>
            </w:r>
            <w:r>
              <w:rPr>
                <w:rFonts w:hint="eastAsia"/>
                <w:color w:val="auto"/>
                <w:u w:val="none" w:color="auto"/>
                <w:lang w:val="en-US" w:eastAsia="zh-CN"/>
              </w:rPr>
              <w:t>2019年</w:t>
            </w:r>
            <w:r>
              <w:rPr>
                <w:rFonts w:hint="eastAsia"/>
                <w:color w:val="auto"/>
                <w:u w:val="none" w:color="auto"/>
                <w:lang w:eastAsia="zh-CN"/>
              </w:rPr>
              <w:t>区域空气质量现状评价</w:t>
            </w:r>
            <w:r>
              <w:rPr>
                <w:rFonts w:hint="default"/>
                <w:color w:val="auto"/>
                <w:u w:val="none" w:color="auto"/>
                <w:lang w:val="en-US" w:eastAsia="zh-CN"/>
              </w:rPr>
              <w:t>表</w:t>
            </w:r>
            <w:r>
              <w:rPr>
                <w:rFonts w:hint="eastAsia"/>
                <w:color w:val="auto"/>
                <w:u w:val="none" w:color="auto"/>
                <w:lang w:val="en-US" w:eastAsia="zh-CN"/>
              </w:rPr>
              <w:t xml:space="preserve">           单位</w:t>
            </w:r>
            <w:r>
              <w:rPr>
                <w:rFonts w:hint="eastAsia"/>
                <w:color w:val="auto"/>
                <w:sz w:val="22"/>
                <w:szCs w:val="22"/>
                <w:u w:val="none" w:color="auto"/>
                <w:lang w:val="en-US" w:eastAsia="zh-CN"/>
              </w:rPr>
              <w:t>u</w:t>
            </w:r>
            <w:r>
              <w:rPr>
                <w:rFonts w:hint="default"/>
                <w:color w:val="auto"/>
                <w:sz w:val="22"/>
                <w:szCs w:val="22"/>
                <w:u w:val="none" w:color="auto"/>
              </w:rPr>
              <w:t>g/m</w:t>
            </w:r>
            <w:r>
              <w:rPr>
                <w:rFonts w:hint="default"/>
                <w:color w:val="auto"/>
                <w:sz w:val="22"/>
                <w:szCs w:val="22"/>
                <w:u w:val="none" w:color="auto"/>
                <w:vertAlign w:val="superscript"/>
              </w:rPr>
              <w:t>3</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123"/>
              <w:gridCol w:w="1916"/>
              <w:gridCol w:w="1405"/>
              <w:gridCol w:w="1293"/>
              <w:gridCol w:w="1210"/>
              <w:gridCol w:w="1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76" w:type="dxa"/>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eastAsia"/>
                      <w:color w:val="auto"/>
                      <w:sz w:val="22"/>
                      <w:szCs w:val="22"/>
                      <w:u w:val="none" w:color="auto"/>
                      <w:lang w:eastAsia="zh-CN"/>
                    </w:rPr>
                    <w:t>所在</w:t>
                  </w:r>
                </w:p>
                <w:p>
                  <w:pPr>
                    <w:pStyle w:val="186"/>
                    <w:spacing w:line="360" w:lineRule="auto"/>
                    <w:rPr>
                      <w:rFonts w:hint="eastAsia"/>
                      <w:color w:val="auto"/>
                      <w:sz w:val="22"/>
                      <w:szCs w:val="22"/>
                      <w:u w:val="none" w:color="auto"/>
                      <w:lang w:eastAsia="zh-CN"/>
                    </w:rPr>
                  </w:pPr>
                  <w:r>
                    <w:rPr>
                      <w:rFonts w:hint="eastAsia"/>
                      <w:color w:val="auto"/>
                      <w:sz w:val="22"/>
                      <w:szCs w:val="22"/>
                      <w:u w:val="none" w:color="auto"/>
                      <w:lang w:eastAsia="zh-CN"/>
                    </w:rPr>
                    <w:t>区域</w:t>
                  </w: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监测</w:t>
                  </w:r>
                </w:p>
                <w:p>
                  <w:pPr>
                    <w:pStyle w:val="186"/>
                    <w:spacing w:line="360" w:lineRule="auto"/>
                    <w:rPr>
                      <w:rFonts w:hint="default"/>
                      <w:color w:val="auto"/>
                      <w:sz w:val="22"/>
                      <w:szCs w:val="22"/>
                      <w:u w:val="none" w:color="auto"/>
                    </w:rPr>
                  </w:pPr>
                  <w:r>
                    <w:rPr>
                      <w:rFonts w:hint="default"/>
                      <w:color w:val="auto"/>
                      <w:sz w:val="22"/>
                      <w:szCs w:val="22"/>
                      <w:u w:val="none" w:color="auto"/>
                    </w:rPr>
                    <w:t>项目</w:t>
                  </w:r>
                </w:p>
              </w:tc>
              <w:tc>
                <w:tcPr>
                  <w:tcW w:w="1933"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年评价指标</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现状浓度（u</w:t>
                  </w:r>
                  <w:r>
                    <w:rPr>
                      <w:rFonts w:hint="default"/>
                      <w:color w:val="auto"/>
                      <w:sz w:val="22"/>
                      <w:szCs w:val="22"/>
                      <w:u w:val="none" w:color="auto"/>
                    </w:rPr>
                    <w:t>g/m</w:t>
                  </w:r>
                  <w:r>
                    <w:rPr>
                      <w:rFonts w:hint="default"/>
                      <w:color w:val="auto"/>
                      <w:sz w:val="22"/>
                      <w:szCs w:val="22"/>
                      <w:u w:val="none" w:color="auto"/>
                      <w:vertAlign w:val="superscript"/>
                    </w:rPr>
                    <w:t>3</w:t>
                  </w:r>
                  <w:r>
                    <w:rPr>
                      <w:rFonts w:hint="eastAsia"/>
                      <w:color w:val="auto"/>
                      <w:sz w:val="22"/>
                      <w:szCs w:val="22"/>
                      <w:u w:val="none" w:color="auto"/>
                      <w:lang w:val="en-US" w:eastAsia="zh-CN"/>
                    </w:rPr>
                    <w:t>）</w:t>
                  </w:r>
                </w:p>
              </w:tc>
              <w:tc>
                <w:tcPr>
                  <w:tcW w:w="1294"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标准值</w:t>
                  </w:r>
                  <w:r>
                    <w:rPr>
                      <w:rFonts w:hint="eastAsia"/>
                      <w:color w:val="auto"/>
                      <w:sz w:val="22"/>
                      <w:szCs w:val="22"/>
                      <w:u w:val="none" w:color="auto"/>
                      <w:lang w:val="en-US" w:eastAsia="zh-CN"/>
                    </w:rPr>
                    <w:t>（u</w:t>
                  </w:r>
                  <w:r>
                    <w:rPr>
                      <w:rFonts w:hint="default"/>
                      <w:color w:val="auto"/>
                      <w:sz w:val="22"/>
                      <w:szCs w:val="22"/>
                      <w:u w:val="none" w:color="auto"/>
                    </w:rPr>
                    <w:t>g/m</w:t>
                  </w:r>
                  <w:r>
                    <w:rPr>
                      <w:rFonts w:hint="default"/>
                      <w:color w:val="auto"/>
                      <w:sz w:val="22"/>
                      <w:szCs w:val="22"/>
                      <w:u w:val="none" w:color="auto"/>
                      <w:vertAlign w:val="superscript"/>
                    </w:rPr>
                    <w:t>3</w:t>
                  </w:r>
                  <w:r>
                    <w:rPr>
                      <w:rFonts w:hint="eastAsia"/>
                      <w:color w:val="auto"/>
                      <w:sz w:val="22"/>
                      <w:szCs w:val="22"/>
                      <w:u w:val="none" w:color="auto"/>
                      <w:lang w:val="en-US" w:eastAsia="zh-CN"/>
                    </w:rPr>
                    <w:t>）</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超标倍数%</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876" w:type="dxa"/>
                  <w:vMerge w:val="restart"/>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eastAsia"/>
                      <w:color w:val="auto"/>
                      <w:sz w:val="22"/>
                      <w:szCs w:val="22"/>
                      <w:u w:val="none" w:color="auto"/>
                      <w:lang w:eastAsia="zh-CN"/>
                    </w:rPr>
                    <w:t>湘阴县</w:t>
                  </w: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SO</w:t>
                  </w:r>
                  <w:r>
                    <w:rPr>
                      <w:rFonts w:hint="default"/>
                      <w:color w:val="auto"/>
                      <w:sz w:val="22"/>
                      <w:szCs w:val="22"/>
                      <w:u w:val="none" w:color="auto"/>
                      <w:vertAlign w:val="subscript"/>
                    </w:rPr>
                    <w:t>2</w:t>
                  </w:r>
                </w:p>
              </w:tc>
              <w:tc>
                <w:tcPr>
                  <w:tcW w:w="1933" w:type="dxa"/>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5.67</w:t>
                  </w:r>
                </w:p>
              </w:tc>
              <w:tc>
                <w:tcPr>
                  <w:tcW w:w="1294" w:type="dxa"/>
                  <w:tcBorders>
                    <w:tl2br w:val="nil"/>
                    <w:tr2bl w:val="nil"/>
                  </w:tcBorders>
                  <w:noWrap w:val="0"/>
                  <w:vAlign w:val="center"/>
                </w:tcPr>
                <w:p>
                  <w:pPr>
                    <w:pStyle w:val="186"/>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60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NO</w:t>
                  </w:r>
                  <w:r>
                    <w:rPr>
                      <w:rFonts w:hint="default"/>
                      <w:color w:val="auto"/>
                      <w:sz w:val="22"/>
                      <w:szCs w:val="22"/>
                      <w:u w:val="none" w:color="auto"/>
                      <w:vertAlign w:val="subscript"/>
                    </w:rPr>
                    <w:t>2</w:t>
                  </w:r>
                </w:p>
              </w:tc>
              <w:tc>
                <w:tcPr>
                  <w:tcW w:w="1933" w:type="dxa"/>
                  <w:tcBorders>
                    <w:tl2br w:val="nil"/>
                    <w:tr2bl w:val="nil"/>
                  </w:tcBorders>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23.00</w:t>
                  </w:r>
                </w:p>
              </w:tc>
              <w:tc>
                <w:tcPr>
                  <w:tcW w:w="1294" w:type="dxa"/>
                  <w:tcBorders>
                    <w:tl2br w:val="nil"/>
                    <w:tr2bl w:val="nil"/>
                  </w:tcBorders>
                  <w:noWrap w:val="0"/>
                  <w:vAlign w:val="center"/>
                </w:tcPr>
                <w:p>
                  <w:pPr>
                    <w:pStyle w:val="186"/>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40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PM</w:t>
                  </w:r>
                  <w:r>
                    <w:rPr>
                      <w:rFonts w:hint="default"/>
                      <w:color w:val="auto"/>
                      <w:sz w:val="22"/>
                      <w:szCs w:val="22"/>
                      <w:u w:val="none" w:color="auto"/>
                      <w:vertAlign w:val="subscript"/>
                    </w:rPr>
                    <w:t>10</w:t>
                  </w:r>
                </w:p>
              </w:tc>
              <w:tc>
                <w:tcPr>
                  <w:tcW w:w="1933" w:type="dxa"/>
                  <w:tcBorders>
                    <w:tl2br w:val="nil"/>
                    <w:tr2bl w:val="nil"/>
                  </w:tcBorders>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51.42</w:t>
                  </w:r>
                </w:p>
              </w:tc>
              <w:tc>
                <w:tcPr>
                  <w:tcW w:w="1294" w:type="dxa"/>
                  <w:tcBorders>
                    <w:tl2br w:val="nil"/>
                    <w:tr2bl w:val="nil"/>
                  </w:tcBorders>
                  <w:noWrap w:val="0"/>
                  <w:vAlign w:val="center"/>
                </w:tcPr>
                <w:p>
                  <w:pPr>
                    <w:pStyle w:val="186"/>
                    <w:spacing w:line="360" w:lineRule="auto"/>
                    <w:rPr>
                      <w:rFonts w:hint="default" w:eastAsia="宋体"/>
                      <w:color w:val="auto"/>
                      <w:sz w:val="22"/>
                      <w:szCs w:val="22"/>
                      <w:u w:val="none" w:color="auto"/>
                      <w:lang w:val="en-US" w:eastAsia="zh-CN"/>
                    </w:rPr>
                  </w:pPr>
                  <w:r>
                    <w:rPr>
                      <w:rFonts w:hint="eastAsia"/>
                      <w:color w:val="auto"/>
                      <w:sz w:val="22"/>
                      <w:szCs w:val="22"/>
                      <w:u w:val="none" w:color="auto"/>
                      <w:lang w:val="en-US" w:eastAsia="zh-CN"/>
                    </w:rPr>
                    <w:t>70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default"/>
                      <w:color w:val="auto"/>
                      <w:sz w:val="22"/>
                      <w:szCs w:val="22"/>
                      <w:u w:val="none" w:color="auto"/>
                    </w:rPr>
                    <w:t>PM</w:t>
                  </w:r>
                  <w:r>
                    <w:rPr>
                      <w:rFonts w:hint="eastAsia"/>
                      <w:color w:val="auto"/>
                      <w:sz w:val="22"/>
                      <w:szCs w:val="22"/>
                      <w:u w:val="none" w:color="auto"/>
                      <w:vertAlign w:val="subscript"/>
                      <w:lang w:val="en-US" w:eastAsia="zh-CN"/>
                    </w:rPr>
                    <w:t>2.5</w:t>
                  </w:r>
                </w:p>
              </w:tc>
              <w:tc>
                <w:tcPr>
                  <w:tcW w:w="1933" w:type="dxa"/>
                  <w:tcBorders>
                    <w:tl2br w:val="nil"/>
                    <w:tr2bl w:val="nil"/>
                  </w:tcBorders>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eastAsia="zh-CN"/>
                    </w:rPr>
                    <w:t>年平均质量浓度</w:t>
                  </w:r>
                </w:p>
              </w:tc>
              <w:tc>
                <w:tcPr>
                  <w:tcW w:w="1408" w:type="dxa"/>
                  <w:tcBorders>
                    <w:tl2br w:val="nil"/>
                    <w:tr2bl w:val="nil"/>
                  </w:tcBorders>
                  <w:noWrap w:val="0"/>
                  <w:vAlign w:val="center"/>
                </w:tcPr>
                <w:p>
                  <w:pPr>
                    <w:pStyle w:val="186"/>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39.33</w:t>
                  </w:r>
                </w:p>
              </w:tc>
              <w:tc>
                <w:tcPr>
                  <w:tcW w:w="1294" w:type="dxa"/>
                  <w:tcBorders>
                    <w:tl2br w:val="nil"/>
                    <w:tr2bl w:val="nil"/>
                  </w:tcBorders>
                  <w:noWrap w:val="0"/>
                  <w:vAlign w:val="center"/>
                </w:tcPr>
                <w:p>
                  <w:pPr>
                    <w:pStyle w:val="186"/>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35</w:t>
                  </w:r>
                </w:p>
              </w:tc>
              <w:tc>
                <w:tcPr>
                  <w:tcW w:w="1216" w:type="dxa"/>
                  <w:tcBorders>
                    <w:tl2br w:val="nil"/>
                    <w:tr2bl w:val="nil"/>
                  </w:tcBorders>
                  <w:noWrap w:val="0"/>
                  <w:vAlign w:val="center"/>
                </w:tcPr>
                <w:p>
                  <w:pPr>
                    <w:pStyle w:val="186"/>
                    <w:spacing w:line="360" w:lineRule="auto"/>
                    <w:rPr>
                      <w:rFonts w:hint="default"/>
                      <w:b/>
                      <w:bCs/>
                      <w:color w:val="auto"/>
                      <w:sz w:val="22"/>
                      <w:szCs w:val="22"/>
                      <w:u w:val="none" w:color="auto"/>
                      <w:lang w:val="en-US" w:eastAsia="zh-CN"/>
                    </w:rPr>
                  </w:pPr>
                  <w:r>
                    <w:rPr>
                      <w:rFonts w:hint="eastAsia"/>
                      <w:b/>
                      <w:bCs/>
                      <w:color w:val="auto"/>
                      <w:sz w:val="22"/>
                      <w:szCs w:val="22"/>
                      <w:u w:val="none" w:color="auto"/>
                      <w:lang w:val="en-US" w:eastAsia="zh-CN"/>
                    </w:rPr>
                    <w:t>0.12</w:t>
                  </w:r>
                </w:p>
              </w:tc>
              <w:tc>
                <w:tcPr>
                  <w:tcW w:w="1216" w:type="dxa"/>
                  <w:tcBorders>
                    <w:tl2br w:val="nil"/>
                    <w:tr2bl w:val="nil"/>
                  </w:tcBorders>
                  <w:noWrap w:val="0"/>
                  <w:vAlign w:val="center"/>
                </w:tcPr>
                <w:p>
                  <w:pPr>
                    <w:pStyle w:val="186"/>
                    <w:spacing w:line="360" w:lineRule="auto"/>
                    <w:rPr>
                      <w:rFonts w:hint="default"/>
                      <w:b/>
                      <w:bCs/>
                      <w:color w:val="auto"/>
                      <w:sz w:val="22"/>
                      <w:szCs w:val="22"/>
                      <w:u w:val="none" w:color="auto"/>
                    </w:rPr>
                  </w:pPr>
                  <w:r>
                    <w:rPr>
                      <w:rFonts w:hint="eastAsia"/>
                      <w:b/>
                      <w:bCs/>
                      <w:color w:val="auto"/>
                      <w:sz w:val="22"/>
                      <w:szCs w:val="22"/>
                      <w:u w:val="none" w:color="auto"/>
                      <w:lang w:eastAsia="zh-CN"/>
                    </w:rPr>
                    <w:t>不</w:t>
                  </w:r>
                  <w:r>
                    <w:rPr>
                      <w:rFonts w:hint="default"/>
                      <w:b/>
                      <w:bCs/>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val="en-US" w:eastAsia="zh-CN"/>
                    </w:rPr>
                    <w:t>C</w:t>
                  </w:r>
                  <w:r>
                    <w:rPr>
                      <w:rFonts w:hint="default"/>
                      <w:color w:val="auto"/>
                      <w:sz w:val="22"/>
                      <w:szCs w:val="22"/>
                      <w:u w:val="none" w:color="auto"/>
                    </w:rPr>
                    <w:t>O</w:t>
                  </w:r>
                </w:p>
              </w:tc>
              <w:tc>
                <w:tcPr>
                  <w:tcW w:w="1933" w:type="dxa"/>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eastAsia"/>
                      <w:color w:val="auto"/>
                      <w:sz w:val="22"/>
                      <w:szCs w:val="22"/>
                      <w:u w:val="none" w:color="auto"/>
                      <w:lang w:val="en-US" w:eastAsia="zh-CN"/>
                    </w:rPr>
                    <w:t>95百分位数</w:t>
                  </w:r>
                  <w:r>
                    <w:rPr>
                      <w:rFonts w:hint="eastAsia"/>
                      <w:color w:val="auto"/>
                      <w:sz w:val="22"/>
                      <w:szCs w:val="22"/>
                      <w:u w:val="none" w:color="auto"/>
                      <w:lang w:eastAsia="zh-CN"/>
                    </w:rPr>
                    <w:t>日平均质量浓度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1.04</w:t>
                  </w:r>
                </w:p>
              </w:tc>
              <w:tc>
                <w:tcPr>
                  <w:tcW w:w="1294"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4000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876" w:type="dxa"/>
                  <w:vMerge w:val="continue"/>
                  <w:tcBorders>
                    <w:tl2br w:val="nil"/>
                    <w:tr2bl w:val="nil"/>
                  </w:tcBorders>
                  <w:noWrap w:val="0"/>
                  <w:vAlign w:val="center"/>
                </w:tcPr>
                <w:p>
                  <w:pPr>
                    <w:pStyle w:val="186"/>
                    <w:spacing w:line="360" w:lineRule="auto"/>
                    <w:rPr>
                      <w:rFonts w:hint="default"/>
                      <w:color w:val="auto"/>
                      <w:sz w:val="22"/>
                      <w:szCs w:val="22"/>
                      <w:u w:val="none" w:color="auto"/>
                    </w:rPr>
                  </w:pPr>
                </w:p>
              </w:tc>
              <w:tc>
                <w:tcPr>
                  <w:tcW w:w="1128" w:type="dxa"/>
                  <w:tcBorders>
                    <w:tl2br w:val="nil"/>
                    <w:tr2bl w:val="nil"/>
                  </w:tcBorders>
                  <w:noWrap w:val="0"/>
                  <w:vAlign w:val="center"/>
                </w:tcPr>
                <w:p>
                  <w:pPr>
                    <w:pStyle w:val="186"/>
                    <w:spacing w:line="360" w:lineRule="auto"/>
                    <w:rPr>
                      <w:rFonts w:hint="eastAsia"/>
                      <w:color w:val="auto"/>
                      <w:sz w:val="22"/>
                      <w:szCs w:val="22"/>
                      <w:u w:val="none" w:color="auto"/>
                      <w:lang w:eastAsia="zh-CN"/>
                    </w:rPr>
                  </w:pPr>
                  <w:r>
                    <w:rPr>
                      <w:rFonts w:hint="default"/>
                      <w:color w:val="auto"/>
                      <w:sz w:val="22"/>
                      <w:szCs w:val="22"/>
                      <w:u w:val="none" w:color="auto"/>
                    </w:rPr>
                    <w:t>O</w:t>
                  </w:r>
                  <w:r>
                    <w:rPr>
                      <w:rFonts w:hint="eastAsia"/>
                      <w:color w:val="auto"/>
                      <w:sz w:val="22"/>
                      <w:szCs w:val="22"/>
                      <w:u w:val="none" w:color="auto"/>
                      <w:vertAlign w:val="subscript"/>
                      <w:lang w:val="en-US" w:eastAsia="zh-CN"/>
                    </w:rPr>
                    <w:t>3</w:t>
                  </w:r>
                </w:p>
              </w:tc>
              <w:tc>
                <w:tcPr>
                  <w:tcW w:w="1933"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90百分位数</w:t>
                  </w:r>
                  <w:r>
                    <w:rPr>
                      <w:rFonts w:hint="eastAsia"/>
                      <w:color w:val="auto"/>
                      <w:sz w:val="22"/>
                      <w:szCs w:val="22"/>
                      <w:u w:val="none" w:color="auto"/>
                      <w:lang w:eastAsia="zh-CN"/>
                    </w:rPr>
                    <w:t>最大</w:t>
                  </w:r>
                  <w:r>
                    <w:rPr>
                      <w:rFonts w:hint="eastAsia"/>
                      <w:color w:val="auto"/>
                      <w:sz w:val="22"/>
                      <w:szCs w:val="22"/>
                      <w:u w:val="none" w:color="auto"/>
                      <w:lang w:val="en-US" w:eastAsia="zh-CN"/>
                    </w:rPr>
                    <w:t>8小时平均质量浓度</w:t>
                  </w:r>
                </w:p>
              </w:tc>
              <w:tc>
                <w:tcPr>
                  <w:tcW w:w="1408"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101.67</w:t>
                  </w:r>
                </w:p>
              </w:tc>
              <w:tc>
                <w:tcPr>
                  <w:tcW w:w="1294" w:type="dxa"/>
                  <w:tcBorders>
                    <w:tl2br w:val="nil"/>
                    <w:tr2bl w:val="nil"/>
                  </w:tcBorders>
                  <w:noWrap w:val="0"/>
                  <w:vAlign w:val="center"/>
                </w:tcPr>
                <w:p>
                  <w:pPr>
                    <w:pStyle w:val="186"/>
                    <w:spacing w:line="360" w:lineRule="auto"/>
                    <w:rPr>
                      <w:rFonts w:hint="default"/>
                      <w:color w:val="auto"/>
                      <w:sz w:val="22"/>
                      <w:szCs w:val="22"/>
                      <w:u w:val="none" w:color="auto"/>
                      <w:lang w:val="en-US" w:eastAsia="zh-CN"/>
                    </w:rPr>
                  </w:pPr>
                  <w:r>
                    <w:rPr>
                      <w:rFonts w:hint="eastAsia"/>
                      <w:color w:val="auto"/>
                      <w:sz w:val="22"/>
                      <w:szCs w:val="22"/>
                      <w:u w:val="none" w:color="auto"/>
                      <w:lang w:val="en-US" w:eastAsia="zh-CN"/>
                    </w:rPr>
                    <w:t>160</w:t>
                  </w:r>
                </w:p>
              </w:tc>
              <w:tc>
                <w:tcPr>
                  <w:tcW w:w="1216" w:type="dxa"/>
                  <w:tcBorders>
                    <w:tl2br w:val="nil"/>
                    <w:tr2bl w:val="nil"/>
                  </w:tcBorders>
                  <w:noWrap w:val="0"/>
                  <w:vAlign w:val="center"/>
                </w:tcPr>
                <w:p>
                  <w:pPr>
                    <w:pStyle w:val="186"/>
                    <w:spacing w:line="360" w:lineRule="auto"/>
                    <w:rPr>
                      <w:rFonts w:hint="eastAsia"/>
                      <w:color w:val="auto"/>
                      <w:sz w:val="22"/>
                      <w:szCs w:val="22"/>
                      <w:u w:val="none" w:color="auto"/>
                      <w:lang w:val="en-US" w:eastAsia="zh-CN"/>
                    </w:rPr>
                  </w:pPr>
                  <w:r>
                    <w:rPr>
                      <w:rFonts w:hint="eastAsia"/>
                      <w:color w:val="auto"/>
                      <w:sz w:val="22"/>
                      <w:szCs w:val="22"/>
                      <w:u w:val="none" w:color="auto"/>
                      <w:lang w:val="en-US" w:eastAsia="zh-CN"/>
                    </w:rPr>
                    <w:t>0</w:t>
                  </w:r>
                </w:p>
              </w:tc>
              <w:tc>
                <w:tcPr>
                  <w:tcW w:w="1216" w:type="dxa"/>
                  <w:tcBorders>
                    <w:tl2br w:val="nil"/>
                    <w:tr2bl w:val="nil"/>
                  </w:tcBorders>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达标</w:t>
                  </w:r>
                </w:p>
              </w:tc>
            </w:tr>
          </w:tbl>
          <w:p>
            <w:pPr>
              <w:pStyle w:val="174"/>
              <w:spacing w:line="360" w:lineRule="auto"/>
              <w:ind w:firstLine="466" w:firstLineChars="200"/>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eastAsia="zh-CN"/>
              </w:rPr>
              <w:t>由上表可知，湘阴县</w:t>
            </w:r>
            <w:r>
              <w:rPr>
                <w:rFonts w:hint="default" w:ascii="Times New Roman" w:hAnsi="Times New Roman" w:cs="Times New Roman"/>
                <w:color w:val="auto"/>
                <w:sz w:val="24"/>
                <w:szCs w:val="24"/>
                <w:u w:val="none" w:color="auto"/>
              </w:rPr>
              <w:t>PM</w:t>
            </w:r>
            <w:r>
              <w:rPr>
                <w:rFonts w:hint="default" w:ascii="Times New Roman" w:hAnsi="Times New Roman" w:cs="Times New Roman"/>
                <w:color w:val="auto"/>
                <w:sz w:val="24"/>
                <w:szCs w:val="24"/>
                <w:u w:val="none" w:color="auto"/>
                <w:vertAlign w:val="subscript"/>
                <w:lang w:val="en-US" w:eastAsia="zh-CN"/>
              </w:rPr>
              <w:t>2.5</w:t>
            </w:r>
            <w:r>
              <w:rPr>
                <w:rFonts w:hint="default" w:ascii="Times New Roman" w:hAnsi="Times New Roman" w:cs="Times New Roman"/>
                <w:color w:val="auto"/>
                <w:sz w:val="24"/>
                <w:szCs w:val="24"/>
                <w:u w:val="none" w:color="auto"/>
                <w:lang w:val="en-US" w:eastAsia="zh-CN"/>
              </w:rPr>
              <w:t>出现超标，</w:t>
            </w:r>
            <w:r>
              <w:rPr>
                <w:rFonts w:hint="default" w:ascii="Times New Roman" w:hAnsi="Times New Roman" w:cs="Times New Roman"/>
                <w:color w:val="auto"/>
                <w:sz w:val="24"/>
                <w:szCs w:val="24"/>
                <w:u w:val="none" w:color="auto"/>
              </w:rPr>
              <w:t>PM</w:t>
            </w:r>
            <w:r>
              <w:rPr>
                <w:rFonts w:hint="default" w:ascii="Times New Roman" w:hAnsi="Times New Roman" w:cs="Times New Roman"/>
                <w:color w:val="auto"/>
                <w:sz w:val="24"/>
                <w:szCs w:val="24"/>
                <w:u w:val="none" w:color="auto"/>
                <w:vertAlign w:val="subscript"/>
                <w:lang w:val="en-US" w:eastAsia="zh-CN"/>
              </w:rPr>
              <w:t>2.5</w:t>
            </w:r>
            <w:r>
              <w:rPr>
                <w:rFonts w:hint="default" w:ascii="Times New Roman" w:hAnsi="Times New Roman" w:cs="Times New Roman"/>
                <w:color w:val="auto"/>
                <w:sz w:val="24"/>
                <w:szCs w:val="24"/>
                <w:u w:val="none" w:color="auto"/>
                <w:lang w:val="en-US" w:eastAsia="zh-CN"/>
              </w:rPr>
              <w:t>的超标倍数为0.1</w:t>
            </w:r>
            <w:r>
              <w:rPr>
                <w:rFonts w:hint="eastAsia" w:ascii="Times New Roman" w:hAnsi="Times New Roman" w:cs="Times New Roman"/>
                <w:color w:val="auto"/>
                <w:sz w:val="24"/>
                <w:szCs w:val="24"/>
                <w:u w:val="none" w:color="auto"/>
                <w:lang w:val="en-US" w:eastAsia="zh-CN"/>
              </w:rPr>
              <w:t>2</w:t>
            </w:r>
            <w:r>
              <w:rPr>
                <w:rFonts w:hint="default" w:ascii="Times New Roman" w:hAnsi="Times New Roman" w:cs="Times New Roman"/>
                <w:color w:val="auto"/>
                <w:sz w:val="24"/>
                <w:szCs w:val="24"/>
                <w:u w:val="none" w:color="auto"/>
                <w:lang w:val="en-US" w:eastAsia="zh-CN"/>
              </w:rPr>
              <w:t>，项目所在区域为环境空气质量不达标区。</w:t>
            </w:r>
          </w:p>
          <w:p>
            <w:pPr>
              <w:pStyle w:val="174"/>
              <w:spacing w:line="360" w:lineRule="auto"/>
              <w:ind w:firstLine="480"/>
              <w:rPr>
                <w:rFonts w:hint="eastAsia"/>
                <w:color w:val="auto"/>
                <w:sz w:val="24"/>
                <w:szCs w:val="24"/>
                <w:u w:val="none" w:color="auto"/>
                <w:lang w:eastAsia="zh-CN"/>
              </w:rPr>
            </w:pPr>
            <w:r>
              <w:rPr>
                <w:rFonts w:hint="default" w:ascii="Times New Roman" w:hAnsi="Times New Roman" w:cs="Times New Roman"/>
                <w:color w:val="auto"/>
                <w:sz w:val="24"/>
                <w:szCs w:val="24"/>
                <w:u w:val="none" w:color="auto"/>
                <w:lang w:val="en-US" w:eastAsia="zh-CN"/>
              </w:rPr>
              <w:t>根据</w:t>
            </w:r>
            <w:r>
              <w:rPr>
                <w:rFonts w:hint="default" w:ascii="Times New Roman" w:hAnsi="Times New Roman" w:cs="Times New Roman"/>
                <w:color w:val="auto"/>
                <w:sz w:val="24"/>
                <w:szCs w:val="24"/>
                <w:u w:val="none" w:color="auto"/>
                <w:lang w:eastAsia="zh-CN"/>
              </w:rPr>
              <w:t>《湖南省污染防治攻坚战三年行动计划(2018—2020年)》、《岳阳市洞庭湖生态环境专项整治三年行动实施方案（2018—2020年）》及《湘阴县城镇（乡）黑臭水体治理三年行动（2018-2020年）初步实施计划》，湘阴县近期采取产业和能源结构调整措施、大气污染治理的措施等一系列措施，同时</w:t>
            </w:r>
            <w:r>
              <w:rPr>
                <w:rFonts w:hint="default" w:ascii="Times New Roman" w:hAnsi="Times New Roman" w:cs="Times New Roman"/>
                <w:color w:val="auto"/>
                <w:sz w:val="24"/>
                <w:szCs w:val="24"/>
                <w:u w:val="none" w:color="auto"/>
                <w:lang w:val="en-US" w:eastAsia="zh-CN"/>
              </w:rPr>
              <w:t>根据表3-1及3-2中201</w:t>
            </w:r>
            <w:r>
              <w:rPr>
                <w:rFonts w:hint="eastAsia" w:ascii="Times New Roman" w:hAnsi="Times New Roman" w:cs="Times New Roman"/>
                <w:color w:val="auto"/>
                <w:sz w:val="24"/>
                <w:szCs w:val="24"/>
                <w:u w:val="none" w:color="auto"/>
                <w:lang w:val="en-US" w:eastAsia="zh-CN"/>
              </w:rPr>
              <w:t>8</w:t>
            </w:r>
            <w:r>
              <w:rPr>
                <w:rFonts w:hint="default" w:ascii="Times New Roman" w:hAnsi="Times New Roman" w:cs="Times New Roman"/>
                <w:color w:val="auto"/>
                <w:sz w:val="24"/>
                <w:szCs w:val="24"/>
                <w:u w:val="none" w:color="auto"/>
                <w:lang w:val="en-US" w:eastAsia="zh-CN"/>
              </w:rPr>
              <w:t>年和201</w:t>
            </w:r>
            <w:r>
              <w:rPr>
                <w:rFonts w:hint="eastAsia" w:ascii="Times New Roman" w:hAnsi="Times New Roman" w:cs="Times New Roman"/>
                <w:color w:val="auto"/>
                <w:sz w:val="24"/>
                <w:szCs w:val="24"/>
                <w:u w:val="none" w:color="auto"/>
                <w:lang w:val="en-US" w:eastAsia="zh-CN"/>
              </w:rPr>
              <w:t>9</w:t>
            </w:r>
            <w:r>
              <w:rPr>
                <w:rFonts w:hint="default" w:ascii="Times New Roman" w:hAnsi="Times New Roman" w:cs="Times New Roman"/>
                <w:color w:val="auto"/>
                <w:sz w:val="24"/>
                <w:szCs w:val="24"/>
                <w:u w:val="none" w:color="auto"/>
                <w:lang w:val="en-US" w:eastAsia="zh-CN"/>
              </w:rPr>
              <w:t>年环境空气质量现状对比可知，</w:t>
            </w:r>
            <w:r>
              <w:rPr>
                <w:rFonts w:hint="default" w:ascii="Times New Roman" w:hAnsi="Times New Roman" w:cs="Times New Roman"/>
                <w:color w:val="auto"/>
                <w:sz w:val="24"/>
                <w:szCs w:val="24"/>
                <w:u w:val="none" w:color="auto"/>
                <w:lang w:eastAsia="zh-CN"/>
              </w:rPr>
              <w:t>湘阴县</w:t>
            </w:r>
            <w:r>
              <w:rPr>
                <w:rFonts w:hint="default" w:ascii="Times New Roman" w:hAnsi="Times New Roman" w:cs="Times New Roman"/>
                <w:color w:val="auto"/>
                <w:sz w:val="24"/>
                <w:szCs w:val="24"/>
                <w:u w:val="none" w:color="auto"/>
                <w:lang w:val="en-US" w:eastAsia="zh-CN"/>
              </w:rPr>
              <w:t>环境空气质量正在逐步改善</w:t>
            </w:r>
            <w:r>
              <w:rPr>
                <w:rFonts w:hint="eastAsia"/>
                <w:color w:val="auto"/>
                <w:sz w:val="24"/>
                <w:szCs w:val="24"/>
                <w:u w:val="none" w:color="auto"/>
                <w:lang w:eastAsia="zh-CN"/>
              </w:rPr>
              <w:t>。</w:t>
            </w:r>
          </w:p>
          <w:p>
            <w:pPr>
              <w:pStyle w:val="174"/>
              <w:spacing w:line="360" w:lineRule="auto"/>
              <w:ind w:firstLine="480"/>
              <w:rPr>
                <w:color w:val="auto"/>
                <w:sz w:val="24"/>
                <w:szCs w:val="24"/>
                <w:u w:val="none" w:color="auto"/>
              </w:rPr>
            </w:pPr>
            <w:r>
              <w:rPr>
                <w:rFonts w:hint="eastAsia"/>
                <w:color w:val="auto"/>
                <w:sz w:val="24"/>
                <w:szCs w:val="24"/>
                <w:u w:val="none" w:color="auto"/>
                <w:lang w:eastAsia="zh-CN"/>
              </w:rPr>
              <w:t>本项目特征因子为“</w:t>
            </w:r>
            <w:r>
              <w:rPr>
                <w:rFonts w:hint="eastAsia"/>
                <w:color w:val="auto"/>
                <w:sz w:val="24"/>
                <w:szCs w:val="24"/>
                <w:u w:val="none" w:color="auto"/>
              </w:rPr>
              <w:t>TVOC</w:t>
            </w:r>
            <w:r>
              <w:rPr>
                <w:rFonts w:hint="eastAsia"/>
                <w:color w:val="auto"/>
                <w:sz w:val="24"/>
                <w:szCs w:val="24"/>
                <w:u w:val="none" w:color="auto"/>
                <w:lang w:eastAsia="zh-CN"/>
              </w:rPr>
              <w:t>”</w:t>
            </w:r>
            <w:r>
              <w:rPr>
                <w:color w:val="auto"/>
                <w:sz w:val="24"/>
                <w:szCs w:val="24"/>
                <w:u w:val="none" w:color="auto"/>
              </w:rPr>
              <w:t>，</w:t>
            </w:r>
            <w:r>
              <w:rPr>
                <w:rFonts w:hint="eastAsia"/>
                <w:color w:val="auto"/>
                <w:sz w:val="24"/>
                <w:szCs w:val="24"/>
                <w:u w:val="none" w:color="auto"/>
                <w:lang w:eastAsia="zh-CN"/>
              </w:rPr>
              <w:t>故</w:t>
            </w:r>
            <w:r>
              <w:rPr>
                <w:color w:val="auto"/>
                <w:sz w:val="24"/>
                <w:szCs w:val="24"/>
                <w:u w:val="none" w:color="auto"/>
              </w:rPr>
              <w:t>本环评</w:t>
            </w:r>
            <w:r>
              <w:rPr>
                <w:rFonts w:hint="eastAsia"/>
                <w:color w:val="auto"/>
                <w:sz w:val="24"/>
                <w:szCs w:val="24"/>
                <w:u w:val="none" w:color="auto"/>
                <w:lang w:eastAsia="zh-CN"/>
              </w:rPr>
              <w:t>引用</w:t>
            </w:r>
            <w:r>
              <w:rPr>
                <w:rFonts w:hint="default"/>
                <w:color w:val="auto"/>
                <w:sz w:val="24"/>
                <w:szCs w:val="24"/>
                <w:u w:val="none" w:color="auto"/>
                <w:lang w:val="en-US" w:eastAsia="zh-CN"/>
              </w:rPr>
              <w:t>《</w:t>
            </w:r>
            <w:r>
              <w:rPr>
                <w:rFonts w:hint="eastAsia"/>
                <w:sz w:val="24"/>
                <w:szCs w:val="24"/>
                <w:u w:val="none" w:color="auto"/>
              </w:rPr>
              <w:t>湘阴县雅彩化妆品有限公司年产化妆</w:t>
            </w:r>
            <w:r>
              <w:rPr>
                <w:rFonts w:hint="eastAsia"/>
                <w:sz w:val="24"/>
                <w:szCs w:val="24"/>
                <w:u w:val="none" w:color="auto"/>
                <w:lang w:eastAsia="zh-CN"/>
              </w:rPr>
              <w:t>刷</w:t>
            </w:r>
            <w:r>
              <w:rPr>
                <w:rFonts w:hint="eastAsia"/>
                <w:sz w:val="24"/>
                <w:szCs w:val="24"/>
                <w:u w:val="none" w:color="auto"/>
              </w:rPr>
              <w:t>3000万支、粉扑5000万</w:t>
            </w:r>
            <w:r>
              <w:rPr>
                <w:rFonts w:hint="eastAsia"/>
                <w:sz w:val="24"/>
                <w:szCs w:val="24"/>
                <w:u w:val="none" w:color="auto"/>
                <w:lang w:eastAsia="zh-CN"/>
              </w:rPr>
              <w:t>个</w:t>
            </w:r>
            <w:r>
              <w:rPr>
                <w:rFonts w:hint="eastAsia"/>
                <w:sz w:val="24"/>
                <w:szCs w:val="24"/>
                <w:u w:val="none" w:color="auto"/>
              </w:rPr>
              <w:t>建设项目</w:t>
            </w:r>
            <w:r>
              <w:rPr>
                <w:rFonts w:hint="eastAsia"/>
                <w:sz w:val="24"/>
                <w:szCs w:val="24"/>
                <w:u w:val="none" w:color="auto"/>
                <w:lang w:eastAsia="zh-CN"/>
              </w:rPr>
              <w:t>环境影响报告书</w:t>
            </w:r>
            <w:r>
              <w:rPr>
                <w:rFonts w:hint="default"/>
                <w:color w:val="auto"/>
                <w:sz w:val="24"/>
                <w:szCs w:val="24"/>
                <w:u w:val="none" w:color="auto"/>
                <w:lang w:val="en-US" w:eastAsia="zh-CN"/>
              </w:rPr>
              <w:t>》2019年6月20日-6月26日对周边区域现状监测的数据</w:t>
            </w:r>
            <w:r>
              <w:rPr>
                <w:rFonts w:hint="eastAsia"/>
                <w:color w:val="auto"/>
                <w:sz w:val="24"/>
                <w:szCs w:val="24"/>
                <w:u w:val="none" w:color="auto"/>
              </w:rPr>
              <w:t>，</w:t>
            </w:r>
            <w:r>
              <w:rPr>
                <w:rFonts w:hint="eastAsia"/>
                <w:sz w:val="24"/>
                <w:szCs w:val="24"/>
                <w:u w:val="none" w:color="auto"/>
              </w:rPr>
              <w:t>湘阴县雅彩化妆品有限公司</w:t>
            </w:r>
            <w:r>
              <w:rPr>
                <w:rFonts w:hint="eastAsia"/>
                <w:color w:val="auto"/>
                <w:sz w:val="24"/>
                <w:szCs w:val="24"/>
                <w:u w:val="none" w:color="auto"/>
                <w:lang w:eastAsia="zh-CN"/>
              </w:rPr>
              <w:t>位于</w:t>
            </w:r>
            <w:r>
              <w:rPr>
                <w:rFonts w:hint="eastAsia"/>
                <w:color w:val="auto"/>
                <w:sz w:val="24"/>
                <w:szCs w:val="24"/>
                <w:u w:val="none" w:color="auto"/>
                <w:lang w:val="en-US" w:eastAsia="zh-CN"/>
              </w:rPr>
              <w:t>本项目西北面500米处。</w:t>
            </w:r>
            <w:r>
              <w:rPr>
                <w:color w:val="auto"/>
                <w:sz w:val="24"/>
                <w:szCs w:val="24"/>
                <w:u w:val="none" w:color="auto"/>
              </w:rPr>
              <w:t>根据引用数据的时间与距离，其符合《环境影响评价技术导则  大气环境》（HJ2.2-20</w:t>
            </w:r>
            <w:r>
              <w:rPr>
                <w:rFonts w:hint="eastAsia"/>
                <w:color w:val="auto"/>
                <w:sz w:val="24"/>
                <w:szCs w:val="24"/>
                <w:u w:val="none" w:color="auto"/>
              </w:rPr>
              <w:t>1</w:t>
            </w:r>
            <w:r>
              <w:rPr>
                <w:color w:val="auto"/>
                <w:sz w:val="24"/>
                <w:szCs w:val="24"/>
                <w:u w:val="none" w:color="auto"/>
              </w:rPr>
              <w:t>8）中的对于引用数据的要求，本次环评引用数据可行。</w:t>
            </w:r>
          </w:p>
          <w:p>
            <w:pPr>
              <w:pStyle w:val="174"/>
              <w:numPr>
                <w:ilvl w:val="0"/>
                <w:numId w:val="4"/>
              </w:numPr>
              <w:spacing w:line="360" w:lineRule="auto"/>
              <w:ind w:firstLine="480"/>
              <w:rPr>
                <w:rFonts w:hint="eastAsia"/>
                <w:color w:val="auto"/>
                <w:sz w:val="24"/>
                <w:szCs w:val="24"/>
                <w:u w:val="none" w:color="auto"/>
                <w:lang w:eastAsia="zh-CN"/>
              </w:rPr>
            </w:pPr>
            <w:r>
              <w:rPr>
                <w:rFonts w:hint="eastAsia"/>
                <w:color w:val="auto"/>
                <w:sz w:val="24"/>
                <w:szCs w:val="24"/>
                <w:u w:val="none" w:color="auto"/>
                <w:lang w:eastAsia="zh-CN"/>
              </w:rPr>
              <w:t>引用监测点位</w:t>
            </w:r>
            <w:r>
              <w:rPr>
                <w:color w:val="auto"/>
                <w:sz w:val="24"/>
                <w:szCs w:val="24"/>
                <w:u w:val="none" w:color="auto"/>
              </w:rPr>
              <w:t>：</w:t>
            </w:r>
            <w:r>
              <w:rPr>
                <w:rFonts w:hint="eastAsia"/>
                <w:color w:val="auto"/>
                <w:sz w:val="24"/>
                <w:szCs w:val="24"/>
                <w:u w:val="none" w:color="auto"/>
              </w:rPr>
              <w:t>G</w:t>
            </w:r>
            <w:r>
              <w:rPr>
                <w:color w:val="auto"/>
                <w:sz w:val="24"/>
                <w:szCs w:val="24"/>
                <w:u w:val="none" w:color="auto"/>
              </w:rPr>
              <w:t>1项目</w:t>
            </w:r>
            <w:r>
              <w:rPr>
                <w:rFonts w:hint="eastAsia"/>
                <w:color w:val="auto"/>
                <w:sz w:val="24"/>
                <w:szCs w:val="24"/>
                <w:u w:val="none" w:color="auto"/>
                <w:lang w:eastAsia="zh-CN"/>
              </w:rPr>
              <w:t>所在地下</w:t>
            </w:r>
            <w:r>
              <w:rPr>
                <w:rFonts w:hint="eastAsia"/>
                <w:color w:val="auto"/>
                <w:sz w:val="24"/>
                <w:szCs w:val="24"/>
                <w:u w:val="none" w:color="auto"/>
              </w:rPr>
              <w:t>风向</w:t>
            </w:r>
            <w:r>
              <w:rPr>
                <w:rFonts w:hint="eastAsia"/>
                <w:color w:val="auto"/>
                <w:sz w:val="24"/>
                <w:szCs w:val="24"/>
                <w:u w:val="none" w:color="auto"/>
                <w:lang w:val="en-US" w:eastAsia="zh-CN"/>
              </w:rPr>
              <w:t>853</w:t>
            </w:r>
            <w:r>
              <w:rPr>
                <w:rFonts w:hint="eastAsia"/>
                <w:color w:val="auto"/>
                <w:sz w:val="24"/>
                <w:szCs w:val="24"/>
                <w:u w:val="none" w:color="auto"/>
              </w:rPr>
              <w:t>m处居民所在地</w:t>
            </w:r>
            <w:r>
              <w:rPr>
                <w:rFonts w:hint="eastAsia"/>
                <w:color w:val="auto"/>
                <w:sz w:val="24"/>
                <w:szCs w:val="24"/>
                <w:u w:val="none" w:color="auto"/>
                <w:lang w:eastAsia="zh-CN"/>
              </w:rPr>
              <w:t>。</w:t>
            </w:r>
          </w:p>
          <w:p>
            <w:pPr>
              <w:pStyle w:val="174"/>
              <w:spacing w:line="360" w:lineRule="auto"/>
              <w:ind w:firstLine="480"/>
              <w:rPr>
                <w:color w:val="auto"/>
                <w:sz w:val="24"/>
                <w:szCs w:val="24"/>
                <w:u w:val="none" w:color="auto"/>
              </w:rPr>
            </w:pPr>
            <w:r>
              <w:rPr>
                <w:color w:val="auto"/>
                <w:sz w:val="24"/>
                <w:szCs w:val="24"/>
                <w:u w:val="none" w:color="auto"/>
              </w:rPr>
              <w:t>（</w:t>
            </w:r>
            <w:r>
              <w:rPr>
                <w:rFonts w:hint="eastAsia"/>
                <w:color w:val="auto"/>
                <w:sz w:val="24"/>
                <w:szCs w:val="24"/>
                <w:u w:val="none" w:color="auto"/>
                <w:lang w:val="en-US" w:eastAsia="zh-CN"/>
              </w:rPr>
              <w:t>2</w:t>
            </w:r>
            <w:r>
              <w:rPr>
                <w:color w:val="auto"/>
                <w:sz w:val="24"/>
                <w:szCs w:val="24"/>
                <w:u w:val="none" w:color="auto"/>
              </w:rPr>
              <w:t>）监测因子：TVOC。</w:t>
            </w:r>
          </w:p>
          <w:p>
            <w:pPr>
              <w:pStyle w:val="174"/>
              <w:spacing w:line="360" w:lineRule="auto"/>
              <w:ind w:firstLine="480"/>
              <w:rPr>
                <w:color w:val="auto"/>
                <w:sz w:val="24"/>
                <w:szCs w:val="24"/>
                <w:u w:val="none" w:color="auto"/>
              </w:rPr>
            </w:pPr>
            <w:r>
              <w:rPr>
                <w:color w:val="auto"/>
                <w:sz w:val="24"/>
                <w:szCs w:val="24"/>
                <w:u w:val="none" w:color="auto"/>
              </w:rPr>
              <w:t>（</w:t>
            </w:r>
            <w:r>
              <w:rPr>
                <w:rFonts w:hint="eastAsia"/>
                <w:color w:val="auto"/>
                <w:sz w:val="24"/>
                <w:szCs w:val="24"/>
                <w:u w:val="none" w:color="auto"/>
                <w:lang w:val="en-US" w:eastAsia="zh-CN"/>
              </w:rPr>
              <w:t>3</w:t>
            </w:r>
            <w:r>
              <w:rPr>
                <w:color w:val="auto"/>
                <w:sz w:val="24"/>
                <w:szCs w:val="24"/>
                <w:u w:val="none" w:color="auto"/>
              </w:rPr>
              <w:t>）</w:t>
            </w:r>
            <w:r>
              <w:rPr>
                <w:rFonts w:hint="eastAsia"/>
                <w:color w:val="auto"/>
                <w:sz w:val="24"/>
                <w:szCs w:val="24"/>
                <w:u w:val="none" w:color="auto"/>
                <w:lang w:eastAsia="zh-CN"/>
              </w:rPr>
              <w:t>引用</w:t>
            </w:r>
            <w:r>
              <w:rPr>
                <w:color w:val="auto"/>
                <w:sz w:val="24"/>
                <w:szCs w:val="24"/>
                <w:u w:val="none" w:color="auto"/>
              </w:rPr>
              <w:t>监测结果统计与评价：</w:t>
            </w:r>
            <w:r>
              <w:rPr>
                <w:rFonts w:hint="eastAsia"/>
                <w:color w:val="auto"/>
                <w:sz w:val="24"/>
                <w:szCs w:val="24"/>
                <w:u w:val="none" w:color="auto"/>
                <w:lang w:eastAsia="zh-CN"/>
              </w:rPr>
              <w:t>引用</w:t>
            </w:r>
            <w:r>
              <w:rPr>
                <w:color w:val="auto"/>
                <w:sz w:val="24"/>
                <w:szCs w:val="24"/>
                <w:u w:val="none" w:color="auto"/>
              </w:rPr>
              <w:t>监测结果统计见表3-</w:t>
            </w:r>
            <w:r>
              <w:rPr>
                <w:rFonts w:hint="eastAsia"/>
                <w:color w:val="auto"/>
                <w:sz w:val="24"/>
                <w:szCs w:val="24"/>
                <w:u w:val="none" w:color="auto"/>
                <w:lang w:val="en-US" w:eastAsia="zh-CN"/>
              </w:rPr>
              <w:t>3</w:t>
            </w:r>
            <w:r>
              <w:rPr>
                <w:color w:val="auto"/>
                <w:sz w:val="24"/>
                <w:szCs w:val="24"/>
                <w:u w:val="none" w:color="auto"/>
              </w:rPr>
              <w:t>。</w:t>
            </w:r>
          </w:p>
          <w:p>
            <w:pPr>
              <w:pStyle w:val="190"/>
              <w:rPr>
                <w:rFonts w:hint="default"/>
                <w:color w:val="auto"/>
                <w:u w:val="none" w:color="auto"/>
              </w:rPr>
            </w:pPr>
          </w:p>
          <w:p>
            <w:pPr>
              <w:pStyle w:val="190"/>
              <w:rPr>
                <w:rFonts w:hint="default"/>
                <w:color w:val="auto"/>
                <w:u w:val="none" w:color="auto"/>
              </w:rPr>
            </w:pPr>
          </w:p>
          <w:p>
            <w:pPr>
              <w:pStyle w:val="190"/>
              <w:rPr>
                <w:rFonts w:hint="default"/>
                <w:color w:val="auto"/>
                <w:u w:val="none" w:color="auto"/>
              </w:rPr>
            </w:pPr>
          </w:p>
          <w:p>
            <w:pPr>
              <w:pStyle w:val="190"/>
              <w:rPr>
                <w:rFonts w:hint="default"/>
                <w:color w:val="auto"/>
                <w:u w:val="none" w:color="auto"/>
              </w:rPr>
            </w:pPr>
          </w:p>
          <w:p>
            <w:pPr>
              <w:pStyle w:val="190"/>
              <w:rPr>
                <w:rFonts w:hint="default"/>
                <w:color w:val="auto"/>
                <w:u w:val="none" w:color="auto"/>
              </w:rPr>
            </w:pPr>
            <w:r>
              <w:rPr>
                <w:rFonts w:hint="default"/>
                <w:color w:val="auto"/>
                <w:u w:val="none" w:color="auto"/>
              </w:rPr>
              <w:t>表3-</w:t>
            </w:r>
            <w:r>
              <w:rPr>
                <w:rFonts w:hint="eastAsia"/>
                <w:color w:val="auto"/>
                <w:u w:val="none" w:color="auto"/>
                <w:lang w:val="en-US" w:eastAsia="zh-CN"/>
              </w:rPr>
              <w:t>3</w:t>
            </w:r>
            <w:r>
              <w:rPr>
                <w:rFonts w:hint="default"/>
                <w:color w:val="auto"/>
                <w:u w:val="none" w:color="auto"/>
              </w:rPr>
              <w:t xml:space="preserve"> </w:t>
            </w:r>
            <w:r>
              <w:rPr>
                <w:rFonts w:hint="eastAsia"/>
                <w:color w:val="auto"/>
                <w:u w:val="none" w:color="auto"/>
                <w:lang w:eastAsia="zh-CN"/>
              </w:rPr>
              <w:t>引用数据</w:t>
            </w:r>
            <w:r>
              <w:rPr>
                <w:rFonts w:hint="default"/>
                <w:color w:val="auto"/>
                <w:u w:val="none" w:color="auto"/>
              </w:rPr>
              <w:t>统计结果  单位：（mg/m</w:t>
            </w:r>
            <w:r>
              <w:rPr>
                <w:rFonts w:hint="default"/>
                <w:color w:val="auto"/>
                <w:u w:val="none" w:color="auto"/>
                <w:vertAlign w:val="superscript"/>
              </w:rPr>
              <w:t>3</w:t>
            </w:r>
            <w:r>
              <w:rPr>
                <w:rFonts w:hint="default"/>
                <w:color w:val="auto"/>
                <w:u w:val="none" w:color="auto"/>
              </w:rPr>
              <w:t>）</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3925"/>
              <w:gridCol w:w="22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dxa"/>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监测点</w:t>
                  </w:r>
                </w:p>
              </w:tc>
              <w:tc>
                <w:tcPr>
                  <w:tcW w:w="3947" w:type="dxa"/>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项目</w:t>
                  </w:r>
                </w:p>
              </w:tc>
              <w:tc>
                <w:tcPr>
                  <w:tcW w:w="2263" w:type="dxa"/>
                  <w:noWrap w:val="0"/>
                  <w:vAlign w:val="center"/>
                </w:tcPr>
                <w:p>
                  <w:pPr>
                    <w:pStyle w:val="186"/>
                    <w:spacing w:line="360" w:lineRule="auto"/>
                    <w:rPr>
                      <w:color w:val="auto"/>
                      <w:sz w:val="22"/>
                      <w:szCs w:val="22"/>
                      <w:u w:val="none" w:color="auto"/>
                    </w:rPr>
                  </w:pPr>
                  <w:r>
                    <w:rPr>
                      <w:rFonts w:hint="default"/>
                      <w:color w:val="auto"/>
                      <w:sz w:val="22"/>
                      <w:szCs w:val="22"/>
                      <w:u w:val="none" w:color="auto"/>
                    </w:rPr>
                    <w:t>TVOC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dxa"/>
                  <w:vMerge w:val="restart"/>
                  <w:noWrap w:val="0"/>
                  <w:vAlign w:val="center"/>
                </w:tcPr>
                <w:p>
                  <w:pPr>
                    <w:pStyle w:val="186"/>
                    <w:spacing w:line="360" w:lineRule="auto"/>
                    <w:rPr>
                      <w:rFonts w:hint="default"/>
                      <w:color w:val="auto"/>
                      <w:sz w:val="22"/>
                      <w:szCs w:val="22"/>
                      <w:u w:val="none" w:color="auto"/>
                      <w:lang w:eastAsia="zh-CN"/>
                    </w:rPr>
                  </w:pPr>
                  <w:r>
                    <w:rPr>
                      <w:rFonts w:hint="default"/>
                      <w:color w:val="auto"/>
                      <w:sz w:val="22"/>
                      <w:szCs w:val="22"/>
                      <w:u w:val="none" w:color="auto"/>
                      <w:lang w:val="en-US" w:eastAsia="zh-CN"/>
                    </w:rPr>
                    <w:t>G1</w:t>
                  </w:r>
                </w:p>
              </w:tc>
              <w:tc>
                <w:tcPr>
                  <w:tcW w:w="3947" w:type="dxa"/>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浓度范围</w:t>
                  </w:r>
                </w:p>
              </w:tc>
              <w:tc>
                <w:tcPr>
                  <w:tcW w:w="2263" w:type="dxa"/>
                  <w:noWrap w:val="0"/>
                  <w:vAlign w:val="center"/>
                </w:tcPr>
                <w:p>
                  <w:pPr>
                    <w:pStyle w:val="186"/>
                    <w:spacing w:line="360" w:lineRule="auto"/>
                    <w:rPr>
                      <w:rFonts w:hint="default"/>
                      <w:color w:val="auto"/>
                      <w:sz w:val="22"/>
                      <w:szCs w:val="22"/>
                      <w:u w:val="none" w:color="auto"/>
                      <w:lang w:val="en-US"/>
                    </w:rPr>
                  </w:pPr>
                  <w:r>
                    <w:rPr>
                      <w:rFonts w:hint="eastAsia"/>
                      <w:color w:val="auto"/>
                      <w:sz w:val="22"/>
                      <w:szCs w:val="22"/>
                      <w:u w:val="none" w:color="auto"/>
                      <w:lang w:val="en-US" w:eastAsia="zh-CN"/>
                    </w:rPr>
                    <w:t>0.0311~0.476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dxa"/>
                  <w:vMerge w:val="continue"/>
                  <w:noWrap w:val="0"/>
                  <w:vAlign w:val="center"/>
                </w:tcPr>
                <w:p>
                  <w:pPr>
                    <w:pStyle w:val="186"/>
                    <w:spacing w:line="360" w:lineRule="auto"/>
                    <w:rPr>
                      <w:rFonts w:hint="default"/>
                      <w:color w:val="auto"/>
                      <w:sz w:val="22"/>
                      <w:szCs w:val="22"/>
                      <w:u w:val="none" w:color="auto"/>
                    </w:rPr>
                  </w:pPr>
                </w:p>
              </w:tc>
              <w:tc>
                <w:tcPr>
                  <w:tcW w:w="3947" w:type="dxa"/>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超标率（%）</w:t>
                  </w:r>
                </w:p>
              </w:tc>
              <w:tc>
                <w:tcPr>
                  <w:tcW w:w="2263" w:type="dxa"/>
                  <w:noWrap w:val="0"/>
                  <w:vAlign w:val="center"/>
                </w:tcPr>
                <w:p>
                  <w:pPr>
                    <w:pStyle w:val="186"/>
                    <w:spacing w:line="360" w:lineRule="auto"/>
                    <w:rPr>
                      <w:color w:val="auto"/>
                      <w:sz w:val="22"/>
                      <w:szCs w:val="22"/>
                      <w:u w:val="none" w:color="auto"/>
                    </w:rPr>
                  </w:pPr>
                  <w:r>
                    <w:rPr>
                      <w:rFonts w:hint="eastAsia"/>
                      <w:color w:val="auto"/>
                      <w:sz w:val="22"/>
                      <w:szCs w:val="22"/>
                      <w:u w:val="none" w:color="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dxa"/>
                  <w:vMerge w:val="continue"/>
                  <w:noWrap w:val="0"/>
                  <w:vAlign w:val="center"/>
                </w:tcPr>
                <w:p>
                  <w:pPr>
                    <w:pStyle w:val="186"/>
                    <w:spacing w:line="360" w:lineRule="auto"/>
                    <w:rPr>
                      <w:rFonts w:hint="default"/>
                      <w:color w:val="auto"/>
                      <w:sz w:val="22"/>
                      <w:szCs w:val="22"/>
                      <w:u w:val="none" w:color="auto"/>
                    </w:rPr>
                  </w:pPr>
                </w:p>
              </w:tc>
              <w:tc>
                <w:tcPr>
                  <w:tcW w:w="3947" w:type="dxa"/>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最大超标倍数</w:t>
                  </w:r>
                </w:p>
              </w:tc>
              <w:tc>
                <w:tcPr>
                  <w:tcW w:w="2263" w:type="dxa"/>
                  <w:noWrap w:val="0"/>
                  <w:vAlign w:val="center"/>
                </w:tcPr>
                <w:p>
                  <w:pPr>
                    <w:pStyle w:val="186"/>
                    <w:spacing w:line="360" w:lineRule="auto"/>
                    <w:rPr>
                      <w:color w:val="auto"/>
                      <w:sz w:val="22"/>
                      <w:szCs w:val="22"/>
                      <w:u w:val="none" w:color="auto"/>
                    </w:rPr>
                  </w:pPr>
                  <w:r>
                    <w:rPr>
                      <w:rFonts w:hint="eastAsia"/>
                      <w:color w:val="auto"/>
                      <w:sz w:val="22"/>
                      <w:szCs w:val="22"/>
                      <w:u w:val="none" w:color="auto"/>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61" w:type="dxa"/>
                  <w:noWrap w:val="0"/>
                  <w:vAlign w:val="center"/>
                </w:tcPr>
                <w:p>
                  <w:pPr>
                    <w:pStyle w:val="186"/>
                    <w:spacing w:line="360" w:lineRule="auto"/>
                    <w:rPr>
                      <w:rFonts w:hint="default"/>
                      <w:color w:val="auto"/>
                      <w:sz w:val="22"/>
                      <w:szCs w:val="22"/>
                      <w:u w:val="none" w:color="auto"/>
                    </w:rPr>
                  </w:pPr>
                  <w:r>
                    <w:rPr>
                      <w:rFonts w:hint="default"/>
                      <w:color w:val="auto"/>
                      <w:sz w:val="22"/>
                      <w:szCs w:val="22"/>
                      <w:u w:val="none" w:color="auto"/>
                    </w:rPr>
                    <w:t>标准值</w:t>
                  </w:r>
                </w:p>
              </w:tc>
              <w:tc>
                <w:tcPr>
                  <w:tcW w:w="3947" w:type="dxa"/>
                  <w:noWrap w:val="0"/>
                  <w:vAlign w:val="center"/>
                </w:tcPr>
                <w:p>
                  <w:pPr>
                    <w:pStyle w:val="186"/>
                    <w:spacing w:line="360" w:lineRule="auto"/>
                    <w:rPr>
                      <w:rFonts w:hint="default"/>
                      <w:color w:val="auto"/>
                      <w:sz w:val="22"/>
                      <w:szCs w:val="22"/>
                      <w:u w:val="none" w:color="auto"/>
                    </w:rPr>
                  </w:pPr>
                  <w:r>
                    <w:rPr>
                      <w:rFonts w:hint="eastAsia"/>
                      <w:color w:val="auto"/>
                      <w:sz w:val="22"/>
                      <w:szCs w:val="22"/>
                      <w:u w:val="none" w:color="auto"/>
                      <w:lang w:val="en-US" w:eastAsia="zh-CN"/>
                    </w:rPr>
                    <w:t>TVOC为八小时值</w:t>
                  </w:r>
                </w:p>
              </w:tc>
              <w:tc>
                <w:tcPr>
                  <w:tcW w:w="2263" w:type="dxa"/>
                  <w:noWrap w:val="0"/>
                  <w:vAlign w:val="center"/>
                </w:tcPr>
                <w:p>
                  <w:pPr>
                    <w:pStyle w:val="186"/>
                    <w:spacing w:line="360" w:lineRule="auto"/>
                    <w:rPr>
                      <w:color w:val="auto"/>
                      <w:sz w:val="22"/>
                      <w:szCs w:val="22"/>
                      <w:u w:val="none" w:color="auto"/>
                    </w:rPr>
                  </w:pPr>
                  <w:r>
                    <w:rPr>
                      <w:rFonts w:hint="eastAsia"/>
                      <w:color w:val="auto"/>
                      <w:sz w:val="22"/>
                      <w:szCs w:val="22"/>
                      <w:u w:val="none" w:color="auto"/>
                      <w:lang w:val="en-US" w:eastAsia="zh-CN"/>
                    </w:rPr>
                    <w:t>0.6</w:t>
                  </w:r>
                </w:p>
              </w:tc>
            </w:tr>
          </w:tbl>
          <w:p>
            <w:pPr>
              <w:bidi w:val="0"/>
              <w:spacing w:line="360" w:lineRule="auto"/>
              <w:ind w:firstLine="699" w:firstLineChars="300"/>
              <w:rPr>
                <w:rFonts w:hint="default" w:ascii="Times New Roman" w:hAnsi="Times New Roman" w:cs="Times New Roman"/>
                <w:b/>
                <w:bCs/>
                <w:color w:val="auto"/>
                <w:sz w:val="24"/>
                <w:szCs w:val="24"/>
                <w:u w:val="none" w:color="auto"/>
              </w:rPr>
            </w:pPr>
            <w:r>
              <w:rPr>
                <w:rFonts w:hint="default"/>
                <w:color w:val="auto"/>
                <w:sz w:val="24"/>
                <w:szCs w:val="24"/>
                <w:u w:val="none" w:color="auto"/>
              </w:rPr>
              <w:t>由上表</w:t>
            </w:r>
            <w:r>
              <w:rPr>
                <w:rFonts w:hint="eastAsia"/>
                <w:color w:val="auto"/>
                <w:sz w:val="24"/>
                <w:szCs w:val="24"/>
                <w:u w:val="none" w:color="auto"/>
                <w:lang w:val="en-US" w:eastAsia="zh-CN"/>
              </w:rPr>
              <w:t>3-3</w:t>
            </w:r>
            <w:r>
              <w:rPr>
                <w:rFonts w:hint="default"/>
                <w:color w:val="auto"/>
                <w:sz w:val="24"/>
                <w:szCs w:val="24"/>
                <w:u w:val="none" w:color="auto"/>
              </w:rPr>
              <w:t>可见，TVOC满足</w:t>
            </w:r>
            <w:r>
              <w:rPr>
                <w:rFonts w:hint="eastAsia"/>
                <w:color w:val="auto"/>
                <w:sz w:val="24"/>
                <w:szCs w:val="24"/>
                <w:u w:val="none" w:color="auto"/>
                <w:lang w:eastAsia="zh-CN"/>
              </w:rPr>
              <w:t>《环境影响评价技术导则 大气环境》（HJ2.2-2018）附录D中相应的标准</w:t>
            </w:r>
            <w:r>
              <w:rPr>
                <w:rFonts w:hint="eastAsia" w:ascii="Times New Roman" w:hAnsi="Times New Roman" w:cs="Times New Roman"/>
                <w:sz w:val="24"/>
                <w:szCs w:val="24"/>
                <w:u w:val="none" w:color="auto"/>
                <w:lang w:eastAsia="zh-CN"/>
              </w:rPr>
              <w:t>。</w:t>
            </w:r>
          </w:p>
          <w:p>
            <w:pPr>
              <w:spacing w:line="360" w:lineRule="auto"/>
              <w:rPr>
                <w:rFonts w:hint="default" w:ascii="Times New Roman" w:hAnsi="Times New Roman" w:cs="Times New Roman"/>
                <w:b/>
                <w:bCs/>
                <w:color w:val="auto"/>
                <w:sz w:val="24"/>
                <w:szCs w:val="24"/>
                <w:u w:val="none" w:color="auto"/>
              </w:rPr>
            </w:pPr>
            <w:r>
              <w:rPr>
                <w:rFonts w:hint="default" w:ascii="Times New Roman" w:hAnsi="Times New Roman" w:cs="Times New Roman"/>
                <w:b/>
                <w:bCs/>
                <w:color w:val="auto"/>
                <w:sz w:val="24"/>
                <w:szCs w:val="24"/>
                <w:u w:val="none" w:color="auto"/>
              </w:rPr>
              <w:t>3.2地表水环境质量现状</w:t>
            </w:r>
          </w:p>
          <w:p>
            <w:pPr>
              <w:spacing w:line="360" w:lineRule="auto"/>
              <w:ind w:firstLine="466" w:firstLineChars="200"/>
              <w:textAlignment w:val="baseline"/>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为了解建设项目所在地的地表水环境状况</w:t>
            </w:r>
            <w:r>
              <w:rPr>
                <w:rFonts w:hint="eastAsia" w:cs="Times New Roman"/>
                <w:color w:val="auto"/>
                <w:sz w:val="24"/>
                <w:szCs w:val="24"/>
                <w:u w:val="none" w:color="auto"/>
                <w:lang w:eastAsia="zh-CN"/>
              </w:rPr>
              <w:t>，本次环评引用</w:t>
            </w:r>
            <w:r>
              <w:rPr>
                <w:rFonts w:hint="eastAsia" w:cs="Times New Roman"/>
                <w:color w:val="auto"/>
                <w:sz w:val="24"/>
                <w:szCs w:val="24"/>
                <w:u w:val="none" w:color="auto"/>
                <w:lang w:val="en-US" w:eastAsia="zh-CN"/>
              </w:rPr>
              <w:t>2019年湘阴县环境监测站对湘江乌龙嘴、洋沙湖断面进行监测</w:t>
            </w:r>
            <w:r>
              <w:rPr>
                <w:rFonts w:hint="eastAsia"/>
                <w:color w:val="auto"/>
                <w:sz w:val="24"/>
                <w:u w:val="none" w:color="auto"/>
                <w:lang w:eastAsia="zh-CN"/>
              </w:rPr>
              <w:t>，</w:t>
            </w:r>
            <w:r>
              <w:rPr>
                <w:rFonts w:hint="default" w:ascii="Times New Roman" w:hAnsi="Times New Roman" w:cs="Times New Roman"/>
                <w:color w:val="auto"/>
                <w:sz w:val="24"/>
                <w:szCs w:val="24"/>
                <w:u w:val="none" w:color="auto"/>
              </w:rPr>
              <w:t>具体监测情况详见下表。</w:t>
            </w:r>
          </w:p>
          <w:p>
            <w:pPr>
              <w:spacing w:line="360" w:lineRule="auto"/>
              <w:jc w:val="center"/>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表3-</w:t>
            </w:r>
            <w:r>
              <w:rPr>
                <w:rFonts w:hint="eastAsia"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 xml:space="preserve">  地表水环境质量现状监测结果</w:t>
            </w:r>
            <w:r>
              <w:rPr>
                <w:rFonts w:hint="eastAsia" w:cs="Times New Roman"/>
                <w:color w:val="auto"/>
                <w:sz w:val="24"/>
                <w:szCs w:val="24"/>
                <w:u w:val="none" w:color="auto"/>
                <w:lang w:eastAsia="zh-CN"/>
              </w:rPr>
              <w:t>（湘江乌龙嘴段）</w:t>
            </w:r>
            <w:r>
              <w:rPr>
                <w:rFonts w:hint="default" w:ascii="Times New Roman" w:hAnsi="Times New Roman" w:cs="Times New Roman"/>
                <w:color w:val="auto"/>
                <w:sz w:val="24"/>
                <w:szCs w:val="24"/>
                <w:u w:val="none" w:color="auto"/>
                <w:lang w:val="en-US" w:eastAsia="zh-CN"/>
              </w:rPr>
              <w:t xml:space="preserve">  </w:t>
            </w:r>
          </w:p>
          <w:p>
            <w:pPr>
              <w:spacing w:line="360" w:lineRule="auto"/>
              <w:jc w:val="right"/>
              <w:rPr>
                <w:rFonts w:hint="default" w:ascii="Times New Roman" w:hAnsi="Times New Roman" w:cs="Times New Roman"/>
                <w:color w:val="auto"/>
                <w:sz w:val="20"/>
                <w:szCs w:val="20"/>
                <w:u w:val="none" w:color="auto"/>
              </w:rPr>
            </w:pPr>
            <w:r>
              <w:rPr>
                <w:rFonts w:hint="default" w:ascii="Times New Roman" w:hAnsi="Times New Roman" w:cs="Times New Roman"/>
                <w:color w:val="auto"/>
                <w:sz w:val="20"/>
                <w:szCs w:val="20"/>
                <w:u w:val="none" w:color="auto"/>
              </w:rPr>
              <w:t>单位：mg/L (pH无量纲，粪大肠菌群个/L)</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638"/>
              <w:gridCol w:w="1553"/>
              <w:gridCol w:w="1280"/>
              <w:gridCol w:w="858"/>
              <w:gridCol w:w="1135"/>
              <w:gridCol w:w="927"/>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483" w:type="pct"/>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监测断面</w:t>
                  </w:r>
                </w:p>
              </w:tc>
              <w:tc>
                <w:tcPr>
                  <w:tcW w:w="905" w:type="pct"/>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监测因子</w:t>
                  </w:r>
                </w:p>
              </w:tc>
              <w:tc>
                <w:tcPr>
                  <w:tcW w:w="858" w:type="pct"/>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范围值</w:t>
                  </w:r>
                </w:p>
              </w:tc>
              <w:tc>
                <w:tcPr>
                  <w:tcW w:w="707" w:type="pct"/>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年平均值</w:t>
                  </w:r>
                </w:p>
              </w:tc>
              <w:tc>
                <w:tcPr>
                  <w:tcW w:w="474" w:type="pct"/>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超标率%</w:t>
                  </w:r>
                </w:p>
              </w:tc>
              <w:tc>
                <w:tcPr>
                  <w:tcW w:w="627" w:type="pct"/>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最大超标倍数%</w:t>
                  </w:r>
                </w:p>
              </w:tc>
              <w:tc>
                <w:tcPr>
                  <w:tcW w:w="512" w:type="pct"/>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标准</w:t>
                  </w:r>
                </w:p>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限值</w:t>
                  </w:r>
                </w:p>
              </w:tc>
              <w:tc>
                <w:tcPr>
                  <w:tcW w:w="429" w:type="pct"/>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湘江乌龙嘴断面</w:t>
                  </w:r>
                </w:p>
              </w:tc>
              <w:tc>
                <w:tcPr>
                  <w:tcW w:w="905"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水温</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8.8-28.7</w:t>
                  </w:r>
                </w:p>
              </w:tc>
              <w:tc>
                <w:tcPr>
                  <w:tcW w:w="707" w:type="pct"/>
                  <w:vAlign w:val="top"/>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8.8-28.7</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pH值</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7.28-7.84</w:t>
                  </w:r>
                </w:p>
              </w:tc>
              <w:tc>
                <w:tcPr>
                  <w:tcW w:w="707" w:type="pct"/>
                  <w:vAlign w:val="top"/>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7.28-7.84</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6-9</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溶解氧</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5.3-8.0</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6.65</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default" w:ascii="Arial" w:hAnsi="Arial" w:cs="Arial"/>
                      <w:color w:val="auto"/>
                      <w:sz w:val="24"/>
                      <w:szCs w:val="22"/>
                      <w:u w:val="none" w:color="auto"/>
                      <w:vertAlign w:val="baseline"/>
                      <w:lang w:val="en-US" w:eastAsia="zh-CN"/>
                    </w:rPr>
                    <w:t>≥</w:t>
                  </w:r>
                  <w:r>
                    <w:rPr>
                      <w:rFonts w:hint="eastAsia"/>
                      <w:color w:val="auto"/>
                      <w:sz w:val="24"/>
                      <w:szCs w:val="22"/>
                      <w:u w:val="none" w:color="auto"/>
                      <w:vertAlign w:val="baseline"/>
                      <w:lang w:val="en-US" w:eastAsia="zh-CN"/>
                    </w:rPr>
                    <w:t>5</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高锰酸盐指数</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1.5-2.2</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1.85</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6</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化学需氧量</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8-14</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11</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20</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生化需氧量</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0.9-2.3</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1.6</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4</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氨氮</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0.07-0.46</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0.265</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1.0</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总磷</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0.01-0.04</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0.025</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0.2</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挥发酚</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0.0003ND</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0.0003ND</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0.005</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石油类</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0.01ND-0.01</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0.01ND</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0.05</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LAS</w:t>
                  </w:r>
                </w:p>
              </w:tc>
              <w:tc>
                <w:tcPr>
                  <w:tcW w:w="858"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0.05ND</w:t>
                  </w:r>
                </w:p>
              </w:tc>
              <w:tc>
                <w:tcPr>
                  <w:tcW w:w="70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0.05ND</w:t>
                  </w:r>
                </w:p>
              </w:tc>
              <w:tc>
                <w:tcPr>
                  <w:tcW w:w="474"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0.2</w:t>
                  </w:r>
                </w:p>
              </w:tc>
              <w:tc>
                <w:tcPr>
                  <w:tcW w:w="429" w:type="pct"/>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tcPr>
                <w:p>
                  <w:pPr>
                    <w:bidi w:val="0"/>
                    <w:spacing w:line="360" w:lineRule="auto"/>
                    <w:rPr>
                      <w:rFonts w:hint="default" w:eastAsia="宋体"/>
                      <w:color w:val="auto"/>
                      <w:sz w:val="24"/>
                      <w:szCs w:val="22"/>
                      <w:u w:val="none" w:color="auto"/>
                      <w:vertAlign w:val="baseline"/>
                      <w:lang w:val="en-US" w:eastAsia="zh-CN"/>
                    </w:rPr>
                  </w:pPr>
                </w:p>
              </w:tc>
              <w:tc>
                <w:tcPr>
                  <w:tcW w:w="905" w:type="pct"/>
                  <w:vAlign w:val="top"/>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粪大肠菌群</w:t>
                  </w:r>
                </w:p>
              </w:tc>
              <w:tc>
                <w:tcPr>
                  <w:tcW w:w="858" w:type="pct"/>
                  <w:vAlign w:val="top"/>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7933-9200</w:t>
                  </w:r>
                </w:p>
              </w:tc>
              <w:tc>
                <w:tcPr>
                  <w:tcW w:w="707" w:type="pct"/>
                  <w:vAlign w:val="top"/>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8567</w:t>
                  </w:r>
                </w:p>
              </w:tc>
              <w:tc>
                <w:tcPr>
                  <w:tcW w:w="474" w:type="pct"/>
                  <w:vAlign w:val="top"/>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627" w:type="pct"/>
                  <w:vAlign w:val="top"/>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512" w:type="pct"/>
                  <w:vAlign w:val="top"/>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10000</w:t>
                  </w:r>
                </w:p>
              </w:tc>
              <w:tc>
                <w:tcPr>
                  <w:tcW w:w="429" w:type="pct"/>
                  <w:vAlign w:val="top"/>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bl>
          <w:p>
            <w:pPr>
              <w:pStyle w:val="86"/>
              <w:rPr>
                <w:rFonts w:hint="default" w:ascii="Times New Roman" w:hAnsi="Times New Roman" w:eastAsia="宋体" w:cs="Times New Roman"/>
                <w:color w:val="auto"/>
                <w:sz w:val="24"/>
                <w:szCs w:val="22"/>
                <w:u w:val="none" w:color="auto"/>
              </w:rPr>
            </w:pPr>
          </w:p>
          <w:p>
            <w:pPr>
              <w:pStyle w:val="86"/>
              <w:rPr>
                <w:rFonts w:hint="default" w:ascii="Times New Roman" w:hAnsi="Times New Roman" w:eastAsia="宋体" w:cs="Times New Roman"/>
                <w:color w:val="auto"/>
                <w:sz w:val="24"/>
                <w:szCs w:val="22"/>
                <w:u w:val="none" w:color="auto"/>
                <w:lang w:val="en-US" w:eastAsia="zh-CN"/>
              </w:rPr>
            </w:pPr>
            <w:r>
              <w:rPr>
                <w:rFonts w:hint="default" w:ascii="Times New Roman" w:hAnsi="Times New Roman" w:eastAsia="宋体" w:cs="Times New Roman"/>
                <w:color w:val="auto"/>
                <w:sz w:val="24"/>
                <w:szCs w:val="22"/>
                <w:u w:val="none" w:color="auto"/>
              </w:rPr>
              <w:t>表</w:t>
            </w:r>
            <w:r>
              <w:rPr>
                <w:rFonts w:hint="eastAsia" w:ascii="Times New Roman" w:hAnsi="Times New Roman" w:eastAsia="宋体" w:cs="Times New Roman"/>
                <w:color w:val="auto"/>
                <w:sz w:val="24"/>
                <w:szCs w:val="22"/>
                <w:u w:val="none" w:color="auto"/>
                <w:lang w:val="en-US" w:eastAsia="zh-CN"/>
              </w:rPr>
              <w:t>3-5</w:t>
            </w:r>
            <w:r>
              <w:rPr>
                <w:rFonts w:hint="default" w:ascii="Times New Roman" w:hAnsi="Times New Roman" w:eastAsia="宋体" w:cs="Times New Roman"/>
                <w:color w:val="auto"/>
                <w:sz w:val="24"/>
                <w:szCs w:val="22"/>
                <w:u w:val="none" w:color="auto"/>
              </w:rPr>
              <w:t xml:space="preserve">  洋沙湖监测结果统计表  单位:mg/L pH</w:t>
            </w:r>
            <w:r>
              <w:rPr>
                <w:rFonts w:hint="eastAsia" w:eastAsia="宋体" w:cs="Times New Roman"/>
                <w:color w:val="auto"/>
                <w:sz w:val="24"/>
                <w:szCs w:val="22"/>
                <w:u w:val="none" w:color="auto"/>
                <w:lang w:val="en-US" w:eastAsia="zh-CN"/>
              </w:rPr>
              <w:t>无量纲。粪大肠菌群:个/L</w:t>
            </w:r>
          </w:p>
          <w:tbl>
            <w:tblPr>
              <w:tblStyle w:val="41"/>
              <w:tblW w:w="4997"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138"/>
              <w:gridCol w:w="917"/>
              <w:gridCol w:w="818"/>
              <w:gridCol w:w="935"/>
              <w:gridCol w:w="1278"/>
              <w:gridCol w:w="715"/>
              <w:gridCol w:w="874"/>
              <w:gridCol w:w="816"/>
              <w:gridCol w:w="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30" w:type="pct"/>
                  <w:vMerge w:val="restar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监测断面</w:t>
                  </w:r>
                </w:p>
              </w:tc>
              <w:tc>
                <w:tcPr>
                  <w:tcW w:w="630" w:type="pct"/>
                  <w:vMerge w:val="restar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监测</w:t>
                  </w:r>
                </w:p>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因子</w:t>
                  </w:r>
                </w:p>
              </w:tc>
              <w:tc>
                <w:tcPr>
                  <w:tcW w:w="2187" w:type="pct"/>
                  <w:gridSpan w:val="4"/>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范围值</w:t>
                  </w:r>
                </w:p>
              </w:tc>
              <w:tc>
                <w:tcPr>
                  <w:tcW w:w="396" w:type="pct"/>
                  <w:vMerge w:val="restar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超标率%</w:t>
                  </w:r>
                </w:p>
              </w:tc>
              <w:tc>
                <w:tcPr>
                  <w:tcW w:w="484" w:type="pct"/>
                  <w:vMerge w:val="restar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最大超标倍数%</w:t>
                  </w:r>
                </w:p>
              </w:tc>
              <w:tc>
                <w:tcPr>
                  <w:tcW w:w="452" w:type="pct"/>
                  <w:vMerge w:val="restar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标准</w:t>
                  </w:r>
                </w:p>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限值</w:t>
                  </w:r>
                </w:p>
              </w:tc>
              <w:tc>
                <w:tcPr>
                  <w:tcW w:w="417" w:type="pct"/>
                  <w:vMerge w:val="restar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30" w:type="pct"/>
                  <w:vMerge w:val="continue"/>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p>
              </w:tc>
              <w:tc>
                <w:tcPr>
                  <w:tcW w:w="630" w:type="pct"/>
                  <w:vMerge w:val="continue"/>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p>
              </w:tc>
              <w:tc>
                <w:tcPr>
                  <w:tcW w:w="50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左</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中</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右</w:t>
                  </w:r>
                </w:p>
              </w:tc>
              <w:tc>
                <w:tcPr>
                  <w:tcW w:w="707"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均值</w:t>
                  </w:r>
                </w:p>
              </w:tc>
              <w:tc>
                <w:tcPr>
                  <w:tcW w:w="396" w:type="pct"/>
                  <w:vMerge w:val="continue"/>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p>
              </w:tc>
              <w:tc>
                <w:tcPr>
                  <w:tcW w:w="484" w:type="pct"/>
                  <w:vMerge w:val="continue"/>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p>
              </w:tc>
              <w:tc>
                <w:tcPr>
                  <w:tcW w:w="452" w:type="pct"/>
                  <w:vMerge w:val="continue"/>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p>
              </w:tc>
              <w:tc>
                <w:tcPr>
                  <w:tcW w:w="417" w:type="pct"/>
                  <w:vMerge w:val="continue"/>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restar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洋沙湖断面</w:t>
                  </w:r>
                </w:p>
              </w:tc>
              <w:tc>
                <w:tcPr>
                  <w:tcW w:w="630"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pH值</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6.8</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7.12</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7.08</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6.98-7.12</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6-9</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DO</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5.76</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5.61</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5.84</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5.74</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default" w:ascii="Arial" w:hAnsi="Arial" w:cs="Arial"/>
                      <w:color w:val="auto"/>
                      <w:sz w:val="24"/>
                      <w:szCs w:val="22"/>
                      <w:u w:val="none" w:color="auto"/>
                      <w:vertAlign w:val="baseline"/>
                      <w:lang w:val="en-US" w:eastAsia="zh-CN"/>
                    </w:rPr>
                    <w:t>≥</w:t>
                  </w:r>
                  <w:r>
                    <w:rPr>
                      <w:rFonts w:hint="eastAsia"/>
                      <w:color w:val="auto"/>
                      <w:sz w:val="24"/>
                      <w:szCs w:val="22"/>
                      <w:u w:val="none" w:color="auto"/>
                      <w:vertAlign w:val="baseline"/>
                      <w:lang w:val="en-US" w:eastAsia="zh-CN"/>
                    </w:rPr>
                    <w:t>5</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COD</w:t>
                  </w:r>
                  <w:r>
                    <w:rPr>
                      <w:rFonts w:hint="eastAsia"/>
                      <w:color w:val="auto"/>
                      <w:sz w:val="24"/>
                      <w:szCs w:val="22"/>
                      <w:u w:val="none" w:color="auto"/>
                      <w:vertAlign w:val="subscript"/>
                      <w:lang w:val="en-US" w:eastAsia="zh-CN"/>
                    </w:rPr>
                    <w:t>cr</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13.6</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13.1</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13.4</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13.4</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20</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BOD</w:t>
                  </w:r>
                  <w:r>
                    <w:rPr>
                      <w:rFonts w:hint="eastAsia"/>
                      <w:color w:val="auto"/>
                      <w:sz w:val="24"/>
                      <w:szCs w:val="22"/>
                      <w:u w:val="none" w:color="auto"/>
                      <w:vertAlign w:val="subscript"/>
                      <w:lang w:val="en-US" w:eastAsia="zh-CN"/>
                    </w:rPr>
                    <w:t>5</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2.72</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2.62</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2.68</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2.67</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4</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氨氮</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0.535</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0.486</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0.426</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0.517</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总磷</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0.092</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0.076</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0.083</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0.084</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0.2</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六价铬</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453"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518"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0.05</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氰化物</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453"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518"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挥发酚</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453"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518"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0.005</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石油类</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0.02</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0.03</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0.01</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0.02</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0.05</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硫化物</w:t>
                  </w:r>
                </w:p>
              </w:tc>
              <w:tc>
                <w:tcPr>
                  <w:tcW w:w="508"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453"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518"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70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ND</w:t>
                  </w:r>
                </w:p>
              </w:tc>
              <w:tc>
                <w:tcPr>
                  <w:tcW w:w="396"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0.2</w:t>
                  </w:r>
                </w:p>
              </w:tc>
              <w:tc>
                <w:tcPr>
                  <w:tcW w:w="417" w:type="pct"/>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30" w:type="pct"/>
                  <w:vMerge w:val="continue"/>
                  <w:tcBorders>
                    <w:tl2br w:val="nil"/>
                    <w:tr2bl w:val="nil"/>
                  </w:tcBorders>
                  <w:vAlign w:val="center"/>
                </w:tcPr>
                <w:p>
                  <w:pPr>
                    <w:bidi w:val="0"/>
                    <w:spacing w:line="360" w:lineRule="auto"/>
                    <w:jc w:val="center"/>
                    <w:rPr>
                      <w:rFonts w:hint="default" w:eastAsia="宋体"/>
                      <w:color w:val="auto"/>
                      <w:sz w:val="24"/>
                      <w:szCs w:val="22"/>
                      <w:u w:val="none" w:color="auto"/>
                      <w:vertAlign w:val="baseline"/>
                      <w:lang w:val="en-US" w:eastAsia="zh-CN"/>
                    </w:rPr>
                  </w:pPr>
                </w:p>
              </w:tc>
              <w:tc>
                <w:tcPr>
                  <w:tcW w:w="630"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粪大肠</w:t>
                  </w:r>
                </w:p>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菌群</w:t>
                  </w:r>
                </w:p>
              </w:tc>
              <w:tc>
                <w:tcPr>
                  <w:tcW w:w="50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2200</w:t>
                  </w:r>
                </w:p>
              </w:tc>
              <w:tc>
                <w:tcPr>
                  <w:tcW w:w="453"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2200</w:t>
                  </w:r>
                </w:p>
              </w:tc>
              <w:tc>
                <w:tcPr>
                  <w:tcW w:w="518"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2800</w:t>
                  </w:r>
                </w:p>
              </w:tc>
              <w:tc>
                <w:tcPr>
                  <w:tcW w:w="707" w:type="pct"/>
                  <w:tcBorders>
                    <w:tl2br w:val="nil"/>
                    <w:tr2bl w:val="nil"/>
                  </w:tcBorders>
                  <w:vAlign w:val="center"/>
                </w:tcPr>
                <w:p>
                  <w:pPr>
                    <w:bidi w:val="0"/>
                    <w:spacing w:line="360" w:lineRule="auto"/>
                    <w:jc w:val="center"/>
                    <w:rPr>
                      <w:rFonts w:hint="default"/>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2400</w:t>
                  </w:r>
                </w:p>
              </w:tc>
              <w:tc>
                <w:tcPr>
                  <w:tcW w:w="396"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84"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0</w:t>
                  </w:r>
                </w:p>
              </w:tc>
              <w:tc>
                <w:tcPr>
                  <w:tcW w:w="452"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10000</w:t>
                  </w:r>
                </w:p>
              </w:tc>
              <w:tc>
                <w:tcPr>
                  <w:tcW w:w="417" w:type="pct"/>
                  <w:tcBorders>
                    <w:tl2br w:val="nil"/>
                    <w:tr2bl w:val="nil"/>
                  </w:tcBorders>
                  <w:vAlign w:val="center"/>
                </w:tcPr>
                <w:p>
                  <w:pPr>
                    <w:bidi w:val="0"/>
                    <w:spacing w:line="360" w:lineRule="auto"/>
                    <w:jc w:val="center"/>
                    <w:rPr>
                      <w:rFonts w:hint="eastAsia"/>
                      <w:color w:val="auto"/>
                      <w:sz w:val="24"/>
                      <w:szCs w:val="22"/>
                      <w:u w:val="none" w:color="auto"/>
                      <w:vertAlign w:val="baseline"/>
                      <w:lang w:val="en-US" w:eastAsia="zh-CN"/>
                    </w:rPr>
                  </w:pPr>
                  <w:r>
                    <w:rPr>
                      <w:rFonts w:hint="eastAsia"/>
                      <w:color w:val="auto"/>
                      <w:sz w:val="24"/>
                      <w:szCs w:val="22"/>
                      <w:u w:val="none" w:color="auto"/>
                      <w:vertAlign w:val="baseline"/>
                      <w:lang w:val="en-US" w:eastAsia="zh-CN"/>
                    </w:rPr>
                    <w:t>达标</w:t>
                  </w:r>
                </w:p>
              </w:tc>
            </w:tr>
          </w:tbl>
          <w:p>
            <w:pPr>
              <w:spacing w:line="360" w:lineRule="auto"/>
              <w:ind w:firstLine="466" w:firstLineChars="200"/>
              <w:jc w:val="both"/>
              <w:rPr>
                <w:rFonts w:hint="default" w:ascii="Times New Roman" w:hAnsi="Times New Roman" w:cs="Times New Roman"/>
                <w:b/>
                <w:bCs/>
                <w:color w:val="auto"/>
                <w:sz w:val="24"/>
                <w:szCs w:val="24"/>
                <w:u w:val="none" w:color="auto"/>
              </w:rPr>
            </w:pPr>
            <w:r>
              <w:rPr>
                <w:bCs/>
                <w:color w:val="auto"/>
                <w:sz w:val="24"/>
                <w:u w:val="none" w:color="auto"/>
              </w:rPr>
              <w:t>由表可知，湘江乌龙</w:t>
            </w:r>
            <w:r>
              <w:rPr>
                <w:rFonts w:hint="eastAsia"/>
                <w:bCs/>
                <w:color w:val="auto"/>
                <w:sz w:val="24"/>
                <w:u w:val="none" w:color="auto"/>
                <w:lang w:eastAsia="zh-CN"/>
              </w:rPr>
              <w:t>嘴</w:t>
            </w:r>
            <w:r>
              <w:rPr>
                <w:bCs/>
                <w:color w:val="auto"/>
                <w:sz w:val="24"/>
                <w:u w:val="none" w:color="auto"/>
              </w:rPr>
              <w:t>断面及洋沙湖水质各项指标均达到《地表水环境质量标准》（GB3838-2002）中Ⅲ类标准，区域水质状况良好</w:t>
            </w:r>
            <w:r>
              <w:rPr>
                <w:rFonts w:hint="eastAsia"/>
                <w:color w:val="auto"/>
                <w:sz w:val="24"/>
                <w:szCs w:val="24"/>
                <w:u w:val="none" w:color="auto"/>
                <w:lang w:eastAsia="zh-CN"/>
              </w:rPr>
              <w:t>。</w:t>
            </w:r>
          </w:p>
          <w:p>
            <w:pPr>
              <w:spacing w:line="360" w:lineRule="auto"/>
              <w:rPr>
                <w:rFonts w:hint="default" w:ascii="Times New Roman" w:hAnsi="Times New Roman" w:cs="Times New Roman"/>
                <w:b/>
                <w:bCs/>
                <w:color w:val="auto"/>
                <w:sz w:val="24"/>
                <w:szCs w:val="24"/>
                <w:u w:val="none" w:color="auto"/>
              </w:rPr>
            </w:pPr>
            <w:r>
              <w:rPr>
                <w:rFonts w:hint="default" w:ascii="Times New Roman" w:hAnsi="Times New Roman" w:cs="Times New Roman"/>
                <w:b/>
                <w:bCs/>
                <w:color w:val="auto"/>
                <w:sz w:val="24"/>
                <w:szCs w:val="24"/>
                <w:u w:val="none" w:color="auto"/>
              </w:rPr>
              <w:t>3.</w:t>
            </w:r>
            <w:r>
              <w:rPr>
                <w:rFonts w:hint="eastAsia" w:cs="Times New Roman"/>
                <w:b/>
                <w:bCs/>
                <w:color w:val="auto"/>
                <w:sz w:val="24"/>
                <w:szCs w:val="24"/>
                <w:u w:val="none" w:color="auto"/>
                <w:lang w:val="en-US" w:eastAsia="zh-CN"/>
              </w:rPr>
              <w:t>3</w:t>
            </w:r>
            <w:r>
              <w:rPr>
                <w:rFonts w:hint="default" w:ascii="Times New Roman" w:hAnsi="Times New Roman" w:cs="Times New Roman"/>
                <w:b/>
                <w:bCs/>
                <w:color w:val="auto"/>
                <w:sz w:val="24"/>
                <w:szCs w:val="24"/>
                <w:u w:val="none" w:color="auto"/>
              </w:rPr>
              <w:t>声环境质量现状</w:t>
            </w:r>
          </w:p>
          <w:p>
            <w:pPr>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为了解项目所在地声环境质量现状，本环评特委托湖南</w:t>
            </w:r>
            <w:r>
              <w:rPr>
                <w:rFonts w:hint="default" w:ascii="Times New Roman" w:hAnsi="Times New Roman" w:cs="Times New Roman"/>
                <w:color w:val="auto"/>
                <w:sz w:val="24"/>
                <w:szCs w:val="24"/>
                <w:u w:val="none" w:color="auto"/>
                <w:lang w:eastAsia="zh-CN"/>
              </w:rPr>
              <w:t>精准通</w:t>
            </w:r>
            <w:r>
              <w:rPr>
                <w:rFonts w:hint="default" w:ascii="Times New Roman" w:hAnsi="Times New Roman" w:cs="Times New Roman"/>
                <w:color w:val="auto"/>
                <w:sz w:val="24"/>
                <w:szCs w:val="24"/>
                <w:u w:val="none" w:color="auto"/>
              </w:rPr>
              <w:t>检测技术有限公司于20</w:t>
            </w:r>
            <w:r>
              <w:rPr>
                <w:rFonts w:hint="eastAsia" w:cs="Times New Roman"/>
                <w:color w:val="auto"/>
                <w:sz w:val="24"/>
                <w:szCs w:val="24"/>
                <w:u w:val="none" w:color="auto"/>
                <w:lang w:val="en-US" w:eastAsia="zh-CN"/>
              </w:rPr>
              <w:t>20</w:t>
            </w:r>
            <w:r>
              <w:rPr>
                <w:rFonts w:hint="default" w:ascii="Times New Roman" w:hAnsi="Times New Roman" w:cs="Times New Roman"/>
                <w:color w:val="auto"/>
                <w:sz w:val="24"/>
                <w:szCs w:val="24"/>
                <w:u w:val="none" w:color="auto"/>
              </w:rPr>
              <w:t>年</w:t>
            </w:r>
            <w:r>
              <w:rPr>
                <w:rFonts w:hint="eastAsia"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rPr>
              <w:t>月</w:t>
            </w:r>
            <w:r>
              <w:rPr>
                <w:rFonts w:hint="eastAsia" w:cs="Times New Roman"/>
                <w:color w:val="auto"/>
                <w:sz w:val="24"/>
                <w:szCs w:val="24"/>
                <w:u w:val="none" w:color="auto"/>
                <w:lang w:val="en-US" w:eastAsia="zh-CN"/>
              </w:rPr>
              <w:t>22-23</w:t>
            </w:r>
            <w:r>
              <w:rPr>
                <w:rFonts w:hint="default" w:ascii="Times New Roman" w:hAnsi="Times New Roman" w:cs="Times New Roman"/>
                <w:color w:val="auto"/>
                <w:sz w:val="24"/>
                <w:szCs w:val="24"/>
                <w:u w:val="none" w:color="auto"/>
              </w:rPr>
              <w:t>日在项目地东、南、西、北厂界外1m各布设1个监测，昼、夜间各监测一次。</w:t>
            </w:r>
          </w:p>
          <w:p>
            <w:pPr>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表3-</w:t>
            </w:r>
            <w:r>
              <w:rPr>
                <w:rFonts w:hint="eastAsia" w:cs="Times New Roman"/>
                <w:color w:val="auto"/>
                <w:sz w:val="24"/>
                <w:szCs w:val="24"/>
                <w:u w:val="none" w:color="auto"/>
                <w:lang w:val="en-US" w:eastAsia="zh-CN"/>
              </w:rPr>
              <w:t xml:space="preserve">6 </w:t>
            </w:r>
            <w:r>
              <w:rPr>
                <w:rFonts w:hint="default" w:ascii="Times New Roman" w:hAnsi="Times New Roman" w:cs="Times New Roman"/>
                <w:color w:val="auto"/>
                <w:sz w:val="24"/>
                <w:szCs w:val="24"/>
                <w:u w:val="none" w:color="auto"/>
              </w:rPr>
              <w:t xml:space="preserve"> 声质量现状监测与评价统计表    单位：dB(A)</w:t>
            </w:r>
          </w:p>
          <w:tbl>
            <w:tblPr>
              <w:tblStyle w:val="40"/>
              <w:tblW w:w="9056"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48"/>
              <w:gridCol w:w="1369"/>
              <w:gridCol w:w="972"/>
              <w:gridCol w:w="973"/>
              <w:gridCol w:w="974"/>
              <w:gridCol w:w="973"/>
              <w:gridCol w:w="975"/>
              <w:gridCol w:w="9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监测点</w:t>
                  </w:r>
                </w:p>
              </w:tc>
              <w:tc>
                <w:tcPr>
                  <w:tcW w:w="1369"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监测日期</w:t>
                  </w:r>
                </w:p>
              </w:tc>
              <w:tc>
                <w:tcPr>
                  <w:tcW w:w="2919"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昼间</w:t>
                  </w:r>
                </w:p>
              </w:tc>
              <w:tc>
                <w:tcPr>
                  <w:tcW w:w="2920"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00"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结果</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标准值</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是否</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监测</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结果</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标准值</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是否</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东</w:t>
                  </w:r>
                  <w:r>
                    <w:rPr>
                      <w:rFonts w:hint="default" w:ascii="Times New Roman" w:hAnsi="Times New Roman" w:cs="Times New Roman"/>
                      <w:color w:val="auto"/>
                      <w:sz w:val="22"/>
                      <w:szCs w:val="22"/>
                      <w:u w:val="none" w:color="auto"/>
                    </w:rPr>
                    <w:t>面</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（厂界外 1m）</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22</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52.7</w:t>
                  </w:r>
                </w:p>
              </w:tc>
              <w:tc>
                <w:tcPr>
                  <w:tcW w:w="973" w:type="dxa"/>
                  <w:tcBorders>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65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38.5</w:t>
                  </w:r>
                </w:p>
              </w:tc>
              <w:tc>
                <w:tcPr>
                  <w:tcW w:w="975" w:type="dxa"/>
                  <w:tcBorders>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55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23</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51.2</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39.4</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55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南</w:t>
                  </w:r>
                  <w:r>
                    <w:rPr>
                      <w:rFonts w:hint="default" w:ascii="Times New Roman" w:hAnsi="Times New Roman" w:cs="Times New Roman"/>
                      <w:color w:val="auto"/>
                      <w:sz w:val="22"/>
                      <w:szCs w:val="22"/>
                      <w:u w:val="none" w:color="auto"/>
                    </w:rPr>
                    <w:t>面</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（厂界外 1m）</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22</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53.5</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42.6</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55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23</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54.1</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40.3</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55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西</w:t>
                  </w:r>
                  <w:r>
                    <w:rPr>
                      <w:rFonts w:hint="default" w:ascii="Times New Roman" w:hAnsi="Times New Roman" w:cs="Times New Roman"/>
                      <w:color w:val="auto"/>
                      <w:sz w:val="22"/>
                      <w:szCs w:val="22"/>
                      <w:u w:val="none" w:color="auto"/>
                    </w:rPr>
                    <w:t>面</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（厂界外 1m）</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22</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50.4</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39.7</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55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23</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52.4</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37.8</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55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1848"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w:t>
                  </w:r>
                  <w:r>
                    <w:rPr>
                      <w:rFonts w:hint="default" w:ascii="Times New Roman" w:hAnsi="Times New Roman" w:cs="Times New Roman"/>
                      <w:color w:val="auto"/>
                      <w:sz w:val="22"/>
                      <w:szCs w:val="22"/>
                      <w:u w:val="none" w:color="auto"/>
                      <w:lang w:eastAsia="zh-CN"/>
                    </w:rPr>
                    <w:t>北</w:t>
                  </w:r>
                  <w:r>
                    <w:rPr>
                      <w:rFonts w:hint="default" w:ascii="Times New Roman" w:hAnsi="Times New Roman" w:cs="Times New Roman"/>
                      <w:color w:val="auto"/>
                      <w:sz w:val="22"/>
                      <w:szCs w:val="22"/>
                      <w:u w:val="none" w:color="auto"/>
                    </w:rPr>
                    <w:t>面</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（厂界外 1m）</w:t>
                  </w: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22</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49.5</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40.9</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55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848"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6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lang w:val="en-US" w:eastAsia="zh-CN"/>
                    </w:rPr>
                    <w:t>月</w:t>
                  </w:r>
                  <w:r>
                    <w:rPr>
                      <w:rFonts w:hint="eastAsia" w:cs="Times New Roman"/>
                      <w:color w:val="auto"/>
                      <w:sz w:val="22"/>
                      <w:szCs w:val="22"/>
                      <w:u w:val="none" w:color="auto"/>
                      <w:lang w:val="en-US" w:eastAsia="zh-CN"/>
                    </w:rPr>
                    <w:t>23</w:t>
                  </w:r>
                  <w:r>
                    <w:rPr>
                      <w:rFonts w:hint="default" w:ascii="Times New Roman" w:hAnsi="Times New Roman" w:cs="Times New Roman"/>
                      <w:color w:val="auto"/>
                      <w:sz w:val="22"/>
                      <w:szCs w:val="22"/>
                      <w:u w:val="none" w:color="auto"/>
                      <w:lang w:val="en-US" w:eastAsia="zh-CN"/>
                    </w:rPr>
                    <w:t>日</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50.9</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65</w:t>
                  </w:r>
                </w:p>
              </w:tc>
              <w:tc>
                <w:tcPr>
                  <w:tcW w:w="9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c>
                <w:tcPr>
                  <w:tcW w:w="973"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41.2</w:t>
                  </w:r>
                </w:p>
              </w:tc>
              <w:tc>
                <w:tcPr>
                  <w:tcW w:w="975"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55</w:t>
                  </w:r>
                </w:p>
              </w:tc>
              <w:tc>
                <w:tcPr>
                  <w:tcW w:w="97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达标</w:t>
                  </w:r>
                </w:p>
              </w:tc>
            </w:tr>
          </w:tbl>
          <w:p>
            <w:pPr>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本项目所在地声环境质量现状满足《声环境质量标准》（GB3096-2008）中</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类区标准要求。因此，本项目所在区域声环境质量现状较好。</w:t>
            </w:r>
          </w:p>
          <w:p>
            <w:pPr>
              <w:spacing w:line="360" w:lineRule="auto"/>
              <w:rPr>
                <w:rFonts w:hint="default" w:ascii="Times New Roman" w:hAnsi="Times New Roman" w:cs="Times New Roman"/>
                <w:b/>
                <w:bCs/>
                <w:color w:val="auto"/>
                <w:sz w:val="24"/>
                <w:szCs w:val="24"/>
                <w:u w:val="none" w:color="auto"/>
              </w:rPr>
            </w:pPr>
            <w:r>
              <w:rPr>
                <w:rFonts w:hint="eastAsia" w:cs="Times New Roman"/>
                <w:b/>
                <w:bCs/>
                <w:color w:val="auto"/>
                <w:sz w:val="24"/>
                <w:szCs w:val="24"/>
                <w:u w:val="none" w:color="auto"/>
                <w:lang w:val="en-US" w:eastAsia="zh-CN"/>
              </w:rPr>
              <w:t>3.4</w:t>
            </w:r>
            <w:r>
              <w:rPr>
                <w:rFonts w:hint="default" w:ascii="Times New Roman" w:hAnsi="Times New Roman" w:cs="Times New Roman"/>
                <w:b/>
                <w:bCs/>
                <w:color w:val="auto"/>
                <w:sz w:val="24"/>
                <w:szCs w:val="24"/>
                <w:u w:val="none" w:color="auto"/>
              </w:rPr>
              <w:t>、生态环境</w:t>
            </w:r>
          </w:p>
          <w:p>
            <w:pPr>
              <w:snapToGrid w:val="0"/>
              <w:spacing w:line="360" w:lineRule="auto"/>
              <w:ind w:firstLine="457" w:firstLineChars="196"/>
              <w:rPr>
                <w:rFonts w:hAnsi="宋体"/>
                <w:bCs/>
                <w:sz w:val="24"/>
                <w:u w:val="none" w:color="auto"/>
              </w:rPr>
            </w:pPr>
            <w:r>
              <w:rPr>
                <w:rFonts w:hint="default" w:ascii="Times New Roman" w:hAnsi="Times New Roman" w:cs="Times New Roman"/>
                <w:color w:val="auto"/>
                <w:sz w:val="24"/>
                <w:szCs w:val="24"/>
                <w:u w:val="none" w:color="auto"/>
              </w:rPr>
              <w:t>项目所在区域植被有城市绿化的樟、灌木丛、花卉等，项目区域内植被以人工绿化苗木为主，植物种类单一，主要有樟树、桂花、柳树等，并伴有少量野生杉、桃、</w:t>
            </w:r>
            <w:r>
              <w:rPr>
                <w:rFonts w:hint="default" w:ascii="Times New Roman" w:hAnsi="Times New Roman" w:cs="Times New Roman"/>
                <w:color w:val="auto"/>
                <w:spacing w:val="-11"/>
                <w:sz w:val="24"/>
                <w:szCs w:val="24"/>
                <w:u w:val="none" w:color="auto"/>
              </w:rPr>
              <w:t>梨等；生态环境一般。本区域及其周边为典型的城市生态环境，目前植被覆盖率较低，</w:t>
            </w:r>
            <w:r>
              <w:rPr>
                <w:rFonts w:hint="default" w:ascii="Times New Roman" w:hAnsi="Times New Roman" w:cs="Times New Roman"/>
                <w:color w:val="auto"/>
                <w:sz w:val="24"/>
                <w:szCs w:val="24"/>
                <w:u w:val="none" w:color="auto"/>
              </w:rPr>
              <w:t>主要为人工草皮及较少灌木，物种较为单一，生态稳定性较差。根据现场踏勘，本项目区域内未发现野生珍稀动植物物种</w:t>
            </w:r>
            <w:r>
              <w:rPr>
                <w:rFonts w:hint="eastAsia" w:hAnsi="宋体"/>
                <w:bCs/>
                <w:sz w:val="24"/>
                <w:u w:val="none" w:color="auto"/>
              </w:rPr>
              <w:t>。</w:t>
            </w:r>
          </w:p>
          <w:p>
            <w:pPr>
              <w:pStyle w:val="34"/>
              <w:adjustRightInd w:val="0"/>
              <w:snapToGrid w:val="0"/>
              <w:spacing w:line="360" w:lineRule="auto"/>
              <w:ind w:left="0" w:leftChars="0" w:firstLine="0" w:firstLineChars="0"/>
              <w:rPr>
                <w:b/>
                <w:u w:val="none" w:color="auto"/>
              </w:rPr>
            </w:pPr>
            <w:r>
              <w:rPr>
                <w:rFonts w:hint="eastAsia"/>
                <w:b/>
                <w:sz w:val="24"/>
                <w:u w:val="none" w:color="auto"/>
                <w:lang w:val="en-US" w:eastAsia="zh-CN"/>
              </w:rPr>
              <w:t>3.5</w:t>
            </w:r>
            <w:r>
              <w:rPr>
                <w:rFonts w:hint="eastAsia"/>
                <w:b/>
                <w:sz w:val="24"/>
                <w:u w:val="none" w:color="auto"/>
              </w:rPr>
              <w:t>、</w:t>
            </w:r>
            <w:r>
              <w:rPr>
                <w:b/>
                <w:sz w:val="24"/>
                <w:u w:val="none" w:color="auto"/>
              </w:rPr>
              <w:t>主要环境保护目标</w:t>
            </w:r>
          </w:p>
          <w:p>
            <w:pPr>
              <w:autoSpaceDE w:val="0"/>
              <w:autoSpaceDN w:val="0"/>
              <w:adjustRightInd w:val="0"/>
              <w:spacing w:line="360" w:lineRule="auto"/>
              <w:ind w:firstLine="466" w:firstLineChars="200"/>
              <w:rPr>
                <w:rFonts w:hint="default" w:ascii="Times New Roman" w:hAnsi="Times New Roman" w:eastAsia="宋体" w:cs="Times New Roman"/>
                <w:b w:val="0"/>
                <w:bCs/>
                <w:color w:val="auto"/>
                <w:sz w:val="24"/>
                <w:highlight w:val="none"/>
                <w:u w:val="none" w:color="auto"/>
                <w:shd w:val="clear" w:color="auto" w:fill="auto"/>
              </w:rPr>
            </w:pPr>
            <w:r>
              <w:rPr>
                <w:rFonts w:hint="default" w:ascii="Times New Roman" w:hAnsi="Times New Roman" w:eastAsia="宋体" w:cs="Times New Roman"/>
                <w:b w:val="0"/>
                <w:bCs/>
                <w:color w:val="auto"/>
                <w:sz w:val="24"/>
                <w:highlight w:val="none"/>
                <w:u w:val="none" w:color="auto"/>
                <w:shd w:val="clear" w:color="auto" w:fill="auto"/>
                <w:lang w:eastAsia="zh-CN"/>
              </w:rPr>
              <w:t>本</w:t>
            </w:r>
            <w:r>
              <w:rPr>
                <w:rFonts w:hint="default" w:ascii="Times New Roman" w:hAnsi="Times New Roman" w:eastAsia="宋体" w:cs="Times New Roman"/>
                <w:b w:val="0"/>
                <w:bCs/>
                <w:color w:val="auto"/>
                <w:sz w:val="24"/>
                <w:highlight w:val="none"/>
                <w:u w:val="none" w:color="auto"/>
                <w:shd w:val="clear" w:color="auto" w:fill="auto"/>
              </w:rPr>
              <w:t>项目周围为</w:t>
            </w:r>
            <w:r>
              <w:rPr>
                <w:rFonts w:hint="eastAsia" w:ascii="Times New Roman" w:hAnsi="Times New Roman" w:eastAsia="宋体" w:cs="Times New Roman"/>
                <w:b w:val="0"/>
                <w:bCs/>
                <w:color w:val="auto"/>
                <w:sz w:val="24"/>
                <w:highlight w:val="none"/>
                <w:u w:val="none" w:color="auto"/>
                <w:shd w:val="clear" w:color="auto" w:fill="auto"/>
                <w:lang w:eastAsia="zh-CN"/>
              </w:rPr>
              <w:t>工业园</w:t>
            </w:r>
            <w:r>
              <w:rPr>
                <w:rFonts w:hint="default" w:ascii="Times New Roman" w:hAnsi="Times New Roman" w:eastAsia="宋体" w:cs="Times New Roman"/>
                <w:b w:val="0"/>
                <w:bCs/>
                <w:color w:val="auto"/>
                <w:sz w:val="24"/>
                <w:highlight w:val="none"/>
                <w:u w:val="none" w:color="auto"/>
                <w:shd w:val="clear" w:color="auto" w:fill="auto"/>
              </w:rPr>
              <w:t>。评价区内无风景名胜点，没有征占基本农田，周围无需要特别保护的文物古迹、风景名胜地、水源地，未发现国家重点保护的野生动植物资源和古树名木。</w:t>
            </w:r>
          </w:p>
          <w:p>
            <w:pPr>
              <w:autoSpaceDE w:val="0"/>
              <w:autoSpaceDN w:val="0"/>
              <w:spacing w:line="360" w:lineRule="auto"/>
              <w:ind w:firstLine="466" w:firstLineChars="200"/>
              <w:rPr>
                <w:rFonts w:hint="default" w:ascii="Times New Roman" w:hAnsi="Times New Roman" w:eastAsia="宋体" w:cs="Times New Roman"/>
                <w:snapToGrid w:val="0"/>
                <w:color w:val="auto"/>
                <w:kern w:val="0"/>
                <w:sz w:val="24"/>
                <w:u w:val="none" w:color="auto"/>
                <w:lang w:val="en-US" w:eastAsia="zh-CN"/>
              </w:rPr>
            </w:pPr>
            <w:r>
              <w:rPr>
                <w:rFonts w:hint="default" w:ascii="Times New Roman" w:hAnsi="Times New Roman" w:eastAsia="宋体" w:cs="Times New Roman"/>
                <w:snapToGrid w:val="0"/>
                <w:color w:val="auto"/>
                <w:kern w:val="0"/>
                <w:sz w:val="24"/>
                <w:u w:val="none" w:color="auto"/>
                <w:lang w:val="en-US" w:eastAsia="zh-CN"/>
              </w:rPr>
              <w:t>项目周边无集中式饮用水源地及分散式饮用水源地，</w:t>
            </w:r>
            <w:r>
              <w:rPr>
                <w:rFonts w:hint="eastAsia" w:ascii="Times New Roman" w:hAnsi="Times New Roman" w:eastAsia="宋体" w:cs="Times New Roman"/>
                <w:snapToGrid w:val="0"/>
                <w:color w:val="auto"/>
                <w:kern w:val="0"/>
                <w:sz w:val="24"/>
                <w:u w:val="none" w:color="auto"/>
                <w:lang w:val="en-US" w:eastAsia="zh-CN"/>
              </w:rPr>
              <w:t>均为</w:t>
            </w:r>
            <w:r>
              <w:rPr>
                <w:rFonts w:hint="default" w:ascii="Times New Roman" w:hAnsi="Times New Roman" w:eastAsia="宋体" w:cs="Times New Roman"/>
                <w:snapToGrid w:val="0"/>
                <w:color w:val="auto"/>
                <w:kern w:val="0"/>
                <w:sz w:val="24"/>
                <w:u w:val="none" w:color="auto"/>
                <w:lang w:val="en-US" w:eastAsia="zh-CN"/>
              </w:rPr>
              <w:t>自来水。</w:t>
            </w:r>
          </w:p>
          <w:p>
            <w:pPr>
              <w:autoSpaceDE w:val="0"/>
              <w:autoSpaceDN w:val="0"/>
              <w:adjustRightInd w:val="0"/>
              <w:spacing w:line="360" w:lineRule="auto"/>
              <w:ind w:firstLine="466" w:firstLineChars="200"/>
              <w:rPr>
                <w:rFonts w:hint="default" w:ascii="Times New Roman" w:hAnsi="Times New Roman" w:eastAsia="宋体" w:cs="Times New Roman"/>
                <w:b w:val="0"/>
                <w:bCs/>
                <w:color w:val="auto"/>
                <w:sz w:val="24"/>
                <w:highlight w:val="none"/>
                <w:u w:val="none" w:color="auto"/>
                <w:shd w:val="clear" w:color="auto" w:fill="auto"/>
              </w:rPr>
            </w:pPr>
            <w:r>
              <w:rPr>
                <w:rFonts w:hint="default" w:ascii="Times New Roman" w:hAnsi="Times New Roman" w:eastAsia="宋体" w:cs="Times New Roman"/>
                <w:b w:val="0"/>
                <w:bCs/>
                <w:color w:val="auto"/>
                <w:sz w:val="24"/>
                <w:highlight w:val="none"/>
                <w:u w:val="none" w:color="auto"/>
                <w:shd w:val="clear" w:color="auto" w:fill="auto"/>
              </w:rPr>
              <w:t>本项目的主要环境保护目标分布情况见表</w:t>
            </w:r>
            <w:r>
              <w:rPr>
                <w:rFonts w:hint="default" w:ascii="Times New Roman" w:hAnsi="Times New Roman" w:eastAsia="宋体" w:cs="Times New Roman"/>
                <w:b w:val="0"/>
                <w:bCs/>
                <w:color w:val="auto"/>
                <w:sz w:val="24"/>
                <w:highlight w:val="none"/>
                <w:u w:val="none" w:color="auto"/>
                <w:shd w:val="clear" w:color="auto" w:fill="auto"/>
                <w:lang w:val="en-US" w:eastAsia="zh-CN"/>
              </w:rPr>
              <w:t>3-</w:t>
            </w:r>
            <w:r>
              <w:rPr>
                <w:rFonts w:hint="eastAsia" w:cs="Times New Roman"/>
                <w:b w:val="0"/>
                <w:bCs/>
                <w:color w:val="auto"/>
                <w:sz w:val="24"/>
                <w:highlight w:val="none"/>
                <w:u w:val="none" w:color="auto"/>
                <w:shd w:val="clear" w:color="auto" w:fill="auto"/>
                <w:lang w:val="en-US" w:eastAsia="zh-CN"/>
              </w:rPr>
              <w:t>7</w:t>
            </w:r>
            <w:r>
              <w:rPr>
                <w:rFonts w:hint="default" w:ascii="Times New Roman" w:hAnsi="Times New Roman" w:eastAsia="宋体" w:cs="Times New Roman"/>
                <w:b w:val="0"/>
                <w:bCs/>
                <w:color w:val="auto"/>
                <w:sz w:val="24"/>
                <w:highlight w:val="none"/>
                <w:u w:val="none" w:color="auto"/>
                <w:shd w:val="clear" w:color="auto" w:fill="auto"/>
              </w:rPr>
              <w:t>、</w:t>
            </w:r>
            <w:r>
              <w:rPr>
                <w:rFonts w:hint="default" w:ascii="Times New Roman" w:hAnsi="Times New Roman" w:eastAsia="宋体" w:cs="Times New Roman"/>
                <w:b w:val="0"/>
                <w:bCs/>
                <w:color w:val="auto"/>
                <w:sz w:val="24"/>
                <w:highlight w:val="none"/>
                <w:u w:val="none" w:color="auto"/>
                <w:shd w:val="clear" w:color="auto" w:fill="auto"/>
                <w:lang w:val="en-US" w:eastAsia="zh-CN"/>
              </w:rPr>
              <w:t>3-</w:t>
            </w:r>
            <w:r>
              <w:rPr>
                <w:rFonts w:hint="eastAsia" w:cs="Times New Roman"/>
                <w:b w:val="0"/>
                <w:bCs/>
                <w:color w:val="auto"/>
                <w:sz w:val="24"/>
                <w:highlight w:val="none"/>
                <w:u w:val="none" w:color="auto"/>
                <w:shd w:val="clear" w:color="auto" w:fill="auto"/>
                <w:lang w:val="en-US" w:eastAsia="zh-CN"/>
              </w:rPr>
              <w:t>8</w:t>
            </w:r>
            <w:r>
              <w:rPr>
                <w:rFonts w:hint="default" w:ascii="Times New Roman" w:hAnsi="Times New Roman" w:cs="Times New Roman"/>
                <w:b w:val="0"/>
                <w:bCs/>
                <w:color w:val="auto"/>
                <w:sz w:val="24"/>
                <w:highlight w:val="none"/>
                <w:u w:val="none" w:color="auto"/>
                <w:shd w:val="clear" w:color="auto" w:fill="auto"/>
                <w:lang w:val="en-US" w:eastAsia="zh-CN"/>
              </w:rPr>
              <w:t>、3-</w:t>
            </w:r>
            <w:r>
              <w:rPr>
                <w:rFonts w:hint="eastAsia" w:cs="Times New Roman"/>
                <w:b w:val="0"/>
                <w:bCs/>
                <w:color w:val="auto"/>
                <w:sz w:val="24"/>
                <w:highlight w:val="none"/>
                <w:u w:val="none" w:color="auto"/>
                <w:shd w:val="clear" w:color="auto" w:fill="auto"/>
                <w:lang w:val="en-US" w:eastAsia="zh-CN"/>
              </w:rPr>
              <w:t>9</w:t>
            </w:r>
            <w:r>
              <w:rPr>
                <w:rFonts w:hint="default" w:ascii="Times New Roman" w:hAnsi="Times New Roman" w:eastAsia="宋体" w:cs="Times New Roman"/>
                <w:b w:val="0"/>
                <w:bCs/>
                <w:color w:val="auto"/>
                <w:sz w:val="24"/>
                <w:highlight w:val="none"/>
                <w:u w:val="none" w:color="auto"/>
                <w:shd w:val="clear" w:color="auto" w:fill="auto"/>
              </w:rPr>
              <w:t>。</w:t>
            </w:r>
          </w:p>
          <w:p>
            <w:pPr>
              <w:pStyle w:val="151"/>
              <w:keepNext w:val="0"/>
              <w:keepLines w:val="0"/>
              <w:pageBreakBefore w:val="0"/>
              <w:widowControl w:val="0"/>
              <w:kinsoku/>
              <w:wordWrap/>
              <w:overflowPunct/>
              <w:topLinePunct w:val="0"/>
              <w:autoSpaceDE/>
              <w:autoSpaceDN/>
              <w:bidi w:val="0"/>
              <w:adjustRightInd w:val="0"/>
              <w:snapToGrid w:val="0"/>
              <w:spacing w:line="480" w:lineRule="exact"/>
              <w:ind w:firstLine="482"/>
              <w:textAlignment w:val="auto"/>
              <w:rPr>
                <w:rFonts w:hint="default" w:ascii="Times New Roman" w:hAnsi="Times New Roman" w:eastAsia="宋体" w:cs="Times New Roman"/>
                <w:b/>
                <w:snapToGrid w:val="0"/>
                <w:color w:val="auto"/>
                <w:spacing w:val="0"/>
                <w:sz w:val="21"/>
                <w:szCs w:val="21"/>
                <w:u w:val="none" w:color="auto"/>
              </w:rPr>
            </w:pPr>
            <w:r>
              <w:rPr>
                <w:rFonts w:hint="default" w:ascii="Times New Roman" w:hAnsi="Times New Roman" w:eastAsia="宋体" w:cs="Times New Roman"/>
                <w:b/>
                <w:snapToGrid w:val="0"/>
                <w:color w:val="auto"/>
                <w:spacing w:val="0"/>
                <w:sz w:val="21"/>
                <w:szCs w:val="21"/>
                <w:u w:val="none" w:color="auto"/>
                <w:lang w:val="en-US" w:eastAsia="zh-CN"/>
              </w:rPr>
              <w:t>3-</w:t>
            </w:r>
            <w:r>
              <w:rPr>
                <w:rFonts w:hint="eastAsia" w:cs="Times New Roman"/>
                <w:b/>
                <w:snapToGrid w:val="0"/>
                <w:color w:val="auto"/>
                <w:spacing w:val="0"/>
                <w:sz w:val="21"/>
                <w:szCs w:val="21"/>
                <w:u w:val="none" w:color="auto"/>
                <w:lang w:val="en-US" w:eastAsia="zh-CN"/>
              </w:rPr>
              <w:t>7</w:t>
            </w:r>
            <w:r>
              <w:rPr>
                <w:rFonts w:hint="default" w:ascii="Times New Roman" w:hAnsi="Times New Roman" w:eastAsia="宋体" w:cs="Times New Roman"/>
                <w:b/>
                <w:snapToGrid w:val="0"/>
                <w:color w:val="auto"/>
                <w:spacing w:val="0"/>
                <w:sz w:val="21"/>
                <w:szCs w:val="21"/>
                <w:u w:val="none" w:color="auto"/>
              </w:rPr>
              <w:t xml:space="preserve">  本项目环境空气环境保护目标一览表</w:t>
            </w:r>
          </w:p>
          <w:tbl>
            <w:tblPr>
              <w:tblStyle w:val="4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3"/>
              <w:gridCol w:w="1044"/>
              <w:gridCol w:w="1089"/>
              <w:gridCol w:w="1391"/>
              <w:gridCol w:w="2261"/>
              <w:gridCol w:w="863"/>
              <w:gridCol w:w="863"/>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256"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类 别</w:t>
                  </w:r>
                </w:p>
              </w:tc>
              <w:tc>
                <w:tcPr>
                  <w:tcW w:w="1179" w:type="pct"/>
                  <w:gridSpan w:val="2"/>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坐标/m</w:t>
                  </w:r>
                </w:p>
              </w:tc>
              <w:tc>
                <w:tcPr>
                  <w:tcW w:w="769"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保护对象</w:t>
                  </w:r>
                </w:p>
              </w:tc>
              <w:tc>
                <w:tcPr>
                  <w:tcW w:w="1250"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保护内容</w:t>
                  </w:r>
                </w:p>
              </w:tc>
              <w:tc>
                <w:tcPr>
                  <w:tcW w:w="477"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lang w:eastAsia="zh-CN"/>
                    </w:rPr>
                  </w:pPr>
                  <w:r>
                    <w:rPr>
                      <w:rFonts w:hint="default" w:ascii="Times New Roman" w:hAnsi="Times New Roman" w:eastAsia="宋体" w:cs="Times New Roman"/>
                      <w:b/>
                      <w:color w:val="auto"/>
                      <w:sz w:val="22"/>
                      <w:szCs w:val="22"/>
                      <w:u w:val="none" w:color="auto"/>
                      <w:lang w:eastAsia="zh-CN"/>
                    </w:rPr>
                    <w:t>水源</w:t>
                  </w:r>
                </w:p>
              </w:tc>
              <w:tc>
                <w:tcPr>
                  <w:tcW w:w="477"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环境功能区</w:t>
                  </w:r>
                </w:p>
              </w:tc>
              <w:tc>
                <w:tcPr>
                  <w:tcW w:w="590"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lang w:val="en-US"/>
                    </w:rPr>
                  </w:pPr>
                  <w:r>
                    <w:rPr>
                      <w:rFonts w:hint="default" w:ascii="Times New Roman" w:hAnsi="Times New Roman" w:eastAsia="宋体" w:cs="Times New Roman"/>
                      <w:b/>
                      <w:color w:val="auto"/>
                      <w:sz w:val="22"/>
                      <w:szCs w:val="22"/>
                      <w:u w:val="none" w:color="auto"/>
                      <w:lang w:val="en-US" w:eastAsia="zh-CN"/>
                    </w:rPr>
                    <w:t>相对厂址</w:t>
                  </w:r>
                  <w:r>
                    <w:rPr>
                      <w:rFonts w:hint="default" w:ascii="Times New Roman" w:hAnsi="Times New Roman" w:eastAsia="宋体" w:cs="Times New Roman"/>
                      <w:b/>
                      <w:color w:val="auto"/>
                      <w:sz w:val="22"/>
                      <w:szCs w:val="22"/>
                      <w:u w:val="none" w:color="auto"/>
                      <w:lang w:val="en-US"/>
                    </w:rPr>
                    <w:t>的方位/距离m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256"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577" w:type="pc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X</w:t>
                  </w:r>
                </w:p>
              </w:tc>
              <w:tc>
                <w:tcPr>
                  <w:tcW w:w="601" w:type="pc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Y</w:t>
                  </w:r>
                </w:p>
              </w:tc>
              <w:tc>
                <w:tcPr>
                  <w:tcW w:w="769"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1250"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477"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477"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590"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56"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rPr>
                    <w:t>环境空气</w:t>
                  </w:r>
                </w:p>
              </w:tc>
              <w:tc>
                <w:tcPr>
                  <w:tcW w:w="5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val="en-US" w:eastAsia="zh-CN"/>
                    </w:rPr>
                  </w:pPr>
                  <w:r>
                    <w:rPr>
                      <w:rFonts w:hint="eastAsia" w:ascii="Times New Roman" w:hAnsi="Times New Roman" w:eastAsia="宋体" w:cs="Times New Roman"/>
                      <w:b w:val="0"/>
                      <w:bCs/>
                      <w:color w:val="auto"/>
                      <w:sz w:val="22"/>
                      <w:szCs w:val="22"/>
                      <w:u w:val="none" w:color="auto"/>
                      <w:lang w:val="en-US" w:eastAsia="zh-CN"/>
                    </w:rPr>
                    <w:t>-450</w:t>
                  </w:r>
                </w:p>
              </w:tc>
              <w:tc>
                <w:tcPr>
                  <w:tcW w:w="601"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val="en-US" w:eastAsia="zh-CN"/>
                    </w:rPr>
                  </w:pPr>
                  <w:r>
                    <w:rPr>
                      <w:rFonts w:hint="eastAsia" w:ascii="Times New Roman" w:hAnsi="Times New Roman" w:eastAsia="宋体" w:cs="Times New Roman"/>
                      <w:b w:val="0"/>
                      <w:bCs/>
                      <w:color w:val="auto"/>
                      <w:sz w:val="22"/>
                      <w:szCs w:val="22"/>
                      <w:u w:val="none" w:color="auto"/>
                      <w:lang w:val="en-US" w:eastAsia="zh-CN"/>
                    </w:rPr>
                    <w:t>8</w:t>
                  </w:r>
                  <w:r>
                    <w:rPr>
                      <w:rFonts w:hint="eastAsia" w:cs="Times New Roman"/>
                      <w:b w:val="0"/>
                      <w:bCs/>
                      <w:color w:val="auto"/>
                      <w:sz w:val="22"/>
                      <w:szCs w:val="22"/>
                      <w:u w:val="none" w:color="auto"/>
                      <w:lang w:val="en-US" w:eastAsia="zh-CN"/>
                    </w:rPr>
                    <w:t>2</w:t>
                  </w:r>
                  <w:r>
                    <w:rPr>
                      <w:rFonts w:hint="eastAsia" w:ascii="Times New Roman" w:hAnsi="Times New Roman" w:eastAsia="宋体" w:cs="Times New Roman"/>
                      <w:b w:val="0"/>
                      <w:bCs/>
                      <w:color w:val="auto"/>
                      <w:sz w:val="22"/>
                      <w:szCs w:val="22"/>
                      <w:u w:val="none" w:color="auto"/>
                      <w:lang w:val="en-US" w:eastAsia="zh-CN"/>
                    </w:rPr>
                    <w:t>0</w:t>
                  </w:r>
                </w:p>
              </w:tc>
              <w:tc>
                <w:tcPr>
                  <w:tcW w:w="769" w:type="pct"/>
                  <w:tcBorders>
                    <w:tl2br w:val="nil"/>
                    <w:tr2bl w:val="nil"/>
                  </w:tcBorders>
                  <w:noWrap w:val="0"/>
                  <w:vAlign w:val="center"/>
                </w:tcPr>
                <w:p>
                  <w:pPr>
                    <w:jc w:val="center"/>
                    <w:rPr>
                      <w:rFonts w:hint="default" w:ascii="Times New Roman" w:hAnsi="Times New Roman" w:eastAsia="宋体" w:cs="Times New Roman"/>
                      <w:b w:val="0"/>
                      <w:bCs/>
                      <w:color w:val="auto"/>
                      <w:sz w:val="22"/>
                      <w:szCs w:val="22"/>
                      <w:u w:val="none" w:color="auto"/>
                      <w:lang w:eastAsia="zh-CN"/>
                    </w:rPr>
                  </w:pPr>
                  <w:r>
                    <w:rPr>
                      <w:rFonts w:hint="eastAsia" w:ascii="Times New Roman" w:hAnsi="Times New Roman" w:eastAsia="宋体" w:cs="Times New Roman"/>
                      <w:b w:val="0"/>
                      <w:bCs/>
                      <w:color w:val="auto"/>
                      <w:sz w:val="22"/>
                      <w:szCs w:val="22"/>
                      <w:u w:val="none" w:color="auto"/>
                      <w:lang w:eastAsia="zh-CN"/>
                    </w:rPr>
                    <w:t>新塘村</w:t>
                  </w:r>
                </w:p>
              </w:tc>
              <w:tc>
                <w:tcPr>
                  <w:tcW w:w="1250"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eastAsia="zh-CN"/>
                    </w:rPr>
                  </w:pPr>
                  <w:r>
                    <w:rPr>
                      <w:rFonts w:hint="default" w:ascii="Times New Roman" w:hAnsi="Times New Roman" w:eastAsia="宋体" w:cs="Times New Roman"/>
                      <w:b w:val="0"/>
                      <w:bCs/>
                      <w:color w:val="auto"/>
                      <w:sz w:val="22"/>
                      <w:szCs w:val="22"/>
                      <w:u w:val="none" w:color="auto"/>
                    </w:rPr>
                    <w:t>约</w:t>
                  </w:r>
                  <w:r>
                    <w:rPr>
                      <w:rFonts w:hint="eastAsia" w:ascii="Times New Roman" w:hAnsi="Times New Roman" w:cs="Times New Roman"/>
                      <w:b w:val="0"/>
                      <w:bCs/>
                      <w:color w:val="auto"/>
                      <w:sz w:val="22"/>
                      <w:szCs w:val="22"/>
                      <w:u w:val="none" w:color="auto"/>
                      <w:lang w:val="en-US" w:eastAsia="zh-CN"/>
                    </w:rPr>
                    <w:t>40</w:t>
                  </w:r>
                  <w:r>
                    <w:rPr>
                      <w:rFonts w:hint="default" w:ascii="Times New Roman" w:hAnsi="Times New Roman" w:eastAsia="宋体" w:cs="Times New Roman"/>
                      <w:b w:val="0"/>
                      <w:bCs/>
                      <w:color w:val="auto"/>
                      <w:sz w:val="22"/>
                      <w:szCs w:val="22"/>
                      <w:u w:val="none" w:color="auto"/>
                      <w:lang w:val="en-US" w:eastAsia="zh-CN"/>
                    </w:rPr>
                    <w:t>人</w:t>
                  </w:r>
                  <w:r>
                    <w:rPr>
                      <w:rFonts w:hint="default" w:ascii="Times New Roman" w:hAnsi="Times New Roman" w:eastAsia="宋体" w:cs="Times New Roman"/>
                      <w:b w:val="0"/>
                      <w:bCs/>
                      <w:color w:val="auto"/>
                      <w:sz w:val="22"/>
                      <w:szCs w:val="22"/>
                      <w:u w:val="none" w:color="auto"/>
                    </w:rPr>
                    <w:t>，居民点</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eastAsia="zh-CN"/>
                    </w:rPr>
                  </w:pPr>
                  <w:r>
                    <w:rPr>
                      <w:rFonts w:hint="default" w:ascii="Times New Roman" w:hAnsi="Times New Roman" w:eastAsia="宋体" w:cs="Times New Roman"/>
                      <w:b w:val="0"/>
                      <w:bCs/>
                      <w:color w:val="auto"/>
                      <w:sz w:val="22"/>
                      <w:szCs w:val="22"/>
                      <w:u w:val="none" w:color="auto"/>
                      <w:lang w:eastAsia="zh-CN"/>
                    </w:rPr>
                    <w:t>自来水</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rPr>
                    <w:t>二类区</w:t>
                  </w:r>
                </w:p>
              </w:tc>
              <w:tc>
                <w:tcPr>
                  <w:tcW w:w="590"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val="en-US" w:eastAsia="zh-CN"/>
                    </w:rPr>
                  </w:pPr>
                  <w:r>
                    <w:rPr>
                      <w:rFonts w:hint="default" w:ascii="Times New Roman" w:hAnsi="Times New Roman" w:cs="Times New Roman"/>
                      <w:b w:val="0"/>
                      <w:bCs/>
                      <w:color w:val="auto"/>
                      <w:sz w:val="22"/>
                      <w:szCs w:val="22"/>
                      <w:u w:val="none" w:color="auto"/>
                      <w:lang w:eastAsia="zh-CN"/>
                    </w:rPr>
                    <w:t>西</w:t>
                  </w:r>
                  <w:r>
                    <w:rPr>
                      <w:rFonts w:hint="default" w:ascii="Times New Roman" w:hAnsi="Times New Roman" w:eastAsia="宋体" w:cs="Times New Roman"/>
                      <w:b w:val="0"/>
                      <w:bCs/>
                      <w:color w:val="auto"/>
                      <w:sz w:val="22"/>
                      <w:szCs w:val="22"/>
                      <w:u w:val="none" w:color="auto"/>
                    </w:rPr>
                    <w:t xml:space="preserve">北 </w:t>
                  </w:r>
                  <w:r>
                    <w:rPr>
                      <w:rFonts w:hint="eastAsia" w:ascii="Times New Roman" w:hAnsi="Times New Roman" w:cs="Times New Roman"/>
                      <w:b w:val="0"/>
                      <w:bCs/>
                      <w:color w:val="auto"/>
                      <w:sz w:val="22"/>
                      <w:szCs w:val="22"/>
                      <w:u w:val="none" w:color="auto"/>
                      <w:lang w:val="en-US" w:eastAsia="zh-CN"/>
                    </w:rPr>
                    <w:t>8</w:t>
                  </w:r>
                  <w:r>
                    <w:rPr>
                      <w:rFonts w:hint="eastAsia" w:cs="Times New Roman"/>
                      <w:b w:val="0"/>
                      <w:bCs/>
                      <w:color w:val="auto"/>
                      <w:sz w:val="22"/>
                      <w:szCs w:val="22"/>
                      <w:u w:val="none" w:color="auto"/>
                      <w:lang w:val="en-US" w:eastAsia="zh-CN"/>
                    </w:rPr>
                    <w:t>1</w:t>
                  </w:r>
                  <w:r>
                    <w:rPr>
                      <w:rFonts w:hint="eastAsia" w:ascii="Times New Roman" w:hAnsi="Times New Roman" w:cs="Times New Roman"/>
                      <w:b w:val="0"/>
                      <w:bCs/>
                      <w:color w:val="auto"/>
                      <w:sz w:val="22"/>
                      <w:szCs w:val="22"/>
                      <w:u w:val="none" w:color="auto"/>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56"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p>
              </w:tc>
              <w:tc>
                <w:tcPr>
                  <w:tcW w:w="5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val="en-US" w:eastAsia="zh-CN"/>
                    </w:rPr>
                  </w:pPr>
                  <w:r>
                    <w:rPr>
                      <w:rFonts w:hint="eastAsia" w:ascii="Times New Roman" w:hAnsi="Times New Roman" w:eastAsia="宋体" w:cs="Times New Roman"/>
                      <w:b w:val="0"/>
                      <w:bCs/>
                      <w:color w:val="auto"/>
                      <w:sz w:val="22"/>
                      <w:szCs w:val="22"/>
                      <w:u w:val="none" w:color="auto"/>
                      <w:lang w:val="en-US" w:eastAsia="zh-CN"/>
                    </w:rPr>
                    <w:t>900</w:t>
                  </w:r>
                </w:p>
              </w:tc>
              <w:tc>
                <w:tcPr>
                  <w:tcW w:w="601"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val="en-US" w:eastAsia="zh-CN"/>
                    </w:rPr>
                  </w:pPr>
                  <w:r>
                    <w:rPr>
                      <w:rFonts w:hint="eastAsia" w:ascii="Times New Roman" w:hAnsi="Times New Roman" w:eastAsia="宋体" w:cs="Times New Roman"/>
                      <w:b w:val="0"/>
                      <w:bCs/>
                      <w:color w:val="auto"/>
                      <w:sz w:val="22"/>
                      <w:szCs w:val="22"/>
                      <w:u w:val="none" w:color="auto"/>
                      <w:lang w:val="en-US" w:eastAsia="zh-CN"/>
                    </w:rPr>
                    <w:t>0</w:t>
                  </w:r>
                </w:p>
              </w:tc>
              <w:tc>
                <w:tcPr>
                  <w:tcW w:w="769" w:type="pct"/>
                  <w:tcBorders>
                    <w:tl2br w:val="nil"/>
                    <w:tr2bl w:val="nil"/>
                  </w:tcBorders>
                  <w:noWrap w:val="0"/>
                  <w:vAlign w:val="center"/>
                </w:tcPr>
                <w:p>
                  <w:pPr>
                    <w:jc w:val="center"/>
                    <w:rPr>
                      <w:rFonts w:hint="default" w:ascii="Times New Roman" w:hAnsi="Times New Roman" w:eastAsia="宋体" w:cs="Times New Roman"/>
                      <w:b w:val="0"/>
                      <w:bCs/>
                      <w:color w:val="auto"/>
                      <w:sz w:val="22"/>
                      <w:szCs w:val="22"/>
                      <w:u w:val="none" w:color="auto"/>
                      <w:lang w:eastAsia="zh-CN"/>
                    </w:rPr>
                  </w:pPr>
                  <w:r>
                    <w:rPr>
                      <w:rFonts w:hint="eastAsia" w:ascii="Times New Roman" w:hAnsi="Times New Roman" w:eastAsia="宋体" w:cs="Times New Roman"/>
                      <w:b w:val="0"/>
                      <w:bCs/>
                      <w:color w:val="auto"/>
                      <w:sz w:val="22"/>
                      <w:szCs w:val="22"/>
                      <w:u w:val="none" w:color="auto"/>
                      <w:lang w:eastAsia="zh-CN"/>
                    </w:rPr>
                    <w:t>金华村</w:t>
                  </w:r>
                </w:p>
              </w:tc>
              <w:tc>
                <w:tcPr>
                  <w:tcW w:w="1250"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rPr>
                    <w:t>约</w:t>
                  </w:r>
                  <w:r>
                    <w:rPr>
                      <w:rFonts w:hint="eastAsia" w:ascii="Times New Roman" w:hAnsi="Times New Roman" w:cs="Times New Roman"/>
                      <w:b w:val="0"/>
                      <w:bCs/>
                      <w:color w:val="auto"/>
                      <w:sz w:val="22"/>
                      <w:szCs w:val="22"/>
                      <w:u w:val="none" w:color="auto"/>
                      <w:lang w:val="en-US" w:eastAsia="zh-CN"/>
                    </w:rPr>
                    <w:t>45</w:t>
                  </w:r>
                  <w:r>
                    <w:rPr>
                      <w:rFonts w:hint="default" w:ascii="Times New Roman" w:hAnsi="Times New Roman" w:eastAsia="宋体" w:cs="Times New Roman"/>
                      <w:b w:val="0"/>
                      <w:bCs/>
                      <w:color w:val="auto"/>
                      <w:sz w:val="22"/>
                      <w:szCs w:val="22"/>
                      <w:u w:val="none" w:color="auto"/>
                      <w:lang w:val="en-US" w:eastAsia="zh-CN"/>
                    </w:rPr>
                    <w:t>人</w:t>
                  </w:r>
                  <w:r>
                    <w:rPr>
                      <w:rFonts w:hint="default" w:ascii="Times New Roman" w:hAnsi="Times New Roman" w:eastAsia="宋体" w:cs="Times New Roman"/>
                      <w:b w:val="0"/>
                      <w:bCs/>
                      <w:color w:val="auto"/>
                      <w:sz w:val="22"/>
                      <w:szCs w:val="22"/>
                      <w:u w:val="none" w:color="auto"/>
                    </w:rPr>
                    <w:t>，居民点</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lang w:eastAsia="zh-CN"/>
                    </w:rPr>
                    <w:t>自来水</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rPr>
                    <w:t>二类区</w:t>
                  </w:r>
                </w:p>
              </w:tc>
              <w:tc>
                <w:tcPr>
                  <w:tcW w:w="590"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val="en-US" w:eastAsia="zh-CN"/>
                    </w:rPr>
                  </w:pPr>
                  <w:r>
                    <w:rPr>
                      <w:rFonts w:hint="eastAsia" w:ascii="Times New Roman" w:hAnsi="Times New Roman" w:eastAsia="宋体" w:cs="Times New Roman"/>
                      <w:b w:val="0"/>
                      <w:bCs/>
                      <w:color w:val="auto"/>
                      <w:sz w:val="22"/>
                      <w:szCs w:val="22"/>
                      <w:u w:val="none" w:color="auto"/>
                      <w:lang w:val="en-US" w:eastAsia="zh-CN"/>
                    </w:rPr>
                    <w:t>西</w:t>
                  </w:r>
                  <w:r>
                    <w:rPr>
                      <w:rFonts w:hint="default" w:ascii="Times New Roman" w:hAnsi="Times New Roman" w:eastAsia="宋体" w:cs="Times New Roman"/>
                      <w:b w:val="0"/>
                      <w:bCs/>
                      <w:color w:val="auto"/>
                      <w:sz w:val="22"/>
                      <w:szCs w:val="22"/>
                      <w:u w:val="none" w:color="auto"/>
                      <w:lang w:val="en-US" w:eastAsia="zh-CN"/>
                    </w:rPr>
                    <w:t xml:space="preserve"> </w:t>
                  </w:r>
                  <w:r>
                    <w:rPr>
                      <w:rFonts w:hint="eastAsia" w:ascii="Times New Roman" w:hAnsi="Times New Roman" w:cs="Times New Roman"/>
                      <w:b w:val="0"/>
                      <w:bCs/>
                      <w:color w:val="auto"/>
                      <w:sz w:val="22"/>
                      <w:szCs w:val="22"/>
                      <w:u w:val="none" w:color="auto"/>
                      <w:lang w:val="en-US" w:eastAsia="zh-CN"/>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56"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p>
              </w:tc>
              <w:tc>
                <w:tcPr>
                  <w:tcW w:w="577"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cs="Times New Roman"/>
                      <w:b w:val="0"/>
                      <w:bCs/>
                      <w:color w:val="auto"/>
                      <w:sz w:val="22"/>
                      <w:szCs w:val="22"/>
                      <w:u w:val="none" w:color="auto"/>
                      <w:lang w:val="en-US" w:eastAsia="zh-CN"/>
                    </w:rPr>
                    <w:t>30</w:t>
                  </w:r>
                  <w:r>
                    <w:rPr>
                      <w:rFonts w:hint="eastAsia" w:ascii="Times New Roman" w:hAnsi="Times New Roman" w:cs="Times New Roman"/>
                      <w:b w:val="0"/>
                      <w:bCs/>
                      <w:color w:val="auto"/>
                      <w:sz w:val="22"/>
                      <w:szCs w:val="22"/>
                      <w:u w:val="none" w:color="auto"/>
                      <w:lang w:val="en-US" w:eastAsia="zh-CN"/>
                    </w:rPr>
                    <w:t>0</w:t>
                  </w:r>
                </w:p>
              </w:tc>
              <w:tc>
                <w:tcPr>
                  <w:tcW w:w="601"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val="en-US" w:eastAsia="zh-CN"/>
                    </w:rPr>
                    <w:t>4</w:t>
                  </w:r>
                  <w:r>
                    <w:rPr>
                      <w:rFonts w:hint="eastAsia" w:cs="Times New Roman"/>
                      <w:b w:val="0"/>
                      <w:bCs/>
                      <w:color w:val="auto"/>
                      <w:sz w:val="22"/>
                      <w:szCs w:val="22"/>
                      <w:u w:val="none" w:color="auto"/>
                      <w:lang w:val="en-US" w:eastAsia="zh-CN"/>
                    </w:rPr>
                    <w:t>6</w:t>
                  </w:r>
                  <w:r>
                    <w:rPr>
                      <w:rFonts w:hint="eastAsia" w:ascii="Times New Roman" w:hAnsi="Times New Roman" w:cs="Times New Roman"/>
                      <w:b w:val="0"/>
                      <w:bCs/>
                      <w:color w:val="auto"/>
                      <w:sz w:val="22"/>
                      <w:szCs w:val="22"/>
                      <w:u w:val="none" w:color="auto"/>
                      <w:lang w:val="en-US" w:eastAsia="zh-CN"/>
                    </w:rPr>
                    <w:t>0</w:t>
                  </w:r>
                </w:p>
              </w:tc>
              <w:tc>
                <w:tcPr>
                  <w:tcW w:w="769" w:type="pct"/>
                  <w:tcBorders>
                    <w:tl2br w:val="nil"/>
                    <w:tr2bl w:val="nil"/>
                  </w:tcBorders>
                  <w:noWrap w:val="0"/>
                  <w:vAlign w:val="center"/>
                </w:tcPr>
                <w:p>
                  <w:pPr>
                    <w:jc w:val="center"/>
                    <w:rPr>
                      <w:rFonts w:hint="default" w:ascii="Times New Roman" w:hAnsi="Times New Roman" w:cs="Times New Roman"/>
                      <w:bCs/>
                      <w:color w:val="auto"/>
                      <w:sz w:val="22"/>
                      <w:szCs w:val="22"/>
                      <w:u w:val="none" w:color="auto"/>
                      <w:lang w:eastAsia="zh-CN"/>
                    </w:rPr>
                  </w:pPr>
                  <w:r>
                    <w:rPr>
                      <w:rFonts w:hint="eastAsia" w:ascii="Times New Roman" w:hAnsi="Times New Roman" w:cs="Times New Roman"/>
                      <w:bCs/>
                      <w:color w:val="auto"/>
                      <w:sz w:val="22"/>
                      <w:szCs w:val="22"/>
                      <w:u w:val="none" w:color="auto"/>
                      <w:lang w:eastAsia="zh-CN"/>
                    </w:rPr>
                    <w:t>界头铺镇</w:t>
                  </w:r>
                </w:p>
              </w:tc>
              <w:tc>
                <w:tcPr>
                  <w:tcW w:w="1250"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default" w:ascii="Times New Roman" w:hAnsi="Times New Roman" w:eastAsia="宋体" w:cs="Times New Roman"/>
                      <w:b w:val="0"/>
                      <w:bCs/>
                      <w:color w:val="auto"/>
                      <w:sz w:val="22"/>
                      <w:szCs w:val="22"/>
                      <w:u w:val="none" w:color="auto"/>
                    </w:rPr>
                    <w:t>约</w:t>
                  </w:r>
                  <w:r>
                    <w:rPr>
                      <w:rFonts w:hint="eastAsia" w:ascii="Times New Roman" w:hAnsi="Times New Roman" w:cs="Times New Roman"/>
                      <w:b w:val="0"/>
                      <w:bCs/>
                      <w:color w:val="auto"/>
                      <w:sz w:val="22"/>
                      <w:szCs w:val="22"/>
                      <w:u w:val="none" w:color="auto"/>
                      <w:lang w:val="en-US" w:eastAsia="zh-CN"/>
                    </w:rPr>
                    <w:t>700</w:t>
                  </w:r>
                  <w:r>
                    <w:rPr>
                      <w:rFonts w:hint="default" w:ascii="Times New Roman" w:hAnsi="Times New Roman" w:eastAsia="宋体" w:cs="Times New Roman"/>
                      <w:b w:val="0"/>
                      <w:bCs/>
                      <w:color w:val="auto"/>
                      <w:sz w:val="22"/>
                      <w:szCs w:val="22"/>
                      <w:u w:val="none" w:color="auto"/>
                      <w:lang w:val="en-US" w:eastAsia="zh-CN"/>
                    </w:rPr>
                    <w:t>人</w:t>
                  </w:r>
                  <w:r>
                    <w:rPr>
                      <w:rFonts w:hint="default" w:ascii="Times New Roman" w:hAnsi="Times New Roman" w:eastAsia="宋体" w:cs="Times New Roman"/>
                      <w:b w:val="0"/>
                      <w:bCs/>
                      <w:color w:val="auto"/>
                      <w:sz w:val="22"/>
                      <w:szCs w:val="22"/>
                      <w:u w:val="none" w:color="auto"/>
                    </w:rPr>
                    <w:t>，居民点</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eastAsia="zh-CN"/>
                    </w:rPr>
                  </w:pPr>
                  <w:r>
                    <w:rPr>
                      <w:rFonts w:hint="default" w:ascii="Times New Roman" w:hAnsi="Times New Roman" w:eastAsia="宋体" w:cs="Times New Roman"/>
                      <w:b w:val="0"/>
                      <w:bCs/>
                      <w:color w:val="auto"/>
                      <w:sz w:val="22"/>
                      <w:szCs w:val="22"/>
                      <w:u w:val="none" w:color="auto"/>
                      <w:lang w:eastAsia="zh-CN"/>
                    </w:rPr>
                    <w:t>自来水</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rPr>
                    <w:t>二类区</w:t>
                  </w:r>
                </w:p>
              </w:tc>
              <w:tc>
                <w:tcPr>
                  <w:tcW w:w="590"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cs="Times New Roman"/>
                      <w:b w:val="0"/>
                      <w:bCs/>
                      <w:color w:val="auto"/>
                      <w:sz w:val="22"/>
                      <w:szCs w:val="22"/>
                      <w:u w:val="none" w:color="auto"/>
                      <w:lang w:eastAsia="zh-CN"/>
                    </w:rPr>
                    <w:t>东</w:t>
                  </w:r>
                  <w:r>
                    <w:rPr>
                      <w:rFonts w:hint="eastAsia" w:ascii="Times New Roman" w:hAnsi="Times New Roman" w:cs="Times New Roman"/>
                      <w:b w:val="0"/>
                      <w:bCs/>
                      <w:color w:val="auto"/>
                      <w:sz w:val="22"/>
                      <w:szCs w:val="22"/>
                      <w:u w:val="none" w:color="auto"/>
                      <w:lang w:eastAsia="zh-CN"/>
                    </w:rPr>
                    <w:t>北</w:t>
                  </w:r>
                  <w:r>
                    <w:rPr>
                      <w:rFonts w:hint="eastAsia" w:cs="Times New Roman"/>
                      <w:b w:val="0"/>
                      <w:bCs/>
                      <w:color w:val="auto"/>
                      <w:sz w:val="22"/>
                      <w:szCs w:val="22"/>
                      <w:u w:val="none" w:color="auto"/>
                      <w:lang w:val="en-US" w:eastAsia="zh-CN"/>
                    </w:rPr>
                    <w:t>26</w:t>
                  </w:r>
                  <w:r>
                    <w:rPr>
                      <w:rFonts w:hint="eastAsia" w:ascii="Times New Roman" w:hAnsi="Times New Roman" w:cs="Times New Roman"/>
                      <w:b w:val="0"/>
                      <w:bCs/>
                      <w:color w:val="auto"/>
                      <w:sz w:val="22"/>
                      <w:szCs w:val="22"/>
                      <w:u w:val="none" w:color="auto"/>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56"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p>
              </w:tc>
              <w:tc>
                <w:tcPr>
                  <w:tcW w:w="577"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val="en-US" w:eastAsia="zh-CN"/>
                    </w:rPr>
                    <w:t>4</w:t>
                  </w:r>
                  <w:r>
                    <w:rPr>
                      <w:rFonts w:hint="eastAsia" w:cs="Times New Roman"/>
                      <w:b w:val="0"/>
                      <w:bCs/>
                      <w:color w:val="auto"/>
                      <w:sz w:val="22"/>
                      <w:szCs w:val="22"/>
                      <w:u w:val="none" w:color="auto"/>
                      <w:lang w:val="en-US" w:eastAsia="zh-CN"/>
                    </w:rPr>
                    <w:t>20</w:t>
                  </w:r>
                </w:p>
              </w:tc>
              <w:tc>
                <w:tcPr>
                  <w:tcW w:w="601"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val="en-US" w:eastAsia="zh-CN"/>
                    </w:rPr>
                    <w:t>-150</w:t>
                  </w:r>
                </w:p>
              </w:tc>
              <w:tc>
                <w:tcPr>
                  <w:tcW w:w="769" w:type="pct"/>
                  <w:tcBorders>
                    <w:tl2br w:val="nil"/>
                    <w:tr2bl w:val="nil"/>
                  </w:tcBorders>
                  <w:noWrap w:val="0"/>
                  <w:vAlign w:val="center"/>
                </w:tcPr>
                <w:p>
                  <w:pPr>
                    <w:jc w:val="center"/>
                    <w:rPr>
                      <w:rFonts w:hint="eastAsia" w:ascii="Times New Roman" w:hAnsi="Times New Roman" w:cs="Times New Roman"/>
                      <w:bCs/>
                      <w:color w:val="auto"/>
                      <w:sz w:val="22"/>
                      <w:szCs w:val="22"/>
                      <w:u w:val="none" w:color="auto"/>
                      <w:lang w:eastAsia="zh-CN"/>
                    </w:rPr>
                  </w:pPr>
                  <w:r>
                    <w:rPr>
                      <w:rFonts w:hint="eastAsia" w:ascii="Times New Roman" w:hAnsi="Times New Roman" w:cs="Times New Roman"/>
                      <w:bCs/>
                      <w:color w:val="auto"/>
                      <w:sz w:val="22"/>
                      <w:szCs w:val="22"/>
                      <w:u w:val="none" w:color="auto"/>
                      <w:lang w:eastAsia="zh-CN"/>
                    </w:rPr>
                    <w:t>安置区</w:t>
                  </w:r>
                </w:p>
              </w:tc>
              <w:tc>
                <w:tcPr>
                  <w:tcW w:w="1250" w:type="pct"/>
                  <w:tcBorders>
                    <w:tl2br w:val="nil"/>
                    <w:tr2bl w:val="nil"/>
                  </w:tcBorders>
                  <w:noWrap w:val="0"/>
                  <w:vAlign w:val="center"/>
                </w:tcPr>
                <w:p>
                  <w:pPr>
                    <w:spacing w:line="360" w:lineRule="exact"/>
                    <w:jc w:val="center"/>
                    <w:rPr>
                      <w:rFonts w:hint="eastAsia" w:ascii="Times New Roman" w:hAnsi="Times New Roman" w:cs="Times New Roman"/>
                      <w:b w:val="0"/>
                      <w:bCs/>
                      <w:color w:val="auto"/>
                      <w:sz w:val="22"/>
                      <w:szCs w:val="22"/>
                      <w:u w:val="none" w:color="auto"/>
                      <w:lang w:val="en-US" w:eastAsia="zh-CN"/>
                    </w:rPr>
                  </w:pPr>
                  <w:r>
                    <w:rPr>
                      <w:rFonts w:hint="default" w:ascii="Times New Roman" w:hAnsi="Times New Roman" w:eastAsia="宋体" w:cs="Times New Roman"/>
                      <w:b w:val="0"/>
                      <w:bCs/>
                      <w:color w:val="auto"/>
                      <w:sz w:val="22"/>
                      <w:szCs w:val="22"/>
                      <w:u w:val="none" w:color="auto"/>
                    </w:rPr>
                    <w:t>约</w:t>
                  </w:r>
                  <w:r>
                    <w:rPr>
                      <w:rFonts w:hint="eastAsia" w:ascii="Times New Roman" w:hAnsi="Times New Roman" w:cs="Times New Roman"/>
                      <w:b w:val="0"/>
                      <w:bCs/>
                      <w:color w:val="auto"/>
                      <w:sz w:val="22"/>
                      <w:szCs w:val="22"/>
                      <w:u w:val="none" w:color="auto"/>
                      <w:lang w:val="en-US" w:eastAsia="zh-CN"/>
                    </w:rPr>
                    <w:t>200</w:t>
                  </w:r>
                  <w:r>
                    <w:rPr>
                      <w:rFonts w:hint="default" w:ascii="Times New Roman" w:hAnsi="Times New Roman" w:eastAsia="宋体" w:cs="Times New Roman"/>
                      <w:b w:val="0"/>
                      <w:bCs/>
                      <w:color w:val="auto"/>
                      <w:sz w:val="22"/>
                      <w:szCs w:val="22"/>
                      <w:u w:val="none" w:color="auto"/>
                      <w:lang w:val="en-US" w:eastAsia="zh-CN"/>
                    </w:rPr>
                    <w:t>人</w:t>
                  </w:r>
                  <w:r>
                    <w:rPr>
                      <w:rFonts w:hint="default" w:ascii="Times New Roman" w:hAnsi="Times New Roman" w:eastAsia="宋体" w:cs="Times New Roman"/>
                      <w:b w:val="0"/>
                      <w:bCs/>
                      <w:color w:val="auto"/>
                      <w:sz w:val="22"/>
                      <w:szCs w:val="22"/>
                      <w:u w:val="none" w:color="auto"/>
                    </w:rPr>
                    <w:t>，居民点</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eastAsia="zh-CN"/>
                    </w:rPr>
                  </w:pPr>
                  <w:r>
                    <w:rPr>
                      <w:rFonts w:hint="default" w:ascii="Times New Roman" w:hAnsi="Times New Roman" w:eastAsia="宋体" w:cs="Times New Roman"/>
                      <w:b w:val="0"/>
                      <w:bCs/>
                      <w:color w:val="auto"/>
                      <w:sz w:val="22"/>
                      <w:szCs w:val="22"/>
                      <w:u w:val="none" w:color="auto"/>
                      <w:lang w:eastAsia="zh-CN"/>
                    </w:rPr>
                    <w:t>自来水</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rPr>
                    <w:t>二类区</w:t>
                  </w:r>
                </w:p>
              </w:tc>
              <w:tc>
                <w:tcPr>
                  <w:tcW w:w="590"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eastAsia="zh-CN"/>
                    </w:rPr>
                    <w:t>东南</w:t>
                  </w:r>
                  <w:r>
                    <w:rPr>
                      <w:rFonts w:hint="eastAsia" w:ascii="Times New Roman" w:hAnsi="Times New Roman" w:cs="Times New Roman"/>
                      <w:b w:val="0"/>
                      <w:bCs/>
                      <w:color w:val="auto"/>
                      <w:sz w:val="22"/>
                      <w:szCs w:val="22"/>
                      <w:u w:val="none" w:color="auto"/>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256"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p>
              </w:tc>
              <w:tc>
                <w:tcPr>
                  <w:tcW w:w="577"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val="en-US" w:eastAsia="zh-CN"/>
                    </w:rPr>
                    <w:t>2</w:t>
                  </w:r>
                  <w:r>
                    <w:rPr>
                      <w:rFonts w:hint="eastAsia" w:cs="Times New Roman"/>
                      <w:b w:val="0"/>
                      <w:bCs/>
                      <w:color w:val="auto"/>
                      <w:sz w:val="22"/>
                      <w:szCs w:val="22"/>
                      <w:u w:val="none" w:color="auto"/>
                      <w:lang w:val="en-US" w:eastAsia="zh-CN"/>
                    </w:rPr>
                    <w:t>1</w:t>
                  </w:r>
                  <w:r>
                    <w:rPr>
                      <w:rFonts w:hint="eastAsia" w:ascii="Times New Roman" w:hAnsi="Times New Roman" w:cs="Times New Roman"/>
                      <w:b w:val="0"/>
                      <w:bCs/>
                      <w:color w:val="auto"/>
                      <w:sz w:val="22"/>
                      <w:szCs w:val="22"/>
                      <w:u w:val="none" w:color="auto"/>
                      <w:lang w:val="en-US" w:eastAsia="zh-CN"/>
                    </w:rPr>
                    <w:t>0</w:t>
                  </w:r>
                </w:p>
              </w:tc>
              <w:tc>
                <w:tcPr>
                  <w:tcW w:w="601"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val="en-US" w:eastAsia="zh-CN"/>
                    </w:rPr>
                    <w:t>-</w:t>
                  </w:r>
                  <w:r>
                    <w:rPr>
                      <w:rFonts w:hint="eastAsia" w:cs="Times New Roman"/>
                      <w:b w:val="0"/>
                      <w:bCs/>
                      <w:color w:val="auto"/>
                      <w:sz w:val="22"/>
                      <w:szCs w:val="22"/>
                      <w:u w:val="none" w:color="auto"/>
                      <w:lang w:val="en-US" w:eastAsia="zh-CN"/>
                    </w:rPr>
                    <w:t>41</w:t>
                  </w:r>
                  <w:r>
                    <w:rPr>
                      <w:rFonts w:hint="eastAsia" w:ascii="Times New Roman" w:hAnsi="Times New Roman" w:cs="Times New Roman"/>
                      <w:b w:val="0"/>
                      <w:bCs/>
                      <w:color w:val="auto"/>
                      <w:sz w:val="22"/>
                      <w:szCs w:val="22"/>
                      <w:u w:val="none" w:color="auto"/>
                      <w:lang w:val="en-US" w:eastAsia="zh-CN"/>
                    </w:rPr>
                    <w:t>0</w:t>
                  </w:r>
                </w:p>
              </w:tc>
              <w:tc>
                <w:tcPr>
                  <w:tcW w:w="769" w:type="pct"/>
                  <w:tcBorders>
                    <w:tl2br w:val="nil"/>
                    <w:tr2bl w:val="nil"/>
                  </w:tcBorders>
                  <w:noWrap w:val="0"/>
                  <w:vAlign w:val="center"/>
                </w:tcPr>
                <w:p>
                  <w:pPr>
                    <w:jc w:val="center"/>
                    <w:rPr>
                      <w:rFonts w:hint="eastAsia" w:ascii="Times New Roman" w:hAnsi="Times New Roman" w:cs="Times New Roman"/>
                      <w:bCs/>
                      <w:color w:val="auto"/>
                      <w:sz w:val="22"/>
                      <w:szCs w:val="22"/>
                      <w:u w:val="none" w:color="auto"/>
                      <w:lang w:eastAsia="zh-CN"/>
                    </w:rPr>
                  </w:pPr>
                  <w:r>
                    <w:rPr>
                      <w:rFonts w:hint="eastAsia" w:ascii="Times New Roman" w:hAnsi="Times New Roman" w:cs="Times New Roman"/>
                      <w:bCs/>
                      <w:color w:val="auto"/>
                      <w:sz w:val="22"/>
                      <w:szCs w:val="22"/>
                      <w:u w:val="none" w:color="auto"/>
                      <w:lang w:eastAsia="zh-CN"/>
                    </w:rPr>
                    <w:t>园区委员会</w:t>
                  </w:r>
                </w:p>
              </w:tc>
              <w:tc>
                <w:tcPr>
                  <w:tcW w:w="1250" w:type="pct"/>
                  <w:tcBorders>
                    <w:tl2br w:val="nil"/>
                    <w:tr2bl w:val="nil"/>
                  </w:tcBorders>
                  <w:noWrap w:val="0"/>
                  <w:vAlign w:val="center"/>
                </w:tcPr>
                <w:p>
                  <w:pPr>
                    <w:spacing w:line="360" w:lineRule="exact"/>
                    <w:jc w:val="center"/>
                    <w:rPr>
                      <w:rFonts w:hint="eastAsia" w:ascii="Times New Roman" w:hAnsi="Times New Roman" w:eastAsia="宋体"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eastAsia="zh-CN"/>
                    </w:rPr>
                    <w:t>办公</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eastAsia="zh-CN"/>
                    </w:rPr>
                  </w:pPr>
                  <w:r>
                    <w:rPr>
                      <w:rFonts w:hint="default" w:ascii="Times New Roman" w:hAnsi="Times New Roman" w:eastAsia="宋体" w:cs="Times New Roman"/>
                      <w:b w:val="0"/>
                      <w:bCs/>
                      <w:color w:val="auto"/>
                      <w:sz w:val="22"/>
                      <w:szCs w:val="22"/>
                      <w:u w:val="none" w:color="auto"/>
                      <w:lang w:eastAsia="zh-CN"/>
                    </w:rPr>
                    <w:t>自来水</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rPr>
                    <w:t>二类区</w:t>
                  </w:r>
                </w:p>
              </w:tc>
              <w:tc>
                <w:tcPr>
                  <w:tcW w:w="590"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eastAsia="zh-CN"/>
                    </w:rPr>
                    <w:t>东南</w:t>
                  </w:r>
                  <w:r>
                    <w:rPr>
                      <w:rFonts w:hint="eastAsia" w:cs="Times New Roman"/>
                      <w:b w:val="0"/>
                      <w:bCs/>
                      <w:color w:val="auto"/>
                      <w:sz w:val="22"/>
                      <w:szCs w:val="22"/>
                      <w:u w:val="none" w:color="auto"/>
                      <w:lang w:val="en-US" w:eastAsia="zh-CN"/>
                    </w:rPr>
                    <w:t>45</w:t>
                  </w:r>
                  <w:r>
                    <w:rPr>
                      <w:rFonts w:hint="eastAsia" w:ascii="Times New Roman" w:hAnsi="Times New Roman" w:cs="Times New Roman"/>
                      <w:b w:val="0"/>
                      <w:bCs/>
                      <w:color w:val="auto"/>
                      <w:sz w:val="22"/>
                      <w:szCs w:val="22"/>
                      <w:u w:val="none" w:color="auto"/>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256"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p>
              </w:tc>
              <w:tc>
                <w:tcPr>
                  <w:tcW w:w="577"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val="en-US" w:eastAsia="zh-CN"/>
                    </w:rPr>
                    <w:t>9</w:t>
                  </w:r>
                  <w:r>
                    <w:rPr>
                      <w:rFonts w:hint="eastAsia" w:cs="Times New Roman"/>
                      <w:b w:val="0"/>
                      <w:bCs/>
                      <w:color w:val="auto"/>
                      <w:sz w:val="22"/>
                      <w:szCs w:val="22"/>
                      <w:u w:val="none" w:color="auto"/>
                      <w:lang w:val="en-US" w:eastAsia="zh-CN"/>
                    </w:rPr>
                    <w:t>2</w:t>
                  </w:r>
                  <w:r>
                    <w:rPr>
                      <w:rFonts w:hint="eastAsia" w:ascii="Times New Roman" w:hAnsi="Times New Roman" w:cs="Times New Roman"/>
                      <w:b w:val="0"/>
                      <w:bCs/>
                      <w:color w:val="auto"/>
                      <w:sz w:val="22"/>
                      <w:szCs w:val="22"/>
                      <w:u w:val="none" w:color="auto"/>
                      <w:lang w:val="en-US" w:eastAsia="zh-CN"/>
                    </w:rPr>
                    <w:t>0</w:t>
                  </w:r>
                </w:p>
              </w:tc>
              <w:tc>
                <w:tcPr>
                  <w:tcW w:w="601"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val="en-US" w:eastAsia="zh-CN"/>
                    </w:rPr>
                    <w:t>-</w:t>
                  </w:r>
                  <w:r>
                    <w:rPr>
                      <w:rFonts w:hint="eastAsia" w:cs="Times New Roman"/>
                      <w:b w:val="0"/>
                      <w:bCs/>
                      <w:color w:val="auto"/>
                      <w:sz w:val="22"/>
                      <w:szCs w:val="22"/>
                      <w:u w:val="none" w:color="auto"/>
                      <w:lang w:val="en-US" w:eastAsia="zh-CN"/>
                    </w:rPr>
                    <w:t>37</w:t>
                  </w:r>
                  <w:r>
                    <w:rPr>
                      <w:rFonts w:hint="eastAsia" w:ascii="Times New Roman" w:hAnsi="Times New Roman" w:cs="Times New Roman"/>
                      <w:b w:val="0"/>
                      <w:bCs/>
                      <w:color w:val="auto"/>
                      <w:sz w:val="22"/>
                      <w:szCs w:val="22"/>
                      <w:u w:val="none" w:color="auto"/>
                      <w:lang w:val="en-US" w:eastAsia="zh-CN"/>
                    </w:rPr>
                    <w:t>0</w:t>
                  </w:r>
                </w:p>
              </w:tc>
              <w:tc>
                <w:tcPr>
                  <w:tcW w:w="769" w:type="pct"/>
                  <w:tcBorders>
                    <w:tl2br w:val="nil"/>
                    <w:tr2bl w:val="nil"/>
                  </w:tcBorders>
                  <w:noWrap w:val="0"/>
                  <w:vAlign w:val="center"/>
                </w:tcPr>
                <w:p>
                  <w:pPr>
                    <w:jc w:val="center"/>
                    <w:rPr>
                      <w:rFonts w:hint="eastAsia" w:ascii="Times New Roman" w:hAnsi="Times New Roman" w:cs="Times New Roman"/>
                      <w:bCs/>
                      <w:color w:val="auto"/>
                      <w:sz w:val="22"/>
                      <w:szCs w:val="22"/>
                      <w:u w:val="none" w:color="auto"/>
                      <w:lang w:eastAsia="zh-CN"/>
                    </w:rPr>
                  </w:pPr>
                  <w:r>
                    <w:rPr>
                      <w:rFonts w:hint="eastAsia" w:ascii="Times New Roman" w:hAnsi="Times New Roman" w:cs="Times New Roman"/>
                      <w:bCs/>
                      <w:color w:val="auto"/>
                      <w:sz w:val="22"/>
                      <w:szCs w:val="22"/>
                      <w:u w:val="none" w:color="auto"/>
                      <w:lang w:eastAsia="zh-CN"/>
                    </w:rPr>
                    <w:t>庙塘垅</w:t>
                  </w:r>
                </w:p>
              </w:tc>
              <w:tc>
                <w:tcPr>
                  <w:tcW w:w="1250" w:type="pct"/>
                  <w:tcBorders>
                    <w:tl2br w:val="nil"/>
                    <w:tr2bl w:val="nil"/>
                  </w:tcBorders>
                  <w:noWrap w:val="0"/>
                  <w:vAlign w:val="center"/>
                </w:tcPr>
                <w:p>
                  <w:pPr>
                    <w:spacing w:line="360" w:lineRule="exact"/>
                    <w:jc w:val="center"/>
                    <w:rPr>
                      <w:rFonts w:hint="eastAsia" w:ascii="Times New Roman" w:hAnsi="Times New Roman" w:cs="Times New Roman"/>
                      <w:b w:val="0"/>
                      <w:bCs/>
                      <w:color w:val="auto"/>
                      <w:sz w:val="22"/>
                      <w:szCs w:val="22"/>
                      <w:u w:val="none" w:color="auto"/>
                      <w:lang w:val="en-US" w:eastAsia="zh-CN"/>
                    </w:rPr>
                  </w:pPr>
                  <w:r>
                    <w:rPr>
                      <w:rFonts w:hint="default" w:ascii="Times New Roman" w:hAnsi="Times New Roman" w:eastAsia="宋体" w:cs="Times New Roman"/>
                      <w:b w:val="0"/>
                      <w:bCs/>
                      <w:color w:val="auto"/>
                      <w:sz w:val="22"/>
                      <w:szCs w:val="22"/>
                      <w:u w:val="none" w:color="auto"/>
                    </w:rPr>
                    <w:t>约</w:t>
                  </w:r>
                  <w:r>
                    <w:rPr>
                      <w:rFonts w:hint="eastAsia" w:ascii="Times New Roman" w:hAnsi="Times New Roman" w:cs="Times New Roman"/>
                      <w:b w:val="0"/>
                      <w:bCs/>
                      <w:color w:val="auto"/>
                      <w:sz w:val="22"/>
                      <w:szCs w:val="22"/>
                      <w:u w:val="none" w:color="auto"/>
                      <w:lang w:val="en-US" w:eastAsia="zh-CN"/>
                    </w:rPr>
                    <w:t>55</w:t>
                  </w:r>
                  <w:r>
                    <w:rPr>
                      <w:rFonts w:hint="default" w:ascii="Times New Roman" w:hAnsi="Times New Roman" w:eastAsia="宋体" w:cs="Times New Roman"/>
                      <w:b w:val="0"/>
                      <w:bCs/>
                      <w:color w:val="auto"/>
                      <w:sz w:val="22"/>
                      <w:szCs w:val="22"/>
                      <w:u w:val="none" w:color="auto"/>
                      <w:lang w:val="en-US" w:eastAsia="zh-CN"/>
                    </w:rPr>
                    <w:t>人</w:t>
                  </w:r>
                  <w:r>
                    <w:rPr>
                      <w:rFonts w:hint="default" w:ascii="Times New Roman" w:hAnsi="Times New Roman" w:eastAsia="宋体" w:cs="Times New Roman"/>
                      <w:b w:val="0"/>
                      <w:bCs/>
                      <w:color w:val="auto"/>
                      <w:sz w:val="22"/>
                      <w:szCs w:val="22"/>
                      <w:u w:val="none" w:color="auto"/>
                    </w:rPr>
                    <w:t>，居民点</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eastAsia="zh-CN"/>
                    </w:rPr>
                  </w:pPr>
                  <w:r>
                    <w:rPr>
                      <w:rFonts w:hint="default" w:ascii="Times New Roman" w:hAnsi="Times New Roman" w:eastAsia="宋体" w:cs="Times New Roman"/>
                      <w:b w:val="0"/>
                      <w:bCs/>
                      <w:color w:val="auto"/>
                      <w:sz w:val="22"/>
                      <w:szCs w:val="22"/>
                      <w:u w:val="none" w:color="auto"/>
                      <w:lang w:eastAsia="zh-CN"/>
                    </w:rPr>
                    <w:t>自来水</w:t>
                  </w:r>
                </w:p>
              </w:tc>
              <w:tc>
                <w:tcPr>
                  <w:tcW w:w="477"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rPr>
                    <w:t>二类区</w:t>
                  </w:r>
                </w:p>
              </w:tc>
              <w:tc>
                <w:tcPr>
                  <w:tcW w:w="590" w:type="pct"/>
                  <w:tcBorders>
                    <w:tl2br w:val="nil"/>
                    <w:tr2bl w:val="nil"/>
                  </w:tcBorders>
                  <w:noWrap w:val="0"/>
                  <w:vAlign w:val="center"/>
                </w:tcPr>
                <w:p>
                  <w:pPr>
                    <w:spacing w:line="360" w:lineRule="exact"/>
                    <w:jc w:val="center"/>
                    <w:rPr>
                      <w:rFonts w:hint="default" w:ascii="Times New Roman" w:hAnsi="Times New Roman" w:cs="Times New Roman"/>
                      <w:b w:val="0"/>
                      <w:bCs/>
                      <w:color w:val="auto"/>
                      <w:sz w:val="22"/>
                      <w:szCs w:val="22"/>
                      <w:u w:val="none" w:color="auto"/>
                      <w:lang w:val="en-US" w:eastAsia="zh-CN"/>
                    </w:rPr>
                  </w:pPr>
                  <w:r>
                    <w:rPr>
                      <w:rFonts w:hint="eastAsia" w:ascii="Times New Roman" w:hAnsi="Times New Roman" w:cs="Times New Roman"/>
                      <w:b w:val="0"/>
                      <w:bCs/>
                      <w:color w:val="auto"/>
                      <w:sz w:val="22"/>
                      <w:szCs w:val="22"/>
                      <w:u w:val="none" w:color="auto"/>
                      <w:lang w:eastAsia="zh-CN"/>
                    </w:rPr>
                    <w:t>东南</w:t>
                  </w:r>
                  <w:r>
                    <w:rPr>
                      <w:rFonts w:hint="eastAsia" w:ascii="Times New Roman" w:hAnsi="Times New Roman" w:cs="Times New Roman"/>
                      <w:b w:val="0"/>
                      <w:bCs/>
                      <w:color w:val="auto"/>
                      <w:sz w:val="22"/>
                      <w:szCs w:val="22"/>
                      <w:u w:val="none" w:color="auto"/>
                      <w:lang w:val="en-US" w:eastAsia="zh-CN"/>
                    </w:rPr>
                    <w:t>7</w:t>
                  </w:r>
                  <w:r>
                    <w:rPr>
                      <w:rFonts w:hint="eastAsia" w:cs="Times New Roman"/>
                      <w:b w:val="0"/>
                      <w:bCs/>
                      <w:color w:val="auto"/>
                      <w:sz w:val="22"/>
                      <w:szCs w:val="22"/>
                      <w:u w:val="none" w:color="auto"/>
                      <w:lang w:val="en-US" w:eastAsia="zh-CN"/>
                    </w:rPr>
                    <w:t>2</w:t>
                  </w:r>
                  <w:r>
                    <w:rPr>
                      <w:rFonts w:hint="eastAsia" w:ascii="Times New Roman" w:hAnsi="Times New Roman" w:cs="Times New Roman"/>
                      <w:b w:val="0"/>
                      <w:bCs/>
                      <w:color w:val="auto"/>
                      <w:sz w:val="22"/>
                      <w:szCs w:val="22"/>
                      <w:u w:val="none" w:color="auto"/>
                      <w:lang w:val="en-US" w:eastAsia="zh-CN"/>
                    </w:rPr>
                    <w:t>0</w:t>
                  </w:r>
                </w:p>
              </w:tc>
            </w:tr>
          </w:tbl>
          <w:p>
            <w:pPr>
              <w:adjustRightInd w:val="0"/>
              <w:snapToGrid w:val="0"/>
              <w:rPr>
                <w:rFonts w:hint="default" w:ascii="Times New Roman" w:hAnsi="Times New Roman" w:eastAsia="宋体" w:cs="Times New Roman"/>
                <w:b/>
                <w:snapToGrid w:val="0"/>
                <w:color w:val="auto"/>
                <w:spacing w:val="0"/>
                <w:sz w:val="21"/>
                <w:szCs w:val="21"/>
                <w:u w:val="none" w:color="auto"/>
                <w:lang w:val="en-US" w:eastAsia="zh-CN"/>
              </w:rPr>
            </w:pPr>
            <w:r>
              <w:rPr>
                <w:rFonts w:hint="default" w:ascii="Times New Roman" w:hAnsi="Times New Roman" w:eastAsia="仿宋" w:cs="Times New Roman"/>
                <w:color w:val="auto"/>
                <w:szCs w:val="21"/>
                <w:u w:val="none" w:color="auto"/>
              </w:rPr>
              <w:t xml:space="preserve">注 ：① 本 次 评 价 以 </w:t>
            </w:r>
            <w:r>
              <w:rPr>
                <w:rFonts w:hint="default" w:ascii="Times New Roman" w:hAnsi="Times New Roman" w:eastAsia="仿宋" w:cs="Times New Roman"/>
                <w:color w:val="auto"/>
                <w:szCs w:val="21"/>
                <w:u w:val="none" w:color="auto"/>
                <w:lang w:eastAsia="zh-CN"/>
              </w:rPr>
              <w:t>厂</w:t>
            </w:r>
            <w:r>
              <w:rPr>
                <w:rFonts w:hint="default" w:ascii="Times New Roman" w:hAnsi="Times New Roman" w:eastAsia="仿宋" w:cs="Times New Roman"/>
                <w:color w:val="auto"/>
                <w:szCs w:val="21"/>
                <w:u w:val="none" w:color="auto"/>
              </w:rPr>
              <w:t xml:space="preserve"> 区 </w:t>
            </w:r>
            <w:r>
              <w:rPr>
                <w:rFonts w:hint="default" w:ascii="Times New Roman" w:hAnsi="Times New Roman" w:eastAsia="仿宋" w:cs="Times New Roman"/>
                <w:color w:val="auto"/>
                <w:szCs w:val="21"/>
                <w:u w:val="none" w:color="auto"/>
                <w:lang w:eastAsia="zh-CN"/>
              </w:rPr>
              <w:t>西</w:t>
            </w:r>
            <w:r>
              <w:rPr>
                <w:rFonts w:hint="default" w:ascii="Times New Roman" w:hAnsi="Times New Roman" w:eastAsia="仿宋" w:cs="Times New Roman"/>
                <w:color w:val="auto"/>
                <w:szCs w:val="21"/>
                <w:u w:val="none" w:color="auto"/>
              </w:rPr>
              <w:t xml:space="preserve"> 南 角 拐 点 坐 标 为 原 点 坐 标（ 0，0），正 东 X 轴 为 正 方 向 ， 正 北 Y 轴 为 正 方 向 建 立 直 角 坐 标 系 给 出 大 气 环 境 保 护 目 标 对 应 坐 标 。</w:t>
            </w:r>
          </w:p>
          <w:p>
            <w:pPr>
              <w:pStyle w:val="151"/>
              <w:keepNext w:val="0"/>
              <w:keepLines w:val="0"/>
              <w:pageBreakBefore w:val="0"/>
              <w:widowControl w:val="0"/>
              <w:kinsoku/>
              <w:wordWrap/>
              <w:overflowPunct/>
              <w:topLinePunct w:val="0"/>
              <w:autoSpaceDE/>
              <w:autoSpaceDN/>
              <w:bidi w:val="0"/>
              <w:adjustRightInd w:val="0"/>
              <w:snapToGrid w:val="0"/>
              <w:spacing w:line="480" w:lineRule="exact"/>
              <w:ind w:firstLine="482"/>
              <w:textAlignment w:val="auto"/>
              <w:rPr>
                <w:rFonts w:hint="default" w:ascii="Times New Roman" w:hAnsi="Times New Roman" w:eastAsia="宋体" w:cs="Times New Roman"/>
                <w:b/>
                <w:snapToGrid w:val="0"/>
                <w:color w:val="auto"/>
                <w:spacing w:val="0"/>
                <w:sz w:val="21"/>
                <w:szCs w:val="21"/>
                <w:u w:val="none" w:color="auto"/>
              </w:rPr>
            </w:pPr>
            <w:r>
              <w:rPr>
                <w:rFonts w:hint="default" w:ascii="Times New Roman" w:hAnsi="Times New Roman" w:eastAsia="宋体" w:cs="Times New Roman"/>
                <w:b/>
                <w:snapToGrid w:val="0"/>
                <w:color w:val="auto"/>
                <w:spacing w:val="0"/>
                <w:sz w:val="21"/>
                <w:szCs w:val="21"/>
                <w:u w:val="none" w:color="auto"/>
                <w:lang w:val="en-US" w:eastAsia="zh-CN"/>
              </w:rPr>
              <w:t>3-</w:t>
            </w:r>
            <w:r>
              <w:rPr>
                <w:rFonts w:hint="eastAsia" w:cs="Times New Roman"/>
                <w:b/>
                <w:snapToGrid w:val="0"/>
                <w:color w:val="auto"/>
                <w:spacing w:val="0"/>
                <w:sz w:val="21"/>
                <w:szCs w:val="21"/>
                <w:u w:val="none" w:color="auto"/>
                <w:lang w:val="en-US" w:eastAsia="zh-CN"/>
              </w:rPr>
              <w:t>8</w:t>
            </w:r>
            <w:r>
              <w:rPr>
                <w:rFonts w:hint="default" w:ascii="Times New Roman" w:hAnsi="Times New Roman" w:eastAsia="宋体" w:cs="Times New Roman"/>
                <w:b/>
                <w:snapToGrid w:val="0"/>
                <w:color w:val="auto"/>
                <w:spacing w:val="0"/>
                <w:sz w:val="21"/>
                <w:szCs w:val="21"/>
                <w:u w:val="none" w:color="auto"/>
              </w:rPr>
              <w:t xml:space="preserve">  本项目</w:t>
            </w:r>
            <w:r>
              <w:rPr>
                <w:rFonts w:hint="default" w:ascii="Times New Roman" w:hAnsi="Times New Roman" w:eastAsia="宋体" w:cs="Times New Roman"/>
                <w:b/>
                <w:snapToGrid w:val="0"/>
                <w:color w:val="auto"/>
                <w:spacing w:val="0"/>
                <w:sz w:val="21"/>
                <w:szCs w:val="21"/>
                <w:u w:val="none" w:color="auto"/>
                <w:lang w:eastAsia="zh-CN"/>
              </w:rPr>
              <w:t>声</w:t>
            </w:r>
            <w:r>
              <w:rPr>
                <w:rFonts w:hint="default" w:ascii="Times New Roman" w:hAnsi="Times New Roman" w:eastAsia="宋体" w:cs="Times New Roman"/>
                <w:b/>
                <w:snapToGrid w:val="0"/>
                <w:color w:val="auto"/>
                <w:spacing w:val="0"/>
                <w:sz w:val="21"/>
                <w:szCs w:val="21"/>
                <w:u w:val="none" w:color="auto"/>
              </w:rPr>
              <w:t>环境保护目标一览表</w:t>
            </w:r>
          </w:p>
          <w:tbl>
            <w:tblPr>
              <w:tblStyle w:val="4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3"/>
              <w:gridCol w:w="1243"/>
              <w:gridCol w:w="1203"/>
              <w:gridCol w:w="1539"/>
              <w:gridCol w:w="2499"/>
              <w:gridCol w:w="955"/>
              <w:gridCol w:w="1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234"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类 别</w:t>
                  </w:r>
                </w:p>
              </w:tc>
              <w:tc>
                <w:tcPr>
                  <w:tcW w:w="1352" w:type="pct"/>
                  <w:gridSpan w:val="2"/>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坐标/m</w:t>
                  </w:r>
                </w:p>
              </w:tc>
              <w:tc>
                <w:tcPr>
                  <w:tcW w:w="851"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保护对象</w:t>
                  </w:r>
                </w:p>
              </w:tc>
              <w:tc>
                <w:tcPr>
                  <w:tcW w:w="1382"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保护内容</w:t>
                  </w:r>
                </w:p>
              </w:tc>
              <w:tc>
                <w:tcPr>
                  <w:tcW w:w="528"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环境功能区</w:t>
                  </w:r>
                </w:p>
              </w:tc>
              <w:tc>
                <w:tcPr>
                  <w:tcW w:w="651" w:type="pct"/>
                  <w:vMerge w:val="restar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lang w:val="en-US"/>
                    </w:rPr>
                  </w:pPr>
                  <w:r>
                    <w:rPr>
                      <w:rFonts w:hint="default" w:ascii="Times New Roman" w:hAnsi="Times New Roman" w:eastAsia="宋体" w:cs="Times New Roman"/>
                      <w:b/>
                      <w:color w:val="auto"/>
                      <w:sz w:val="22"/>
                      <w:szCs w:val="22"/>
                      <w:u w:val="none" w:color="auto"/>
                      <w:lang w:val="en-US" w:eastAsia="zh-CN"/>
                    </w:rPr>
                    <w:t>相对厂址</w:t>
                  </w:r>
                  <w:r>
                    <w:rPr>
                      <w:rFonts w:hint="default" w:ascii="Times New Roman" w:hAnsi="Times New Roman" w:eastAsia="宋体" w:cs="Times New Roman"/>
                      <w:b/>
                      <w:color w:val="auto"/>
                      <w:sz w:val="22"/>
                      <w:szCs w:val="22"/>
                      <w:u w:val="none" w:color="auto"/>
                      <w:lang w:val="en-US"/>
                    </w:rPr>
                    <w:t>的方位/距离m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34"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687" w:type="pc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X</w:t>
                  </w:r>
                </w:p>
              </w:tc>
              <w:tc>
                <w:tcPr>
                  <w:tcW w:w="664" w:type="pct"/>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r>
                    <w:rPr>
                      <w:rFonts w:hint="default" w:ascii="Times New Roman" w:hAnsi="Times New Roman" w:eastAsia="宋体" w:cs="Times New Roman"/>
                      <w:b/>
                      <w:color w:val="auto"/>
                      <w:sz w:val="22"/>
                      <w:szCs w:val="22"/>
                      <w:u w:val="none" w:color="auto"/>
                    </w:rPr>
                    <w:t>Y</w:t>
                  </w:r>
                </w:p>
              </w:tc>
              <w:tc>
                <w:tcPr>
                  <w:tcW w:w="851"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1382"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528"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c>
                <w:tcPr>
                  <w:tcW w:w="651" w:type="pct"/>
                  <w:vMerge w:val="continue"/>
                  <w:tcBorders>
                    <w:tl2br w:val="nil"/>
                    <w:tr2bl w:val="nil"/>
                  </w:tcBorders>
                  <w:noWrap w:val="0"/>
                  <w:vAlign w:val="center"/>
                </w:tcPr>
                <w:p>
                  <w:pPr>
                    <w:spacing w:line="360" w:lineRule="exact"/>
                    <w:jc w:val="center"/>
                    <w:rPr>
                      <w:rFonts w:hint="default" w:ascii="Times New Roman" w:hAnsi="Times New Roman" w:eastAsia="宋体" w:cs="Times New Roman"/>
                      <w:b/>
                      <w:color w:val="auto"/>
                      <w:sz w:val="22"/>
                      <w:szCs w:val="2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234" w:type="pct"/>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rPr>
                  </w:pPr>
                  <w:r>
                    <w:rPr>
                      <w:rFonts w:hint="default" w:ascii="Times New Roman" w:hAnsi="Times New Roman" w:eastAsia="宋体" w:cs="Times New Roman"/>
                      <w:b w:val="0"/>
                      <w:bCs/>
                      <w:color w:val="auto"/>
                      <w:sz w:val="22"/>
                      <w:szCs w:val="22"/>
                      <w:u w:val="none" w:color="auto"/>
                      <w:lang w:eastAsia="zh-CN"/>
                    </w:rPr>
                    <w:t>声</w:t>
                  </w:r>
                  <w:r>
                    <w:rPr>
                      <w:rFonts w:hint="default" w:ascii="Times New Roman" w:hAnsi="Times New Roman" w:eastAsia="宋体" w:cs="Times New Roman"/>
                      <w:b w:val="0"/>
                      <w:bCs/>
                      <w:color w:val="auto"/>
                      <w:sz w:val="22"/>
                      <w:szCs w:val="22"/>
                      <w:u w:val="none" w:color="auto"/>
                    </w:rPr>
                    <w:t>环境</w:t>
                  </w:r>
                </w:p>
              </w:tc>
              <w:tc>
                <w:tcPr>
                  <w:tcW w:w="4765" w:type="pct"/>
                  <w:gridSpan w:val="6"/>
                  <w:tcBorders>
                    <w:tl2br w:val="nil"/>
                    <w:tr2bl w:val="nil"/>
                  </w:tcBorders>
                  <w:noWrap w:val="0"/>
                  <w:vAlign w:val="center"/>
                </w:tcPr>
                <w:p>
                  <w:pPr>
                    <w:spacing w:line="360" w:lineRule="exact"/>
                    <w:jc w:val="center"/>
                    <w:rPr>
                      <w:rFonts w:hint="default" w:ascii="Times New Roman" w:hAnsi="Times New Roman" w:eastAsia="宋体" w:cs="Times New Roman"/>
                      <w:b w:val="0"/>
                      <w:bCs/>
                      <w:color w:val="auto"/>
                      <w:sz w:val="22"/>
                      <w:szCs w:val="22"/>
                      <w:u w:val="none" w:color="auto"/>
                      <w:lang w:val="en-US" w:eastAsia="zh-CN"/>
                    </w:rPr>
                  </w:pPr>
                  <w:r>
                    <w:rPr>
                      <w:rFonts w:hint="eastAsia" w:cs="Times New Roman"/>
                      <w:b w:val="0"/>
                      <w:bCs/>
                      <w:color w:val="auto"/>
                      <w:sz w:val="22"/>
                      <w:szCs w:val="22"/>
                      <w:u w:val="none" w:color="auto"/>
                      <w:lang w:val="en-US" w:eastAsia="zh-CN"/>
                    </w:rPr>
                    <w:t>项目200m范围内无噪声敏感目标</w:t>
                  </w:r>
                </w:p>
              </w:tc>
            </w:tr>
          </w:tbl>
          <w:p>
            <w:pPr>
              <w:adjustRightInd w:val="0"/>
              <w:snapToGrid w:val="0"/>
              <w:rPr>
                <w:rFonts w:hint="default" w:ascii="Times New Roman" w:hAnsi="Times New Roman" w:eastAsia="仿宋" w:cs="Times New Roman"/>
                <w:color w:val="auto"/>
                <w:szCs w:val="21"/>
                <w:u w:val="none" w:color="auto"/>
              </w:rPr>
            </w:pPr>
            <w:r>
              <w:rPr>
                <w:rFonts w:hint="default" w:ascii="Times New Roman" w:hAnsi="Times New Roman" w:eastAsia="仿宋" w:cs="Times New Roman"/>
                <w:color w:val="auto"/>
                <w:szCs w:val="21"/>
                <w:u w:val="none" w:color="auto"/>
              </w:rPr>
              <w:t xml:space="preserve">注 ：① 本 次 评 价 以 </w:t>
            </w:r>
            <w:r>
              <w:rPr>
                <w:rFonts w:hint="default" w:ascii="Times New Roman" w:hAnsi="Times New Roman" w:eastAsia="仿宋" w:cs="Times New Roman"/>
                <w:color w:val="auto"/>
                <w:szCs w:val="21"/>
                <w:u w:val="none" w:color="auto"/>
                <w:lang w:eastAsia="zh-CN"/>
              </w:rPr>
              <w:t>厂</w:t>
            </w:r>
            <w:r>
              <w:rPr>
                <w:rFonts w:hint="default" w:ascii="Times New Roman" w:hAnsi="Times New Roman" w:eastAsia="仿宋" w:cs="Times New Roman"/>
                <w:color w:val="auto"/>
                <w:szCs w:val="21"/>
                <w:u w:val="none" w:color="auto"/>
              </w:rPr>
              <w:t xml:space="preserve"> 区 </w:t>
            </w:r>
            <w:r>
              <w:rPr>
                <w:rFonts w:hint="default" w:ascii="Times New Roman" w:hAnsi="Times New Roman" w:eastAsia="仿宋" w:cs="Times New Roman"/>
                <w:color w:val="auto"/>
                <w:szCs w:val="21"/>
                <w:u w:val="none" w:color="auto"/>
                <w:lang w:eastAsia="zh-CN"/>
              </w:rPr>
              <w:t>西</w:t>
            </w:r>
            <w:r>
              <w:rPr>
                <w:rFonts w:hint="default" w:ascii="Times New Roman" w:hAnsi="Times New Roman" w:eastAsia="仿宋" w:cs="Times New Roman"/>
                <w:color w:val="auto"/>
                <w:szCs w:val="21"/>
                <w:u w:val="none" w:color="auto"/>
              </w:rPr>
              <w:t xml:space="preserve"> 南 角 拐 点 坐 标 为 原 点 坐 标（ 0，0），正 东 X 轴 为 正 方 向 ， 正 北 Y 轴 为 正 方 向 建 立 直 角 坐 标 系 给 出 大 气 环 境 保 护 目 标 对 应 坐 标 。</w:t>
            </w:r>
          </w:p>
          <w:p>
            <w:pPr>
              <w:pStyle w:val="151"/>
              <w:keepNext w:val="0"/>
              <w:keepLines w:val="0"/>
              <w:pageBreakBefore w:val="0"/>
              <w:widowControl w:val="0"/>
              <w:kinsoku/>
              <w:wordWrap/>
              <w:overflowPunct/>
              <w:topLinePunct w:val="0"/>
              <w:autoSpaceDE/>
              <w:autoSpaceDN/>
              <w:bidi w:val="0"/>
              <w:adjustRightInd w:val="0"/>
              <w:snapToGrid w:val="0"/>
              <w:spacing w:line="480" w:lineRule="exact"/>
              <w:ind w:firstLine="482"/>
              <w:textAlignment w:val="auto"/>
              <w:rPr>
                <w:rFonts w:hint="default" w:ascii="Times New Roman" w:hAnsi="Times New Roman" w:eastAsia="宋体" w:cs="Times New Roman"/>
                <w:b/>
                <w:snapToGrid w:val="0"/>
                <w:color w:val="auto"/>
                <w:spacing w:val="0"/>
                <w:sz w:val="21"/>
                <w:szCs w:val="21"/>
                <w:u w:val="none" w:color="auto"/>
                <w:lang w:val="en-US" w:eastAsia="zh-CN"/>
              </w:rPr>
            </w:pPr>
            <w:r>
              <w:rPr>
                <w:rFonts w:hint="default" w:ascii="Times New Roman" w:hAnsi="Times New Roman" w:eastAsia="宋体" w:cs="Times New Roman"/>
                <w:b/>
                <w:snapToGrid w:val="0"/>
                <w:color w:val="auto"/>
                <w:spacing w:val="0"/>
                <w:sz w:val="21"/>
                <w:szCs w:val="21"/>
                <w:u w:val="none" w:color="auto"/>
                <w:lang w:val="en-US" w:eastAsia="zh-CN"/>
              </w:rPr>
              <w:t>3-</w:t>
            </w:r>
            <w:r>
              <w:rPr>
                <w:rFonts w:hint="eastAsia" w:cs="Times New Roman"/>
                <w:b/>
                <w:snapToGrid w:val="0"/>
                <w:color w:val="auto"/>
                <w:spacing w:val="0"/>
                <w:sz w:val="21"/>
                <w:szCs w:val="21"/>
                <w:u w:val="none" w:color="auto"/>
                <w:lang w:val="en-US" w:eastAsia="zh-CN"/>
              </w:rPr>
              <w:t>9</w:t>
            </w:r>
            <w:r>
              <w:rPr>
                <w:rFonts w:hint="default" w:ascii="Times New Roman" w:hAnsi="Times New Roman" w:eastAsia="宋体" w:cs="Times New Roman"/>
                <w:b/>
                <w:snapToGrid w:val="0"/>
                <w:color w:val="auto"/>
                <w:spacing w:val="0"/>
                <w:sz w:val="21"/>
                <w:szCs w:val="21"/>
                <w:u w:val="none" w:color="auto"/>
                <w:lang w:val="en-US" w:eastAsia="zh-CN"/>
              </w:rPr>
              <w:t xml:space="preserve"> 本项目地表水环境、地下水环境及生态环境保护目标一览表</w:t>
            </w:r>
          </w:p>
          <w:tbl>
            <w:tblPr>
              <w:tblStyle w:val="40"/>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32"/>
              <w:gridCol w:w="1327"/>
              <w:gridCol w:w="3767"/>
              <w:gridCol w:w="1034"/>
              <w:gridCol w:w="843"/>
              <w:gridCol w:w="13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406"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auto"/>
                      <w:sz w:val="22"/>
                      <w:szCs w:val="22"/>
                      <w:u w:val="none" w:color="auto"/>
                    </w:rPr>
                  </w:pPr>
                  <w:r>
                    <w:rPr>
                      <w:rFonts w:hint="default" w:ascii="Times New Roman" w:hAnsi="Times New Roman" w:eastAsia="宋体" w:cs="Times New Roman"/>
                      <w:b/>
                      <w:bCs/>
                      <w:color w:val="auto"/>
                      <w:sz w:val="22"/>
                      <w:szCs w:val="22"/>
                      <w:u w:val="none" w:color="auto"/>
                    </w:rPr>
                    <w:t>类别</w:t>
                  </w:r>
                </w:p>
              </w:tc>
              <w:tc>
                <w:tcPr>
                  <w:tcW w:w="735"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auto"/>
                      <w:sz w:val="22"/>
                      <w:szCs w:val="22"/>
                      <w:u w:val="none" w:color="auto"/>
                    </w:rPr>
                  </w:pPr>
                  <w:r>
                    <w:rPr>
                      <w:rFonts w:hint="default" w:ascii="Times New Roman" w:hAnsi="Times New Roman" w:eastAsia="宋体" w:cs="Times New Roman"/>
                      <w:b/>
                      <w:bCs/>
                      <w:color w:val="auto"/>
                      <w:sz w:val="22"/>
                      <w:szCs w:val="22"/>
                      <w:u w:val="none" w:color="auto"/>
                    </w:rPr>
                    <w:t>名称</w:t>
                  </w:r>
                </w:p>
              </w:tc>
              <w:tc>
                <w:tcPr>
                  <w:tcW w:w="2087"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auto"/>
                      <w:sz w:val="22"/>
                      <w:szCs w:val="22"/>
                      <w:u w:val="none" w:color="auto"/>
                    </w:rPr>
                  </w:pPr>
                  <w:r>
                    <w:rPr>
                      <w:rFonts w:hint="default" w:ascii="Times New Roman" w:hAnsi="Times New Roman" w:eastAsia="宋体" w:cs="Times New Roman"/>
                      <w:b/>
                      <w:bCs/>
                      <w:color w:val="auto"/>
                      <w:sz w:val="22"/>
                      <w:szCs w:val="22"/>
                      <w:u w:val="none" w:color="auto"/>
                    </w:rPr>
                    <w:t>保护对象及保护内容</w:t>
                  </w:r>
                </w:p>
              </w:tc>
              <w:tc>
                <w:tcPr>
                  <w:tcW w:w="573"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auto"/>
                      <w:sz w:val="22"/>
                      <w:szCs w:val="22"/>
                      <w:u w:val="none" w:color="auto"/>
                    </w:rPr>
                  </w:pPr>
                  <w:r>
                    <w:rPr>
                      <w:rFonts w:hint="default" w:ascii="Times New Roman" w:hAnsi="Times New Roman" w:eastAsia="宋体" w:cs="Times New Roman"/>
                      <w:b/>
                      <w:bCs/>
                      <w:color w:val="auto"/>
                      <w:sz w:val="22"/>
                      <w:szCs w:val="22"/>
                      <w:u w:val="none" w:color="auto"/>
                    </w:rPr>
                    <w:t>环境功能区</w:t>
                  </w:r>
                </w:p>
              </w:tc>
              <w:tc>
                <w:tcPr>
                  <w:tcW w:w="467"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auto"/>
                      <w:sz w:val="22"/>
                      <w:szCs w:val="22"/>
                      <w:u w:val="none" w:color="auto"/>
                    </w:rPr>
                  </w:pPr>
                  <w:r>
                    <w:rPr>
                      <w:rFonts w:hint="default" w:ascii="Times New Roman" w:hAnsi="Times New Roman" w:eastAsia="宋体" w:cs="Times New Roman"/>
                      <w:b/>
                      <w:bCs/>
                      <w:color w:val="auto"/>
                      <w:sz w:val="22"/>
                      <w:szCs w:val="22"/>
                      <w:u w:val="none" w:color="auto"/>
                    </w:rPr>
                    <w:t>相对厂址方位</w:t>
                  </w:r>
                </w:p>
              </w:tc>
              <w:tc>
                <w:tcPr>
                  <w:tcW w:w="730" w:type="pct"/>
                  <w:tcBorders>
                    <w:tl2br w:val="nil"/>
                    <w:tr2bl w:val="nil"/>
                  </w:tcBorders>
                  <w:noWrap w:val="0"/>
                  <w:vAlign w:val="center"/>
                </w:tcPr>
                <w:p>
                  <w:pPr>
                    <w:spacing w:line="320" w:lineRule="exact"/>
                    <w:jc w:val="center"/>
                    <w:rPr>
                      <w:rFonts w:hint="default" w:ascii="Times New Roman" w:hAnsi="Times New Roman" w:eastAsia="宋体" w:cs="Times New Roman"/>
                      <w:b/>
                      <w:bCs/>
                      <w:color w:val="auto"/>
                      <w:sz w:val="22"/>
                      <w:szCs w:val="22"/>
                      <w:u w:val="none" w:color="auto"/>
                    </w:rPr>
                  </w:pPr>
                  <w:r>
                    <w:rPr>
                      <w:rFonts w:hint="default" w:ascii="Times New Roman" w:hAnsi="Times New Roman" w:eastAsia="宋体" w:cs="Times New Roman"/>
                      <w:b/>
                      <w:bCs/>
                      <w:color w:val="auto"/>
                      <w:sz w:val="22"/>
                      <w:szCs w:val="22"/>
                      <w:u w:val="none" w:color="auto"/>
                    </w:rPr>
                    <w:t>相对厂界距离（m）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406" w:type="pct"/>
                  <w:vMerge w:val="restar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地表水环境</w:t>
                  </w:r>
                </w:p>
              </w:tc>
              <w:tc>
                <w:tcPr>
                  <w:tcW w:w="735"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洋沙河</w:t>
                  </w:r>
                </w:p>
              </w:tc>
              <w:tc>
                <w:tcPr>
                  <w:tcW w:w="2087"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农灌用水区</w:t>
                  </w:r>
                </w:p>
              </w:tc>
              <w:tc>
                <w:tcPr>
                  <w:tcW w:w="573"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fldChar w:fldCharType="begin"/>
                  </w:r>
                  <w:r>
                    <w:rPr>
                      <w:rFonts w:hint="default" w:ascii="Times New Roman" w:hAnsi="Times New Roman" w:eastAsia="宋体" w:cs="Times New Roman"/>
                      <w:color w:val="auto"/>
                      <w:sz w:val="22"/>
                      <w:szCs w:val="22"/>
                      <w:u w:val="none" w:color="auto"/>
                    </w:rPr>
                    <w:instrText xml:space="preserve"> = 3 \* ROMAN \* MERGEFORMAT </w:instrText>
                  </w:r>
                  <w:r>
                    <w:rPr>
                      <w:rFonts w:hint="default" w:ascii="Times New Roman" w:hAnsi="Times New Roman" w:eastAsia="宋体" w:cs="Times New Roman"/>
                      <w:color w:val="auto"/>
                      <w:sz w:val="22"/>
                      <w:szCs w:val="22"/>
                      <w:u w:val="none" w:color="auto"/>
                    </w:rPr>
                    <w:fldChar w:fldCharType="separate"/>
                  </w:r>
                  <w:r>
                    <w:rPr>
                      <w:rFonts w:hint="default" w:ascii="Times New Roman" w:hAnsi="Times New Roman" w:eastAsia="宋体" w:cs="Times New Roman"/>
                      <w:color w:val="auto"/>
                      <w:sz w:val="22"/>
                      <w:szCs w:val="22"/>
                      <w:u w:val="none" w:color="auto"/>
                    </w:rPr>
                    <w:t>III</w:t>
                  </w:r>
                  <w:r>
                    <w:rPr>
                      <w:rFonts w:hint="default" w:ascii="Times New Roman" w:hAnsi="Times New Roman" w:eastAsia="宋体" w:cs="Times New Roman"/>
                      <w:color w:val="auto"/>
                      <w:sz w:val="22"/>
                      <w:szCs w:val="22"/>
                      <w:u w:val="none" w:color="auto"/>
                    </w:rPr>
                    <w:fldChar w:fldCharType="end"/>
                  </w:r>
                  <w:r>
                    <w:rPr>
                      <w:rFonts w:hint="default" w:ascii="Times New Roman" w:hAnsi="Times New Roman" w:eastAsia="宋体" w:cs="Times New Roman"/>
                      <w:color w:val="auto"/>
                      <w:sz w:val="22"/>
                      <w:szCs w:val="22"/>
                      <w:u w:val="none" w:color="auto"/>
                    </w:rPr>
                    <w:t>类</w:t>
                  </w:r>
                </w:p>
              </w:tc>
              <w:tc>
                <w:tcPr>
                  <w:tcW w:w="467"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西</w:t>
                  </w:r>
                </w:p>
              </w:tc>
              <w:tc>
                <w:tcPr>
                  <w:tcW w:w="730"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4100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06" w:type="pct"/>
                  <w:vMerge w:val="continue"/>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p>
              </w:tc>
              <w:tc>
                <w:tcPr>
                  <w:tcW w:w="735" w:type="pct"/>
                  <w:tcBorders>
                    <w:tl2br w:val="nil"/>
                    <w:tr2bl w:val="nil"/>
                  </w:tcBorders>
                  <w:noWrap w:val="0"/>
                  <w:vAlign w:val="center"/>
                </w:tcPr>
                <w:p>
                  <w:pPr>
                    <w:spacing w:line="320" w:lineRule="exact"/>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洋沙湖</w:t>
                  </w:r>
                </w:p>
              </w:tc>
              <w:tc>
                <w:tcPr>
                  <w:tcW w:w="2087"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湿地公园</w:t>
                  </w:r>
                </w:p>
              </w:tc>
              <w:tc>
                <w:tcPr>
                  <w:tcW w:w="1037" w:type="dxa"/>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fldChar w:fldCharType="begin"/>
                  </w:r>
                  <w:r>
                    <w:rPr>
                      <w:rFonts w:hint="default" w:ascii="Times New Roman" w:hAnsi="Times New Roman" w:eastAsia="宋体" w:cs="Times New Roman"/>
                      <w:color w:val="auto"/>
                      <w:sz w:val="22"/>
                      <w:szCs w:val="22"/>
                      <w:u w:val="none" w:color="auto"/>
                    </w:rPr>
                    <w:instrText xml:space="preserve"> = 3 \* ROMAN \* MERGEFORMAT </w:instrText>
                  </w:r>
                  <w:r>
                    <w:rPr>
                      <w:rFonts w:hint="default" w:ascii="Times New Roman" w:hAnsi="Times New Roman" w:eastAsia="宋体" w:cs="Times New Roman"/>
                      <w:color w:val="auto"/>
                      <w:sz w:val="22"/>
                      <w:szCs w:val="22"/>
                      <w:u w:val="none" w:color="auto"/>
                    </w:rPr>
                    <w:fldChar w:fldCharType="separate"/>
                  </w:r>
                  <w:r>
                    <w:rPr>
                      <w:rFonts w:hint="default" w:ascii="Times New Roman" w:hAnsi="Times New Roman" w:eastAsia="宋体" w:cs="Times New Roman"/>
                      <w:color w:val="auto"/>
                      <w:sz w:val="22"/>
                      <w:szCs w:val="22"/>
                      <w:u w:val="none" w:color="auto"/>
                    </w:rPr>
                    <w:t>III</w:t>
                  </w:r>
                  <w:r>
                    <w:rPr>
                      <w:rFonts w:hint="default" w:ascii="Times New Roman" w:hAnsi="Times New Roman" w:eastAsia="宋体" w:cs="Times New Roman"/>
                      <w:color w:val="auto"/>
                      <w:sz w:val="22"/>
                      <w:szCs w:val="22"/>
                      <w:u w:val="none" w:color="auto"/>
                    </w:rPr>
                    <w:fldChar w:fldCharType="end"/>
                  </w:r>
                  <w:r>
                    <w:rPr>
                      <w:rFonts w:hint="default" w:ascii="Times New Roman" w:hAnsi="Times New Roman" w:eastAsia="宋体" w:cs="Times New Roman"/>
                      <w:color w:val="auto"/>
                      <w:sz w:val="22"/>
                      <w:szCs w:val="22"/>
                      <w:u w:val="none" w:color="auto"/>
                    </w:rPr>
                    <w:t>类</w:t>
                  </w:r>
                </w:p>
              </w:tc>
              <w:tc>
                <w:tcPr>
                  <w:tcW w:w="845" w:type="dxa"/>
                  <w:tcBorders>
                    <w:tl2br w:val="nil"/>
                    <w:tr2bl w:val="nil"/>
                  </w:tcBorders>
                  <w:noWrap w:val="0"/>
                  <w:vAlign w:val="center"/>
                </w:tcPr>
                <w:p>
                  <w:pPr>
                    <w:spacing w:line="320" w:lineRule="exact"/>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eastAsia="zh-CN"/>
                    </w:rPr>
                    <w:t>西</w:t>
                  </w:r>
                  <w:r>
                    <w:rPr>
                      <w:rFonts w:hint="eastAsia" w:cs="Times New Roman"/>
                      <w:color w:val="auto"/>
                      <w:sz w:val="22"/>
                      <w:szCs w:val="22"/>
                      <w:u w:val="none" w:color="auto"/>
                      <w:lang w:val="en-US" w:eastAsia="zh-CN"/>
                    </w:rPr>
                    <w:t>北</w:t>
                  </w:r>
                </w:p>
              </w:tc>
              <w:tc>
                <w:tcPr>
                  <w:tcW w:w="1321" w:type="dxa"/>
                  <w:tcBorders>
                    <w:tl2br w:val="nil"/>
                    <w:tr2bl w:val="nil"/>
                  </w:tcBorders>
                  <w:noWrap w:val="0"/>
                  <w:vAlign w:val="center"/>
                </w:tcPr>
                <w:p>
                  <w:pPr>
                    <w:spacing w:line="320" w:lineRule="exact"/>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10900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0" w:hRule="atLeast"/>
                <w:jc w:val="center"/>
              </w:trPr>
              <w:tc>
                <w:tcPr>
                  <w:tcW w:w="406"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地下水环境</w:t>
                  </w:r>
                </w:p>
              </w:tc>
              <w:tc>
                <w:tcPr>
                  <w:tcW w:w="735"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项目所在区域地下水</w:t>
                  </w:r>
                </w:p>
              </w:tc>
              <w:tc>
                <w:tcPr>
                  <w:tcW w:w="2087"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项目周边居民饮用自来水，地下水资源开发利用程度较低</w:t>
                  </w:r>
                </w:p>
              </w:tc>
              <w:tc>
                <w:tcPr>
                  <w:tcW w:w="573"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fldChar w:fldCharType="begin"/>
                  </w:r>
                  <w:r>
                    <w:rPr>
                      <w:rFonts w:hint="default" w:ascii="Times New Roman" w:hAnsi="Times New Roman" w:eastAsia="宋体" w:cs="Times New Roman"/>
                      <w:color w:val="auto"/>
                      <w:sz w:val="22"/>
                      <w:szCs w:val="22"/>
                      <w:u w:val="none" w:color="auto"/>
                    </w:rPr>
                    <w:instrText xml:space="preserve"> = 3 \* ROMAN \* MERGEFORMAT </w:instrText>
                  </w:r>
                  <w:r>
                    <w:rPr>
                      <w:rFonts w:hint="default" w:ascii="Times New Roman" w:hAnsi="Times New Roman" w:eastAsia="宋体" w:cs="Times New Roman"/>
                      <w:color w:val="auto"/>
                      <w:sz w:val="22"/>
                      <w:szCs w:val="22"/>
                      <w:u w:val="none" w:color="auto"/>
                    </w:rPr>
                    <w:fldChar w:fldCharType="separate"/>
                  </w:r>
                  <w:r>
                    <w:rPr>
                      <w:rFonts w:hint="default" w:ascii="Times New Roman" w:hAnsi="Times New Roman" w:eastAsia="宋体" w:cs="Times New Roman"/>
                      <w:color w:val="auto"/>
                      <w:sz w:val="22"/>
                      <w:szCs w:val="22"/>
                      <w:u w:val="none" w:color="auto"/>
                    </w:rPr>
                    <w:t>III</w:t>
                  </w:r>
                  <w:r>
                    <w:rPr>
                      <w:rFonts w:hint="default" w:ascii="Times New Roman" w:hAnsi="Times New Roman" w:eastAsia="宋体" w:cs="Times New Roman"/>
                      <w:color w:val="auto"/>
                      <w:sz w:val="22"/>
                      <w:szCs w:val="22"/>
                      <w:u w:val="none" w:color="auto"/>
                    </w:rPr>
                    <w:fldChar w:fldCharType="end"/>
                  </w:r>
                  <w:r>
                    <w:rPr>
                      <w:rFonts w:hint="default" w:ascii="Times New Roman" w:hAnsi="Times New Roman" w:eastAsia="宋体" w:cs="Times New Roman"/>
                      <w:color w:val="auto"/>
                      <w:sz w:val="22"/>
                      <w:szCs w:val="22"/>
                      <w:u w:val="none" w:color="auto"/>
                    </w:rPr>
                    <w:t>类</w:t>
                  </w:r>
                </w:p>
              </w:tc>
              <w:tc>
                <w:tcPr>
                  <w:tcW w:w="467"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w:t>
                  </w:r>
                </w:p>
              </w:tc>
              <w:tc>
                <w:tcPr>
                  <w:tcW w:w="730"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50" w:hRule="atLeast"/>
                <w:jc w:val="center"/>
              </w:trPr>
              <w:tc>
                <w:tcPr>
                  <w:tcW w:w="406"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生态环境</w:t>
                  </w:r>
                </w:p>
              </w:tc>
              <w:tc>
                <w:tcPr>
                  <w:tcW w:w="735"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周边生态</w:t>
                  </w:r>
                </w:p>
              </w:tc>
              <w:tc>
                <w:tcPr>
                  <w:tcW w:w="2087"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 xml:space="preserve">厂区周边 </w:t>
                  </w:r>
                  <w:r>
                    <w:rPr>
                      <w:rFonts w:hint="default" w:ascii="Times New Roman" w:hAnsi="Times New Roman" w:eastAsia="宋体" w:cs="Times New Roman"/>
                      <w:color w:val="auto"/>
                      <w:sz w:val="22"/>
                      <w:szCs w:val="22"/>
                      <w:u w:val="none" w:color="auto"/>
                      <w:lang w:val="en-US" w:eastAsia="zh-CN"/>
                    </w:rPr>
                    <w:t>2</w:t>
                  </w:r>
                  <w:r>
                    <w:rPr>
                      <w:rFonts w:hint="default" w:ascii="Times New Roman" w:hAnsi="Times New Roman" w:eastAsia="宋体" w:cs="Times New Roman"/>
                      <w:color w:val="auto"/>
                      <w:sz w:val="22"/>
                      <w:szCs w:val="22"/>
                      <w:u w:val="none" w:color="auto"/>
                    </w:rPr>
                    <w:t>00m 范围内的生态环境</w:t>
                  </w:r>
                </w:p>
              </w:tc>
              <w:tc>
                <w:tcPr>
                  <w:tcW w:w="573"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不破坏生态系统</w:t>
                  </w:r>
                </w:p>
              </w:tc>
              <w:tc>
                <w:tcPr>
                  <w:tcW w:w="467"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w:t>
                  </w:r>
                </w:p>
              </w:tc>
              <w:tc>
                <w:tcPr>
                  <w:tcW w:w="730" w:type="pct"/>
                  <w:tcBorders>
                    <w:tl2br w:val="nil"/>
                    <w:tr2bl w:val="nil"/>
                  </w:tcBorders>
                  <w:noWrap w:val="0"/>
                  <w:vAlign w:val="center"/>
                </w:tcPr>
                <w:p>
                  <w:pPr>
                    <w:spacing w:line="320" w:lineRule="exact"/>
                    <w:jc w:val="center"/>
                    <w:rPr>
                      <w:rFonts w:hint="default" w:ascii="Times New Roman" w:hAnsi="Times New Roman" w:eastAsia="宋体" w:cs="Times New Roman"/>
                      <w:color w:val="auto"/>
                      <w:sz w:val="22"/>
                      <w:szCs w:val="22"/>
                      <w:u w:val="none" w:color="auto"/>
                    </w:rPr>
                  </w:pPr>
                  <w:r>
                    <w:rPr>
                      <w:rFonts w:hint="default" w:ascii="Times New Roman" w:hAnsi="Times New Roman" w:eastAsia="宋体" w:cs="Times New Roman"/>
                      <w:color w:val="auto"/>
                      <w:sz w:val="22"/>
                      <w:szCs w:val="22"/>
                      <w:u w:val="none" w:color="auto"/>
                    </w:rPr>
                    <w:t>/</w:t>
                  </w:r>
                </w:p>
              </w:tc>
            </w:tr>
          </w:tbl>
          <w:p>
            <w:pPr>
              <w:snapToGrid w:val="0"/>
              <w:spacing w:line="360" w:lineRule="auto"/>
              <w:ind w:firstLine="466" w:firstLineChars="200"/>
              <w:rPr>
                <w:rFonts w:hint="eastAsia"/>
                <w:bCs/>
                <w:sz w:val="24"/>
                <w:u w:val="none" w:color="auto"/>
                <w:lang w:eastAsia="zh-CN"/>
              </w:rPr>
            </w:pPr>
          </w:p>
          <w:p>
            <w:pPr>
              <w:snapToGrid w:val="0"/>
              <w:spacing w:line="360" w:lineRule="auto"/>
              <w:ind w:firstLine="466" w:firstLineChars="200"/>
              <w:rPr>
                <w:rFonts w:hint="eastAsia"/>
                <w:bCs/>
                <w:sz w:val="24"/>
                <w:u w:val="none" w:color="auto"/>
                <w:lang w:eastAsia="zh-CN"/>
              </w:rPr>
            </w:pPr>
          </w:p>
          <w:p>
            <w:pPr>
              <w:snapToGrid w:val="0"/>
              <w:spacing w:line="360" w:lineRule="auto"/>
              <w:rPr>
                <w:rFonts w:hint="eastAsia"/>
                <w:bCs/>
                <w:sz w:val="24"/>
                <w:u w:val="none" w:color="auto"/>
                <w:lang w:eastAsia="zh-CN"/>
              </w:rPr>
            </w:pPr>
          </w:p>
          <w:p>
            <w:pPr>
              <w:snapToGrid w:val="0"/>
              <w:spacing w:line="360" w:lineRule="auto"/>
              <w:ind w:firstLine="466" w:firstLineChars="200"/>
              <w:rPr>
                <w:rFonts w:hint="eastAsia"/>
                <w:bCs/>
                <w:sz w:val="24"/>
                <w:u w:val="none" w:color="auto"/>
                <w:lang w:eastAsia="zh-CN"/>
              </w:rPr>
            </w:pPr>
          </w:p>
          <w:p>
            <w:pPr>
              <w:snapToGrid w:val="0"/>
              <w:spacing w:line="360" w:lineRule="auto"/>
              <w:ind w:firstLine="466" w:firstLineChars="200"/>
              <w:rPr>
                <w:rFonts w:hint="eastAsia" w:eastAsia="宋体"/>
                <w:bCs/>
                <w:sz w:val="24"/>
                <w:u w:val="none" w:color="auto"/>
                <w:lang w:eastAsia="zh-CN"/>
              </w:rPr>
            </w:pPr>
          </w:p>
          <w:p>
            <w:pPr>
              <w:snapToGrid w:val="0"/>
              <w:jc w:val="center"/>
              <w:rPr>
                <w:b/>
                <w:sz w:val="24"/>
                <w:szCs w:val="24"/>
                <w:u w:val="none" w:color="auto"/>
              </w:rPr>
            </w:pPr>
            <w:r>
              <w:rPr>
                <w:rFonts w:hAnsi="宋体"/>
                <w:sz w:val="24"/>
                <w:szCs w:val="24"/>
                <w:u w:val="none" w:color="auto"/>
              </w:rPr>
              <w:cr/>
            </w:r>
            <w:r>
              <w:rPr>
                <w:rFonts w:hAnsi="宋体"/>
                <w:sz w:val="24"/>
                <w:szCs w:val="24"/>
                <w:u w:val="none" w:color="auto"/>
              </w:rPr>
              <w:t xml:space="preserve">   </w:t>
            </w:r>
          </w:p>
          <w:p>
            <w:pPr>
              <w:pStyle w:val="34"/>
              <w:ind w:left="0" w:leftChars="0"/>
              <w:rPr>
                <w:u w:val="none" w:color="auto"/>
              </w:rPr>
            </w:pPr>
          </w:p>
        </w:tc>
      </w:tr>
    </w:tbl>
    <w:p>
      <w:pPr>
        <w:snapToGrid w:val="0"/>
        <w:textAlignment w:val="baseline"/>
        <w:outlineLvl w:val="0"/>
        <w:rPr>
          <w:rFonts w:eastAsia="黑体"/>
          <w:sz w:val="32"/>
          <w:u w:val="none" w:color="auto"/>
        </w:rPr>
      </w:pPr>
      <w:r>
        <w:rPr>
          <w:u w:val="none" w:color="auto"/>
        </w:rPr>
        <w:br w:type="page"/>
      </w:r>
      <w:bookmarkStart w:id="3" w:name="_Toc27017"/>
      <w:r>
        <w:rPr>
          <w:rFonts w:hint="default" w:ascii="Times New Roman" w:hAnsi="Times New Roman" w:eastAsia="黑体" w:cs="Times New Roman"/>
          <w:sz w:val="32"/>
          <w:szCs w:val="32"/>
          <w:u w:val="none" w:color="auto"/>
        </w:rPr>
        <w:t>四、</w:t>
      </w:r>
      <w:r>
        <w:rPr>
          <w:rFonts w:hint="default" w:ascii="Times New Roman" w:hAnsi="Times New Roman" w:eastAsia="黑体" w:cs="Times New Roman"/>
          <w:sz w:val="32"/>
          <w:u w:val="none" w:color="auto"/>
        </w:rPr>
        <w:t>评价适用标准</w:t>
      </w:r>
      <w:bookmarkEnd w:id="3"/>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8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4" w:hRule="atLeast"/>
          <w:jc w:val="center"/>
        </w:trPr>
        <w:tc>
          <w:tcPr>
            <w:tcW w:w="592" w:type="dxa"/>
            <w:vAlign w:val="center"/>
          </w:tcPr>
          <w:p>
            <w:pPr>
              <w:jc w:val="center"/>
              <w:rPr>
                <w:b/>
                <w:bCs/>
                <w:sz w:val="24"/>
                <w:szCs w:val="24"/>
                <w:u w:val="none" w:color="auto"/>
              </w:rPr>
            </w:pPr>
            <w:r>
              <w:rPr>
                <w:b/>
                <w:bCs/>
                <w:sz w:val="24"/>
                <w:szCs w:val="24"/>
                <w:u w:val="none" w:color="auto"/>
              </w:rPr>
              <w:t>环境质量标准</w:t>
            </w:r>
          </w:p>
        </w:tc>
        <w:tc>
          <w:tcPr>
            <w:tcW w:w="8676" w:type="dxa"/>
            <w:vAlign w:val="center"/>
          </w:tcPr>
          <w:p>
            <w:pPr>
              <w:pStyle w:val="174"/>
              <w:numPr>
                <w:ilvl w:val="0"/>
                <w:numId w:val="0"/>
              </w:numPr>
              <w:spacing w:line="360" w:lineRule="auto"/>
              <w:rPr>
                <w:rFonts w:hint="eastAsia" w:eastAsia="宋体"/>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1</w:t>
            </w:r>
            <w:r>
              <w:rPr>
                <w:rFonts w:hint="eastAsia" w:cs="Times New Roman"/>
                <w:color w:val="auto"/>
                <w:sz w:val="24"/>
                <w:szCs w:val="24"/>
                <w:u w:val="none" w:color="auto"/>
                <w:lang w:val="en-US" w:eastAsia="zh-CN"/>
              </w:rPr>
              <w:t>、</w:t>
            </w:r>
            <w:r>
              <w:rPr>
                <w:color w:val="auto"/>
                <w:sz w:val="24"/>
                <w:szCs w:val="24"/>
                <w:u w:val="none" w:color="auto"/>
              </w:rPr>
              <w:t>环境空气质量：</w:t>
            </w:r>
            <w:r>
              <w:rPr>
                <w:rFonts w:hint="default"/>
                <w:color w:val="auto"/>
                <w:sz w:val="24"/>
                <w:szCs w:val="24"/>
                <w:u w:val="none" w:color="auto"/>
              </w:rPr>
              <w:t>SO</w:t>
            </w:r>
            <w:r>
              <w:rPr>
                <w:rFonts w:hint="default"/>
                <w:color w:val="auto"/>
                <w:sz w:val="24"/>
                <w:szCs w:val="24"/>
                <w:u w:val="none" w:color="auto"/>
                <w:vertAlign w:val="subscript"/>
              </w:rPr>
              <w:t>2</w:t>
            </w:r>
            <w:r>
              <w:rPr>
                <w:rFonts w:hint="default"/>
                <w:color w:val="auto"/>
                <w:sz w:val="24"/>
                <w:szCs w:val="24"/>
                <w:u w:val="none" w:color="auto"/>
              </w:rPr>
              <w:t>、NO</w:t>
            </w:r>
            <w:r>
              <w:rPr>
                <w:rFonts w:hint="default"/>
                <w:color w:val="auto"/>
                <w:sz w:val="24"/>
                <w:szCs w:val="24"/>
                <w:u w:val="none" w:color="auto"/>
                <w:vertAlign w:val="subscript"/>
              </w:rPr>
              <w:t>2</w:t>
            </w:r>
            <w:r>
              <w:rPr>
                <w:rFonts w:hint="default"/>
                <w:color w:val="auto"/>
                <w:sz w:val="24"/>
                <w:szCs w:val="24"/>
                <w:u w:val="none" w:color="auto"/>
              </w:rPr>
              <w:t>、PM</w:t>
            </w:r>
            <w:r>
              <w:rPr>
                <w:rFonts w:hint="default"/>
                <w:color w:val="auto"/>
                <w:sz w:val="24"/>
                <w:szCs w:val="24"/>
                <w:u w:val="none" w:color="auto"/>
                <w:vertAlign w:val="subscript"/>
              </w:rPr>
              <w:t>10</w:t>
            </w:r>
            <w:r>
              <w:rPr>
                <w:rFonts w:hint="eastAsia"/>
                <w:color w:val="auto"/>
                <w:sz w:val="24"/>
                <w:szCs w:val="24"/>
                <w:u w:val="none" w:color="auto"/>
                <w:vertAlign w:val="baseline"/>
                <w:lang w:eastAsia="zh-CN"/>
              </w:rPr>
              <w:t>、</w:t>
            </w:r>
            <w:r>
              <w:rPr>
                <w:rFonts w:hint="default" w:ascii="Times New Roman" w:hAnsi="Times New Roman" w:cs="Times New Roman"/>
                <w:color w:val="auto"/>
                <w:sz w:val="24"/>
                <w:szCs w:val="24"/>
                <w:u w:val="none" w:color="auto"/>
              </w:rPr>
              <w:t>PM</w:t>
            </w:r>
            <w:r>
              <w:rPr>
                <w:rFonts w:hint="eastAsia" w:ascii="Times New Roman" w:hAnsi="Times New Roman" w:cs="Times New Roman"/>
                <w:color w:val="auto"/>
                <w:sz w:val="24"/>
                <w:szCs w:val="24"/>
                <w:u w:val="none" w:color="auto"/>
                <w:vertAlign w:val="subscript"/>
                <w:lang w:val="en-US" w:eastAsia="zh-CN"/>
              </w:rPr>
              <w:t>2.5</w:t>
            </w:r>
            <w:r>
              <w:rPr>
                <w:rFonts w:hint="eastAsia" w:cs="Times New Roman"/>
                <w:color w:val="auto"/>
                <w:sz w:val="24"/>
                <w:szCs w:val="24"/>
                <w:u w:val="none" w:color="auto"/>
                <w:vertAlign w:val="baseline"/>
                <w:lang w:val="en-US" w:eastAsia="zh-CN"/>
              </w:rPr>
              <w:t>、</w:t>
            </w:r>
            <w:r>
              <w:rPr>
                <w:rFonts w:hint="eastAsia" w:ascii="Times New Roman" w:hAnsi="Times New Roman" w:cs="Times New Roman"/>
                <w:color w:val="auto"/>
                <w:sz w:val="24"/>
                <w:szCs w:val="24"/>
                <w:u w:val="none" w:color="auto"/>
                <w:lang w:val="en-US" w:eastAsia="zh-CN"/>
              </w:rPr>
              <w:t>C</w:t>
            </w:r>
            <w:r>
              <w:rPr>
                <w:rFonts w:hint="default" w:ascii="Times New Roman" w:hAnsi="Times New Roman" w:cs="Times New Roman"/>
                <w:color w:val="auto"/>
                <w:sz w:val="24"/>
                <w:szCs w:val="24"/>
                <w:u w:val="none" w:color="auto"/>
              </w:rPr>
              <w:t>O</w:t>
            </w:r>
            <w:r>
              <w:rPr>
                <w:rFonts w:hint="eastAsia" w:cs="Times New Roman"/>
                <w:color w:val="auto"/>
                <w:sz w:val="24"/>
                <w:szCs w:val="24"/>
                <w:u w:val="none" w:color="auto"/>
                <w:lang w:eastAsia="zh-CN"/>
              </w:rPr>
              <w:t>、</w:t>
            </w:r>
            <w:r>
              <w:rPr>
                <w:rFonts w:hint="default" w:ascii="Times New Roman" w:hAnsi="Times New Roman" w:cs="Times New Roman"/>
                <w:color w:val="auto"/>
                <w:sz w:val="24"/>
                <w:szCs w:val="24"/>
                <w:u w:val="none" w:color="auto"/>
              </w:rPr>
              <w:t>O</w:t>
            </w:r>
            <w:r>
              <w:rPr>
                <w:rFonts w:hint="eastAsia" w:ascii="Times New Roman" w:hAnsi="Times New Roman" w:cs="Times New Roman"/>
                <w:color w:val="auto"/>
                <w:sz w:val="24"/>
                <w:szCs w:val="24"/>
                <w:u w:val="none" w:color="auto"/>
                <w:vertAlign w:val="subscript"/>
                <w:lang w:val="en-US" w:eastAsia="zh-CN"/>
              </w:rPr>
              <w:t>3</w:t>
            </w:r>
            <w:r>
              <w:rPr>
                <w:rFonts w:hint="default"/>
                <w:color w:val="auto"/>
                <w:sz w:val="24"/>
                <w:szCs w:val="24"/>
                <w:u w:val="none" w:color="auto"/>
              </w:rPr>
              <w:t>执行《环境空气质量标准》（GB3095-2012）中的二级标准</w:t>
            </w:r>
            <w:r>
              <w:rPr>
                <w:rFonts w:hint="eastAsia"/>
                <w:color w:val="auto"/>
                <w:sz w:val="24"/>
                <w:szCs w:val="24"/>
                <w:u w:val="none" w:color="auto"/>
                <w:lang w:eastAsia="zh-CN"/>
              </w:rPr>
              <w:t>。</w:t>
            </w:r>
            <w:r>
              <w:rPr>
                <w:rFonts w:hint="default"/>
                <w:color w:val="auto"/>
                <w:sz w:val="24"/>
                <w:szCs w:val="24"/>
                <w:u w:val="none" w:color="auto"/>
              </w:rPr>
              <w:t>TVOC满足《环境影响评价技术导则 大气环境》（HJ2.2-2018）附录D中相应的标准</w:t>
            </w:r>
            <w:r>
              <w:rPr>
                <w:rFonts w:hint="eastAsia"/>
                <w:color w:val="auto"/>
                <w:sz w:val="24"/>
                <w:szCs w:val="24"/>
                <w:u w:val="none" w:color="auto"/>
                <w:lang w:eastAsia="zh-CN"/>
              </w:rPr>
              <w:t>。</w:t>
            </w:r>
          </w:p>
          <w:p>
            <w:pPr>
              <w:pStyle w:val="188"/>
              <w:rPr>
                <w:rFonts w:hint="default"/>
                <w:color w:val="auto"/>
                <w:u w:val="none" w:color="auto"/>
                <w:lang w:val="en-US" w:eastAsia="zh-CN"/>
              </w:rPr>
            </w:pPr>
            <w:r>
              <w:rPr>
                <w:rFonts w:hint="default"/>
                <w:color w:val="auto"/>
                <w:u w:val="none" w:color="auto"/>
                <w:lang w:val="en-US" w:eastAsia="zh-CN"/>
              </w:rPr>
              <w:t>表</w:t>
            </w:r>
            <w:r>
              <w:rPr>
                <w:rFonts w:hint="eastAsia"/>
                <w:color w:val="auto"/>
                <w:u w:val="none" w:color="auto"/>
                <w:lang w:val="en-US" w:eastAsia="zh-CN"/>
              </w:rPr>
              <w:t>4-1</w:t>
            </w:r>
            <w:r>
              <w:rPr>
                <w:rFonts w:hint="default"/>
                <w:color w:val="auto"/>
                <w:u w:val="none" w:color="auto"/>
                <w:lang w:val="en-US" w:eastAsia="zh-CN"/>
              </w:rPr>
              <w:t xml:space="preserve">   环境空气质量标准  单位：ug/m</w:t>
            </w:r>
            <w:r>
              <w:rPr>
                <w:rFonts w:hint="default"/>
                <w:color w:val="auto"/>
                <w:u w:val="none" w:color="auto"/>
                <w:vertAlign w:val="superscript"/>
                <w:lang w:val="en-US" w:eastAsia="zh-CN"/>
              </w:rPr>
              <w:t>3</w:t>
            </w:r>
          </w:p>
          <w:tbl>
            <w:tblPr>
              <w:tblStyle w:val="40"/>
              <w:tblW w:w="84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1757"/>
              <w:gridCol w:w="1787"/>
              <w:gridCol w:w="1781"/>
              <w:gridCol w:w="1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29" w:type="dxa"/>
                  <w:vMerge w:val="restart"/>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污染物名称</w:t>
                  </w:r>
                </w:p>
              </w:tc>
              <w:tc>
                <w:tcPr>
                  <w:tcW w:w="7101" w:type="dxa"/>
                  <w:gridSpan w:val="4"/>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vMerge w:val="continue"/>
                  <w:tcBorders>
                    <w:tl2br w:val="nil"/>
                    <w:tr2bl w:val="nil"/>
                  </w:tcBorders>
                  <w:noWrap w:val="0"/>
                  <w:vAlign w:val="center"/>
                </w:tcPr>
                <w:p>
                  <w:pPr>
                    <w:pStyle w:val="186"/>
                    <w:spacing w:line="360" w:lineRule="auto"/>
                    <w:rPr>
                      <w:rFonts w:hint="default"/>
                      <w:color w:val="auto"/>
                      <w:u w:val="none" w:color="auto"/>
                    </w:rPr>
                  </w:pPr>
                </w:p>
              </w:tc>
              <w:tc>
                <w:tcPr>
                  <w:tcW w:w="1757"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1小时平均</w:t>
                  </w:r>
                </w:p>
              </w:tc>
              <w:tc>
                <w:tcPr>
                  <w:tcW w:w="1787"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日平均</w:t>
                  </w:r>
                </w:p>
              </w:tc>
              <w:tc>
                <w:tcPr>
                  <w:tcW w:w="1781" w:type="dxa"/>
                  <w:tcBorders>
                    <w:tl2br w:val="nil"/>
                    <w:tr2bl w:val="nil"/>
                  </w:tcBorders>
                  <w:noWrap w:val="0"/>
                  <w:vAlign w:val="center"/>
                </w:tcPr>
                <w:p>
                  <w:pPr>
                    <w:pStyle w:val="186"/>
                    <w:spacing w:line="360" w:lineRule="auto"/>
                    <w:rPr>
                      <w:rFonts w:hint="default"/>
                      <w:color w:val="auto"/>
                      <w:u w:val="none" w:color="auto"/>
                    </w:rPr>
                  </w:pPr>
                  <w:r>
                    <w:rPr>
                      <w:color w:val="auto"/>
                      <w:sz w:val="21"/>
                      <w:szCs w:val="21"/>
                      <w:u w:val="none" w:color="auto"/>
                    </w:rPr>
                    <w:t>8小时均值</w:t>
                  </w:r>
                </w:p>
              </w:tc>
              <w:tc>
                <w:tcPr>
                  <w:tcW w:w="1776" w:type="dxa"/>
                  <w:tcBorders>
                    <w:tl2br w:val="nil"/>
                    <w:tr2bl w:val="nil"/>
                  </w:tcBorders>
                  <w:noWrap w:val="0"/>
                  <w:vAlign w:val="center"/>
                </w:tcPr>
                <w:p>
                  <w:pPr>
                    <w:pStyle w:val="186"/>
                    <w:spacing w:line="360" w:lineRule="auto"/>
                    <w:rPr>
                      <w:rFonts w:hint="eastAsia" w:eastAsia="宋体"/>
                      <w:color w:val="auto"/>
                      <w:sz w:val="21"/>
                      <w:szCs w:val="21"/>
                      <w:u w:val="none" w:color="auto"/>
                      <w:lang w:eastAsia="zh-CN"/>
                    </w:rPr>
                  </w:pPr>
                  <w:r>
                    <w:rPr>
                      <w:rFonts w:hint="eastAsia"/>
                      <w:color w:val="auto"/>
                      <w:sz w:val="21"/>
                      <w:szCs w:val="21"/>
                      <w:u w:val="none" w:color="auto"/>
                      <w:lang w:eastAsia="zh-CN"/>
                    </w:rPr>
                    <w:t>年均值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SO</w:t>
                  </w:r>
                  <w:r>
                    <w:rPr>
                      <w:rFonts w:hint="default"/>
                      <w:color w:val="auto"/>
                      <w:u w:val="none" w:color="auto"/>
                      <w:vertAlign w:val="subscript"/>
                    </w:rPr>
                    <w:t>2</w:t>
                  </w:r>
                </w:p>
              </w:tc>
              <w:tc>
                <w:tcPr>
                  <w:tcW w:w="1757"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500</w:t>
                  </w:r>
                </w:p>
              </w:tc>
              <w:tc>
                <w:tcPr>
                  <w:tcW w:w="1787"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150</w:t>
                  </w:r>
                </w:p>
              </w:tc>
              <w:tc>
                <w:tcPr>
                  <w:tcW w:w="1781" w:type="dxa"/>
                  <w:tcBorders>
                    <w:tl2br w:val="nil"/>
                    <w:tr2bl w:val="nil"/>
                  </w:tcBorders>
                  <w:noWrap w:val="0"/>
                  <w:vAlign w:val="center"/>
                </w:tcPr>
                <w:p>
                  <w:pPr>
                    <w:pStyle w:val="186"/>
                    <w:spacing w:line="360" w:lineRule="auto"/>
                    <w:rPr>
                      <w:rFonts w:hint="default"/>
                      <w:color w:val="auto"/>
                      <w:u w:val="none" w:color="auto"/>
                    </w:rPr>
                  </w:pPr>
                  <w:r>
                    <w:rPr>
                      <w:color w:val="auto"/>
                      <w:sz w:val="21"/>
                      <w:szCs w:val="21"/>
                      <w:u w:val="none" w:color="auto"/>
                    </w:rPr>
                    <w:t>/</w:t>
                  </w:r>
                </w:p>
              </w:tc>
              <w:tc>
                <w:tcPr>
                  <w:tcW w:w="1776"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NO</w:t>
                  </w:r>
                  <w:r>
                    <w:rPr>
                      <w:rFonts w:hint="default"/>
                      <w:color w:val="auto"/>
                      <w:u w:val="none" w:color="auto"/>
                      <w:vertAlign w:val="subscript"/>
                    </w:rPr>
                    <w:t>2</w:t>
                  </w:r>
                </w:p>
              </w:tc>
              <w:tc>
                <w:tcPr>
                  <w:tcW w:w="1757"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200</w:t>
                  </w:r>
                </w:p>
              </w:tc>
              <w:tc>
                <w:tcPr>
                  <w:tcW w:w="1787"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80</w:t>
                  </w:r>
                </w:p>
              </w:tc>
              <w:tc>
                <w:tcPr>
                  <w:tcW w:w="1781" w:type="dxa"/>
                  <w:tcBorders>
                    <w:tl2br w:val="nil"/>
                    <w:tr2bl w:val="nil"/>
                  </w:tcBorders>
                  <w:noWrap w:val="0"/>
                  <w:vAlign w:val="center"/>
                </w:tcPr>
                <w:p>
                  <w:pPr>
                    <w:pStyle w:val="186"/>
                    <w:spacing w:line="360" w:lineRule="auto"/>
                    <w:rPr>
                      <w:rFonts w:hint="default"/>
                      <w:color w:val="auto"/>
                      <w:u w:val="none" w:color="auto"/>
                    </w:rPr>
                  </w:pPr>
                  <w:r>
                    <w:rPr>
                      <w:color w:val="auto"/>
                      <w:sz w:val="21"/>
                      <w:szCs w:val="21"/>
                      <w:u w:val="none" w:color="auto"/>
                    </w:rPr>
                    <w:t>/</w:t>
                  </w:r>
                </w:p>
              </w:tc>
              <w:tc>
                <w:tcPr>
                  <w:tcW w:w="1776"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PM</w:t>
                  </w:r>
                  <w:r>
                    <w:rPr>
                      <w:rFonts w:hint="default"/>
                      <w:color w:val="auto"/>
                      <w:u w:val="none" w:color="auto"/>
                      <w:vertAlign w:val="subscript"/>
                    </w:rPr>
                    <w:t>10</w:t>
                  </w:r>
                </w:p>
              </w:tc>
              <w:tc>
                <w:tcPr>
                  <w:tcW w:w="1757"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w:t>
                  </w:r>
                </w:p>
              </w:tc>
              <w:tc>
                <w:tcPr>
                  <w:tcW w:w="1787" w:type="dxa"/>
                  <w:tcBorders>
                    <w:tl2br w:val="nil"/>
                    <w:tr2bl w:val="nil"/>
                  </w:tcBorders>
                  <w:noWrap w:val="0"/>
                  <w:vAlign w:val="center"/>
                </w:tcPr>
                <w:p>
                  <w:pPr>
                    <w:pStyle w:val="186"/>
                    <w:spacing w:line="360" w:lineRule="auto"/>
                    <w:rPr>
                      <w:rFonts w:hint="eastAsia" w:eastAsia="宋体"/>
                      <w:color w:val="auto"/>
                      <w:u w:val="none" w:color="auto"/>
                      <w:lang w:eastAsia="zh-CN"/>
                    </w:rPr>
                  </w:pPr>
                  <w:r>
                    <w:rPr>
                      <w:rFonts w:hint="eastAsia"/>
                      <w:color w:val="auto"/>
                      <w:u w:val="none" w:color="auto"/>
                      <w:lang w:val="en-US" w:eastAsia="zh-CN"/>
                    </w:rPr>
                    <w:t>150</w:t>
                  </w:r>
                </w:p>
              </w:tc>
              <w:tc>
                <w:tcPr>
                  <w:tcW w:w="1781" w:type="dxa"/>
                  <w:tcBorders>
                    <w:tl2br w:val="nil"/>
                    <w:tr2bl w:val="nil"/>
                  </w:tcBorders>
                  <w:noWrap w:val="0"/>
                  <w:vAlign w:val="center"/>
                </w:tcPr>
                <w:p>
                  <w:pPr>
                    <w:pStyle w:val="186"/>
                    <w:spacing w:line="360" w:lineRule="auto"/>
                    <w:rPr>
                      <w:rFonts w:hint="eastAsia"/>
                      <w:color w:val="auto"/>
                      <w:u w:val="none" w:color="auto"/>
                      <w:lang w:val="en-US" w:eastAsia="zh-CN"/>
                    </w:rPr>
                  </w:pPr>
                  <w:r>
                    <w:rPr>
                      <w:color w:val="auto"/>
                      <w:sz w:val="21"/>
                      <w:szCs w:val="21"/>
                      <w:u w:val="none" w:color="auto"/>
                    </w:rPr>
                    <w:t>/</w:t>
                  </w:r>
                </w:p>
              </w:tc>
              <w:tc>
                <w:tcPr>
                  <w:tcW w:w="1776"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spacing w:line="360" w:lineRule="auto"/>
                    <w:jc w:val="center"/>
                    <w:rPr>
                      <w:rFonts w:hint="default"/>
                      <w:color w:val="auto"/>
                      <w:u w:val="none" w:color="auto"/>
                    </w:rPr>
                  </w:pPr>
                  <w:r>
                    <w:rPr>
                      <w:rFonts w:hint="default" w:ascii="Times New Roman" w:hAnsi="Times New Roman" w:cs="Times New Roman"/>
                      <w:color w:val="auto"/>
                      <w:u w:val="none" w:color="auto"/>
                    </w:rPr>
                    <w:t>PM</w:t>
                  </w:r>
                  <w:r>
                    <w:rPr>
                      <w:rFonts w:hint="eastAsia" w:ascii="Times New Roman" w:hAnsi="Times New Roman" w:cs="Times New Roman"/>
                      <w:color w:val="auto"/>
                      <w:u w:val="none" w:color="auto"/>
                      <w:vertAlign w:val="subscript"/>
                      <w:lang w:val="en-US" w:eastAsia="zh-CN"/>
                    </w:rPr>
                    <w:t>2.5</w:t>
                  </w:r>
                </w:p>
              </w:tc>
              <w:tc>
                <w:tcPr>
                  <w:tcW w:w="1757" w:type="dxa"/>
                  <w:tcBorders>
                    <w:tl2br w:val="nil"/>
                    <w:tr2bl w:val="nil"/>
                  </w:tcBorders>
                  <w:noWrap w:val="0"/>
                  <w:vAlign w:val="center"/>
                </w:tcPr>
                <w:p>
                  <w:pPr>
                    <w:pStyle w:val="186"/>
                    <w:spacing w:line="360" w:lineRule="auto"/>
                    <w:rPr>
                      <w:rFonts w:hint="eastAsia" w:eastAsia="宋体"/>
                      <w:color w:val="auto"/>
                      <w:u w:val="none" w:color="auto"/>
                      <w:lang w:val="en-US" w:eastAsia="zh-CN"/>
                    </w:rPr>
                  </w:pPr>
                  <w:r>
                    <w:rPr>
                      <w:rFonts w:hint="eastAsia"/>
                      <w:color w:val="auto"/>
                      <w:u w:val="none" w:color="auto"/>
                      <w:lang w:val="en-US" w:eastAsia="zh-CN"/>
                    </w:rPr>
                    <w:t>/</w:t>
                  </w:r>
                </w:p>
              </w:tc>
              <w:tc>
                <w:tcPr>
                  <w:tcW w:w="1787" w:type="dxa"/>
                  <w:tcBorders>
                    <w:tl2br w:val="nil"/>
                    <w:tr2bl w:val="nil"/>
                  </w:tcBorders>
                  <w:noWrap w:val="0"/>
                  <w:vAlign w:val="center"/>
                </w:tcPr>
                <w:p>
                  <w:pPr>
                    <w:pStyle w:val="186"/>
                    <w:spacing w:line="360" w:lineRule="auto"/>
                    <w:rPr>
                      <w:rFonts w:hint="eastAsia"/>
                      <w:color w:val="auto"/>
                      <w:u w:val="none" w:color="auto"/>
                      <w:lang w:val="en-US" w:eastAsia="zh-CN"/>
                    </w:rPr>
                  </w:pPr>
                  <w:r>
                    <w:rPr>
                      <w:rFonts w:hint="eastAsia"/>
                      <w:color w:val="auto"/>
                      <w:u w:val="none" w:color="auto"/>
                      <w:lang w:val="en-US" w:eastAsia="zh-CN"/>
                    </w:rPr>
                    <w:t>75</w:t>
                  </w:r>
                </w:p>
              </w:tc>
              <w:tc>
                <w:tcPr>
                  <w:tcW w:w="1781"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w:t>
                  </w:r>
                </w:p>
              </w:tc>
              <w:tc>
                <w:tcPr>
                  <w:tcW w:w="1776"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9" w:type="dxa"/>
                  <w:tcBorders>
                    <w:tl2br w:val="nil"/>
                    <w:tr2bl w:val="nil"/>
                  </w:tcBorders>
                  <w:noWrap w:val="0"/>
                  <w:vAlign w:val="center"/>
                </w:tcPr>
                <w:p>
                  <w:pPr>
                    <w:spacing w:line="360" w:lineRule="auto"/>
                    <w:jc w:val="center"/>
                    <w:rPr>
                      <w:rFonts w:hint="default"/>
                      <w:color w:val="auto"/>
                      <w:u w:val="none" w:color="auto"/>
                    </w:rPr>
                  </w:pPr>
                  <w:r>
                    <w:rPr>
                      <w:rFonts w:hint="eastAsia" w:ascii="Times New Roman" w:hAnsi="Times New Roman" w:cs="Times New Roman"/>
                      <w:color w:val="auto"/>
                      <w:u w:val="none" w:color="auto"/>
                      <w:lang w:val="en-US" w:eastAsia="zh-CN"/>
                    </w:rPr>
                    <w:t>C</w:t>
                  </w:r>
                  <w:r>
                    <w:rPr>
                      <w:rFonts w:hint="default" w:ascii="Times New Roman" w:hAnsi="Times New Roman" w:cs="Times New Roman"/>
                      <w:color w:val="auto"/>
                      <w:u w:val="none" w:color="auto"/>
                    </w:rPr>
                    <w:t>O</w:t>
                  </w:r>
                </w:p>
              </w:tc>
              <w:tc>
                <w:tcPr>
                  <w:tcW w:w="1757" w:type="dxa"/>
                  <w:tcBorders>
                    <w:tl2br w:val="nil"/>
                    <w:tr2bl w:val="nil"/>
                  </w:tcBorders>
                  <w:noWrap w:val="0"/>
                  <w:vAlign w:val="center"/>
                </w:tcPr>
                <w:p>
                  <w:pPr>
                    <w:pStyle w:val="186"/>
                    <w:spacing w:line="360" w:lineRule="auto"/>
                    <w:rPr>
                      <w:rFonts w:hint="eastAsia" w:eastAsia="宋体"/>
                      <w:color w:val="auto"/>
                      <w:u w:val="none" w:color="auto"/>
                      <w:lang w:val="en-US" w:eastAsia="zh-CN"/>
                    </w:rPr>
                  </w:pPr>
                  <w:r>
                    <w:rPr>
                      <w:rFonts w:hint="eastAsia"/>
                      <w:color w:val="auto"/>
                      <w:u w:val="none" w:color="auto"/>
                      <w:lang w:val="en-US" w:eastAsia="zh-CN"/>
                    </w:rPr>
                    <w:t>10000</w:t>
                  </w:r>
                </w:p>
              </w:tc>
              <w:tc>
                <w:tcPr>
                  <w:tcW w:w="1787" w:type="dxa"/>
                  <w:tcBorders>
                    <w:tl2br w:val="nil"/>
                    <w:tr2bl w:val="nil"/>
                  </w:tcBorders>
                  <w:noWrap w:val="0"/>
                  <w:vAlign w:val="center"/>
                </w:tcPr>
                <w:p>
                  <w:pPr>
                    <w:pStyle w:val="186"/>
                    <w:spacing w:line="360" w:lineRule="auto"/>
                    <w:rPr>
                      <w:rFonts w:hint="eastAsia"/>
                      <w:color w:val="auto"/>
                      <w:u w:val="none" w:color="auto"/>
                      <w:lang w:val="en-US" w:eastAsia="zh-CN"/>
                    </w:rPr>
                  </w:pPr>
                  <w:r>
                    <w:rPr>
                      <w:rFonts w:hint="eastAsia"/>
                      <w:color w:val="auto"/>
                      <w:u w:val="none" w:color="auto"/>
                      <w:lang w:val="en-US" w:eastAsia="zh-CN"/>
                    </w:rPr>
                    <w:t>4000</w:t>
                  </w:r>
                </w:p>
              </w:tc>
              <w:tc>
                <w:tcPr>
                  <w:tcW w:w="1781"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w:t>
                  </w:r>
                </w:p>
              </w:tc>
              <w:tc>
                <w:tcPr>
                  <w:tcW w:w="1776"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9" w:type="dxa"/>
                  <w:tcBorders>
                    <w:tl2br w:val="nil"/>
                    <w:tr2bl w:val="nil"/>
                  </w:tcBorders>
                  <w:noWrap w:val="0"/>
                  <w:vAlign w:val="center"/>
                </w:tcPr>
                <w:p>
                  <w:pPr>
                    <w:spacing w:line="360" w:lineRule="auto"/>
                    <w:jc w:val="center"/>
                    <w:rPr>
                      <w:rFonts w:hint="default"/>
                      <w:color w:val="auto"/>
                      <w:u w:val="none" w:color="auto"/>
                    </w:rPr>
                  </w:pPr>
                  <w:r>
                    <w:rPr>
                      <w:rFonts w:hint="default" w:ascii="Times New Roman" w:hAnsi="Times New Roman" w:cs="Times New Roman"/>
                      <w:color w:val="auto"/>
                      <w:u w:val="none" w:color="auto"/>
                    </w:rPr>
                    <w:t>O</w:t>
                  </w:r>
                  <w:r>
                    <w:rPr>
                      <w:rFonts w:hint="eastAsia" w:ascii="Times New Roman" w:hAnsi="Times New Roman" w:cs="Times New Roman"/>
                      <w:color w:val="auto"/>
                      <w:u w:val="none" w:color="auto"/>
                      <w:vertAlign w:val="subscript"/>
                      <w:lang w:val="en-US" w:eastAsia="zh-CN"/>
                    </w:rPr>
                    <w:t>3</w:t>
                  </w:r>
                </w:p>
              </w:tc>
              <w:tc>
                <w:tcPr>
                  <w:tcW w:w="1757" w:type="dxa"/>
                  <w:tcBorders>
                    <w:tl2br w:val="nil"/>
                    <w:tr2bl w:val="nil"/>
                  </w:tcBorders>
                  <w:noWrap w:val="0"/>
                  <w:vAlign w:val="center"/>
                </w:tcPr>
                <w:p>
                  <w:pPr>
                    <w:pStyle w:val="186"/>
                    <w:spacing w:line="360" w:lineRule="auto"/>
                    <w:rPr>
                      <w:rFonts w:hint="eastAsia" w:eastAsia="宋体"/>
                      <w:color w:val="auto"/>
                      <w:u w:val="none" w:color="auto"/>
                      <w:lang w:val="en-US" w:eastAsia="zh-CN"/>
                    </w:rPr>
                  </w:pPr>
                  <w:r>
                    <w:rPr>
                      <w:rFonts w:hint="eastAsia"/>
                      <w:color w:val="auto"/>
                      <w:u w:val="none" w:color="auto"/>
                      <w:lang w:val="en-US" w:eastAsia="zh-CN"/>
                    </w:rPr>
                    <w:t>200</w:t>
                  </w:r>
                </w:p>
              </w:tc>
              <w:tc>
                <w:tcPr>
                  <w:tcW w:w="1787" w:type="dxa"/>
                  <w:tcBorders>
                    <w:tl2br w:val="nil"/>
                    <w:tr2bl w:val="nil"/>
                  </w:tcBorders>
                  <w:noWrap w:val="0"/>
                  <w:vAlign w:val="center"/>
                </w:tcPr>
                <w:p>
                  <w:pPr>
                    <w:pStyle w:val="186"/>
                    <w:spacing w:line="360" w:lineRule="auto"/>
                    <w:rPr>
                      <w:rFonts w:hint="eastAsia"/>
                      <w:color w:val="auto"/>
                      <w:u w:val="none" w:color="auto"/>
                      <w:lang w:val="en-US" w:eastAsia="zh-CN"/>
                    </w:rPr>
                  </w:pPr>
                  <w:r>
                    <w:rPr>
                      <w:rFonts w:hint="eastAsia"/>
                      <w:color w:val="auto"/>
                      <w:u w:val="none" w:color="auto"/>
                      <w:lang w:val="en-US" w:eastAsia="zh-CN"/>
                    </w:rPr>
                    <w:t>/</w:t>
                  </w:r>
                </w:p>
              </w:tc>
              <w:tc>
                <w:tcPr>
                  <w:tcW w:w="1781"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160</w:t>
                  </w:r>
                </w:p>
              </w:tc>
              <w:tc>
                <w:tcPr>
                  <w:tcW w:w="1776" w:type="dxa"/>
                  <w:tcBorders>
                    <w:tl2br w:val="nil"/>
                    <w:tr2bl w:val="nil"/>
                  </w:tcBorders>
                  <w:noWrap w:val="0"/>
                  <w:vAlign w:val="center"/>
                </w:tcPr>
                <w:p>
                  <w:pPr>
                    <w:pStyle w:val="186"/>
                    <w:spacing w:line="360" w:lineRule="auto"/>
                    <w:rPr>
                      <w:rFonts w:hint="eastAsia" w:eastAsia="宋体"/>
                      <w:color w:val="auto"/>
                      <w:sz w:val="21"/>
                      <w:szCs w:val="21"/>
                      <w:u w:val="none" w:color="auto"/>
                      <w:lang w:val="en-US" w:eastAsia="zh-CN"/>
                    </w:rPr>
                  </w:pPr>
                  <w:r>
                    <w:rPr>
                      <w:rFonts w:hint="eastAsia"/>
                      <w:color w:val="auto"/>
                      <w:sz w:val="21"/>
                      <w:szCs w:val="21"/>
                      <w:u w:val="none" w:color="auto"/>
                      <w:lang w:val="en-US" w:eastAsia="zh-CN"/>
                    </w:rPr>
                    <w:t>/</w:t>
                  </w:r>
                </w:p>
              </w:tc>
            </w:tr>
          </w:tbl>
          <w:p>
            <w:pPr>
              <w:pStyle w:val="188"/>
              <w:rPr>
                <w:rFonts w:hint="default"/>
                <w:color w:val="auto"/>
                <w:u w:val="none" w:color="auto"/>
                <w:lang w:val="en-US" w:eastAsia="zh-CN"/>
              </w:rPr>
            </w:pPr>
            <w:r>
              <w:rPr>
                <w:rFonts w:hint="default"/>
                <w:color w:val="auto"/>
                <w:u w:val="none" w:color="auto"/>
                <w:lang w:val="en-US" w:eastAsia="zh-CN"/>
              </w:rPr>
              <w:t>表</w:t>
            </w:r>
            <w:r>
              <w:rPr>
                <w:rFonts w:hint="eastAsia"/>
                <w:color w:val="auto"/>
                <w:u w:val="none" w:color="auto"/>
                <w:lang w:val="en-US" w:eastAsia="zh-CN"/>
              </w:rPr>
              <w:t>4-2</w:t>
            </w:r>
            <w:r>
              <w:rPr>
                <w:rFonts w:hint="default"/>
                <w:color w:val="auto"/>
                <w:u w:val="none" w:color="auto"/>
                <w:lang w:val="en-US" w:eastAsia="zh-CN"/>
              </w:rPr>
              <w:t xml:space="preserve">   </w:t>
            </w:r>
            <w:r>
              <w:rPr>
                <w:rFonts w:hint="default"/>
                <w:color w:val="auto"/>
                <w:u w:val="none" w:color="auto"/>
              </w:rPr>
              <w:t>附录D</w:t>
            </w:r>
            <w:r>
              <w:rPr>
                <w:rFonts w:hint="eastAsia"/>
                <w:color w:val="auto"/>
                <w:u w:val="none" w:color="auto"/>
                <w:lang w:val="en-US" w:eastAsia="zh-CN"/>
              </w:rPr>
              <w:t>其他污染物空气质量浓度参考限值</w:t>
            </w:r>
            <w:r>
              <w:rPr>
                <w:rFonts w:hint="default"/>
                <w:color w:val="auto"/>
                <w:u w:val="none" w:color="auto"/>
                <w:lang w:val="en-US" w:eastAsia="zh-CN"/>
              </w:rPr>
              <w:t xml:space="preserve">  单位：ug/m</w:t>
            </w:r>
            <w:r>
              <w:rPr>
                <w:rFonts w:hint="default"/>
                <w:color w:val="auto"/>
                <w:u w:val="none" w:color="auto"/>
                <w:vertAlign w:val="superscript"/>
                <w:lang w:val="en-US" w:eastAsia="zh-CN"/>
              </w:rPr>
              <w:t>3</w:t>
            </w:r>
          </w:p>
          <w:tbl>
            <w:tblPr>
              <w:tblStyle w:val="40"/>
              <w:tblW w:w="84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2225"/>
              <w:gridCol w:w="2265"/>
              <w:gridCol w:w="2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restart"/>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污染物名称</w:t>
                  </w:r>
                </w:p>
              </w:tc>
              <w:tc>
                <w:tcPr>
                  <w:tcW w:w="6748" w:type="dxa"/>
                  <w:gridSpan w:val="3"/>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4" w:type="dxa"/>
                  <w:vMerge w:val="continue"/>
                  <w:tcBorders>
                    <w:tl2br w:val="nil"/>
                    <w:tr2bl w:val="nil"/>
                  </w:tcBorders>
                  <w:noWrap w:val="0"/>
                  <w:vAlign w:val="center"/>
                </w:tcPr>
                <w:p>
                  <w:pPr>
                    <w:pStyle w:val="186"/>
                    <w:spacing w:line="360" w:lineRule="auto"/>
                    <w:rPr>
                      <w:rFonts w:hint="default"/>
                      <w:color w:val="auto"/>
                      <w:u w:val="none" w:color="auto"/>
                    </w:rPr>
                  </w:pPr>
                </w:p>
              </w:tc>
              <w:tc>
                <w:tcPr>
                  <w:tcW w:w="2225"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1小时平均</w:t>
                  </w:r>
                </w:p>
              </w:tc>
              <w:tc>
                <w:tcPr>
                  <w:tcW w:w="2265" w:type="dxa"/>
                  <w:tcBorders>
                    <w:tl2br w:val="nil"/>
                    <w:tr2bl w:val="nil"/>
                  </w:tcBorders>
                  <w:noWrap w:val="0"/>
                  <w:vAlign w:val="center"/>
                </w:tcPr>
                <w:p>
                  <w:pPr>
                    <w:pStyle w:val="186"/>
                    <w:spacing w:line="360" w:lineRule="auto"/>
                    <w:rPr>
                      <w:rFonts w:hint="default"/>
                      <w:color w:val="auto"/>
                      <w:u w:val="none" w:color="auto"/>
                    </w:rPr>
                  </w:pPr>
                  <w:r>
                    <w:rPr>
                      <w:rFonts w:hint="default"/>
                      <w:color w:val="auto"/>
                      <w:u w:val="none" w:color="auto"/>
                    </w:rPr>
                    <w:t>日平均</w:t>
                  </w:r>
                </w:p>
              </w:tc>
              <w:tc>
                <w:tcPr>
                  <w:tcW w:w="2258" w:type="dxa"/>
                  <w:tcBorders>
                    <w:tl2br w:val="nil"/>
                    <w:tr2bl w:val="nil"/>
                  </w:tcBorders>
                  <w:noWrap w:val="0"/>
                  <w:vAlign w:val="center"/>
                </w:tcPr>
                <w:p>
                  <w:pPr>
                    <w:pStyle w:val="186"/>
                    <w:spacing w:line="360" w:lineRule="auto"/>
                    <w:rPr>
                      <w:rFonts w:hint="default"/>
                      <w:color w:val="auto"/>
                      <w:u w:val="none" w:color="auto"/>
                    </w:rPr>
                  </w:pPr>
                  <w:r>
                    <w:rPr>
                      <w:color w:val="auto"/>
                      <w:sz w:val="21"/>
                      <w:szCs w:val="21"/>
                      <w:u w:val="none" w:color="auto"/>
                    </w:rPr>
                    <w:t>8小时均值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684" w:type="dxa"/>
                  <w:tcBorders>
                    <w:tl2br w:val="nil"/>
                    <w:tr2bl w:val="nil"/>
                  </w:tcBorders>
                  <w:noWrap w:val="0"/>
                  <w:vAlign w:val="center"/>
                </w:tcPr>
                <w:p>
                  <w:pPr>
                    <w:pStyle w:val="186"/>
                    <w:spacing w:line="360" w:lineRule="auto"/>
                    <w:rPr>
                      <w:rFonts w:hint="default" w:eastAsia="宋体"/>
                      <w:color w:val="auto"/>
                      <w:u w:val="none" w:color="auto"/>
                      <w:lang w:val="en-US" w:eastAsia="zh-CN"/>
                    </w:rPr>
                  </w:pPr>
                  <w:r>
                    <w:rPr>
                      <w:rFonts w:hint="eastAsia"/>
                      <w:color w:val="auto"/>
                      <w:u w:val="none" w:color="auto"/>
                      <w:lang w:val="en-US" w:eastAsia="zh-CN"/>
                    </w:rPr>
                    <w:t>TVOC</w:t>
                  </w:r>
                </w:p>
              </w:tc>
              <w:tc>
                <w:tcPr>
                  <w:tcW w:w="2225" w:type="dxa"/>
                  <w:tcBorders>
                    <w:tl2br w:val="nil"/>
                    <w:tr2bl w:val="nil"/>
                  </w:tcBorders>
                  <w:noWrap w:val="0"/>
                  <w:vAlign w:val="center"/>
                </w:tcPr>
                <w:p>
                  <w:pPr>
                    <w:pStyle w:val="186"/>
                    <w:spacing w:line="360" w:lineRule="auto"/>
                    <w:rPr>
                      <w:rFonts w:hint="eastAsia" w:eastAsia="宋体"/>
                      <w:color w:val="auto"/>
                      <w:u w:val="none" w:color="auto"/>
                      <w:lang w:eastAsia="zh-CN"/>
                    </w:rPr>
                  </w:pPr>
                  <w:r>
                    <w:rPr>
                      <w:rFonts w:hint="eastAsia"/>
                      <w:color w:val="auto"/>
                      <w:u w:val="none" w:color="auto"/>
                      <w:lang w:val="en-US" w:eastAsia="zh-CN"/>
                    </w:rPr>
                    <w:t>/</w:t>
                  </w:r>
                </w:p>
              </w:tc>
              <w:tc>
                <w:tcPr>
                  <w:tcW w:w="2265" w:type="dxa"/>
                  <w:tcBorders>
                    <w:tl2br w:val="nil"/>
                    <w:tr2bl w:val="nil"/>
                  </w:tcBorders>
                  <w:noWrap w:val="0"/>
                  <w:vAlign w:val="center"/>
                </w:tcPr>
                <w:p>
                  <w:pPr>
                    <w:pStyle w:val="186"/>
                    <w:spacing w:line="360" w:lineRule="auto"/>
                    <w:rPr>
                      <w:rFonts w:hint="eastAsia" w:eastAsia="宋体"/>
                      <w:color w:val="auto"/>
                      <w:u w:val="none" w:color="auto"/>
                      <w:lang w:eastAsia="zh-CN"/>
                    </w:rPr>
                  </w:pPr>
                  <w:r>
                    <w:rPr>
                      <w:rFonts w:hint="eastAsia"/>
                      <w:color w:val="auto"/>
                      <w:u w:val="none" w:color="auto"/>
                      <w:lang w:val="en-US" w:eastAsia="zh-CN"/>
                    </w:rPr>
                    <w:t>/</w:t>
                  </w:r>
                </w:p>
              </w:tc>
              <w:tc>
                <w:tcPr>
                  <w:tcW w:w="2258" w:type="dxa"/>
                  <w:tcBorders>
                    <w:tl2br w:val="nil"/>
                    <w:tr2bl w:val="nil"/>
                  </w:tcBorders>
                  <w:noWrap w:val="0"/>
                  <w:vAlign w:val="center"/>
                </w:tcPr>
                <w:p>
                  <w:pPr>
                    <w:pStyle w:val="186"/>
                    <w:spacing w:line="360" w:lineRule="auto"/>
                    <w:rPr>
                      <w:rFonts w:hint="default" w:eastAsia="宋体"/>
                      <w:color w:val="auto"/>
                      <w:u w:val="none" w:color="auto"/>
                      <w:lang w:val="en-US" w:eastAsia="zh-CN"/>
                    </w:rPr>
                  </w:pPr>
                  <w:r>
                    <w:rPr>
                      <w:rFonts w:hint="eastAsia"/>
                      <w:color w:val="auto"/>
                      <w:sz w:val="21"/>
                      <w:szCs w:val="21"/>
                      <w:u w:val="none" w:color="auto"/>
                      <w:lang w:val="en-US" w:eastAsia="zh-CN"/>
                    </w:rPr>
                    <w:t>600</w:t>
                  </w:r>
                </w:p>
              </w:tc>
            </w:tr>
          </w:tbl>
          <w:p>
            <w:pPr>
              <w:pStyle w:val="167"/>
              <w:numPr>
                <w:ilvl w:val="0"/>
                <w:numId w:val="5"/>
              </w:numPr>
              <w:snapToGrid w:val="0"/>
              <w:spacing w:line="360" w:lineRule="auto"/>
              <w:ind w:firstLineChars="0"/>
              <w:rPr>
                <w:sz w:val="24"/>
                <w:u w:val="none" w:color="auto"/>
              </w:rPr>
            </w:pPr>
            <w:r>
              <w:rPr>
                <w:sz w:val="24"/>
                <w:u w:val="none" w:color="auto"/>
              </w:rPr>
              <w:t>地表水环境：执行《地表水环境质量标准》（GB3838-2002）中的</w:t>
            </w:r>
            <w:r>
              <w:rPr>
                <w:szCs w:val="21"/>
                <w:u w:val="none" w:color="auto"/>
              </w:rPr>
              <w:t>III</w:t>
            </w:r>
            <w:r>
              <w:rPr>
                <w:sz w:val="24"/>
                <w:u w:val="none" w:color="auto"/>
              </w:rPr>
              <w:t>类标准</w:t>
            </w:r>
          </w:p>
          <w:p>
            <w:pPr>
              <w:jc w:val="center"/>
              <w:rPr>
                <w:sz w:val="24"/>
                <w:szCs w:val="24"/>
                <w:u w:val="none" w:color="auto"/>
              </w:rPr>
            </w:pPr>
            <w:r>
              <w:rPr>
                <w:b/>
                <w:bCs/>
                <w:sz w:val="24"/>
                <w:u w:val="none" w:color="auto"/>
              </w:rPr>
              <w:t>表4-</w:t>
            </w:r>
            <w:r>
              <w:rPr>
                <w:rFonts w:hint="eastAsia"/>
                <w:b/>
                <w:bCs/>
                <w:sz w:val="24"/>
                <w:u w:val="none" w:color="auto"/>
                <w:lang w:val="en-US" w:eastAsia="zh-CN"/>
              </w:rPr>
              <w:t>3</w:t>
            </w:r>
            <w:r>
              <w:rPr>
                <w:b/>
                <w:bCs/>
                <w:sz w:val="24"/>
                <w:u w:val="none" w:color="auto"/>
              </w:rPr>
              <w:t xml:space="preserve">  《地表水环境质量标准》中的</w:t>
            </w:r>
            <w:r>
              <w:rPr>
                <w:szCs w:val="21"/>
                <w:u w:val="none" w:color="auto"/>
              </w:rPr>
              <w:t>III</w:t>
            </w:r>
            <w:r>
              <w:rPr>
                <w:b/>
                <w:bCs/>
                <w:sz w:val="24"/>
                <w:u w:val="none" w:color="auto"/>
              </w:rPr>
              <w:t>类标准</w:t>
            </w:r>
          </w:p>
          <w:tbl>
            <w:tblPr>
              <w:tblStyle w:val="40"/>
              <w:tblW w:w="84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91"/>
              <w:gridCol w:w="1212"/>
              <w:gridCol w:w="1212"/>
              <w:gridCol w:w="1213"/>
              <w:gridCol w:w="1212"/>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87" w:type="dxa"/>
                  <w:vAlign w:val="center"/>
                </w:tcPr>
                <w:p>
                  <w:pPr>
                    <w:spacing w:line="360" w:lineRule="auto"/>
                    <w:jc w:val="center"/>
                    <w:rPr>
                      <w:b/>
                      <w:bCs/>
                      <w:szCs w:val="21"/>
                      <w:u w:val="none" w:color="auto"/>
                    </w:rPr>
                  </w:pPr>
                  <w:r>
                    <w:rPr>
                      <w:b/>
                      <w:bCs/>
                      <w:szCs w:val="21"/>
                      <w:u w:val="none" w:color="auto"/>
                    </w:rPr>
                    <w:t>主要污</w:t>
                  </w:r>
                </w:p>
                <w:p>
                  <w:pPr>
                    <w:spacing w:line="360" w:lineRule="auto"/>
                    <w:jc w:val="center"/>
                    <w:rPr>
                      <w:b/>
                      <w:szCs w:val="21"/>
                      <w:u w:val="none" w:color="auto"/>
                    </w:rPr>
                  </w:pPr>
                  <w:r>
                    <w:rPr>
                      <w:b/>
                      <w:bCs/>
                      <w:szCs w:val="21"/>
                      <w:u w:val="none" w:color="auto"/>
                    </w:rPr>
                    <w:t>染物</w:t>
                  </w:r>
                </w:p>
              </w:tc>
              <w:tc>
                <w:tcPr>
                  <w:tcW w:w="1191" w:type="dxa"/>
                  <w:vAlign w:val="center"/>
                </w:tcPr>
                <w:p>
                  <w:pPr>
                    <w:spacing w:line="360" w:lineRule="auto"/>
                    <w:jc w:val="center"/>
                    <w:rPr>
                      <w:b/>
                      <w:szCs w:val="21"/>
                      <w:u w:val="none" w:color="auto"/>
                    </w:rPr>
                  </w:pPr>
                  <w:r>
                    <w:rPr>
                      <w:b/>
                      <w:bCs/>
                      <w:szCs w:val="21"/>
                      <w:u w:val="none" w:color="auto"/>
                    </w:rPr>
                    <w:t>pH</w:t>
                  </w:r>
                </w:p>
              </w:tc>
              <w:tc>
                <w:tcPr>
                  <w:tcW w:w="1212" w:type="dxa"/>
                  <w:vAlign w:val="center"/>
                </w:tcPr>
                <w:p>
                  <w:pPr>
                    <w:spacing w:line="360" w:lineRule="auto"/>
                    <w:jc w:val="center"/>
                    <w:rPr>
                      <w:b/>
                      <w:bCs/>
                      <w:szCs w:val="21"/>
                      <w:u w:val="none" w:color="auto"/>
                    </w:rPr>
                  </w:pPr>
                  <w:r>
                    <w:rPr>
                      <w:b/>
                      <w:bCs/>
                      <w:szCs w:val="21"/>
                      <w:u w:val="none" w:color="auto"/>
                    </w:rPr>
                    <w:t>COD</w:t>
                  </w:r>
                  <w:r>
                    <w:rPr>
                      <w:b/>
                      <w:bCs/>
                      <w:szCs w:val="21"/>
                      <w:u w:val="none" w:color="auto"/>
                      <w:vertAlign w:val="subscript"/>
                    </w:rPr>
                    <w:t>Cr</w:t>
                  </w:r>
                </w:p>
                <w:p>
                  <w:pPr>
                    <w:spacing w:line="360" w:lineRule="auto"/>
                    <w:jc w:val="center"/>
                    <w:rPr>
                      <w:b/>
                      <w:szCs w:val="21"/>
                      <w:u w:val="none" w:color="auto"/>
                    </w:rPr>
                  </w:pPr>
                  <w:r>
                    <w:rPr>
                      <w:b/>
                      <w:bCs/>
                      <w:szCs w:val="21"/>
                      <w:u w:val="none" w:color="auto"/>
                    </w:rPr>
                    <w:t>（mg/L）</w:t>
                  </w:r>
                </w:p>
              </w:tc>
              <w:tc>
                <w:tcPr>
                  <w:tcW w:w="1212" w:type="dxa"/>
                  <w:vAlign w:val="center"/>
                </w:tcPr>
                <w:p>
                  <w:pPr>
                    <w:spacing w:line="360" w:lineRule="auto"/>
                    <w:jc w:val="center"/>
                    <w:rPr>
                      <w:b/>
                      <w:bCs/>
                      <w:szCs w:val="21"/>
                      <w:u w:val="none" w:color="auto"/>
                    </w:rPr>
                  </w:pPr>
                  <w:r>
                    <w:rPr>
                      <w:b/>
                      <w:bCs/>
                      <w:szCs w:val="21"/>
                      <w:u w:val="none" w:color="auto"/>
                    </w:rPr>
                    <w:t>BOD</w:t>
                  </w:r>
                  <w:r>
                    <w:rPr>
                      <w:b/>
                      <w:bCs/>
                      <w:szCs w:val="21"/>
                      <w:u w:val="none" w:color="auto"/>
                      <w:vertAlign w:val="subscript"/>
                    </w:rPr>
                    <w:t>5</w:t>
                  </w:r>
                </w:p>
                <w:p>
                  <w:pPr>
                    <w:spacing w:line="360" w:lineRule="auto"/>
                    <w:jc w:val="center"/>
                    <w:rPr>
                      <w:b/>
                      <w:szCs w:val="21"/>
                      <w:u w:val="none" w:color="auto"/>
                    </w:rPr>
                  </w:pPr>
                  <w:r>
                    <w:rPr>
                      <w:b/>
                      <w:bCs/>
                      <w:szCs w:val="21"/>
                      <w:u w:val="none" w:color="auto"/>
                    </w:rPr>
                    <w:t>（mg/L）</w:t>
                  </w:r>
                </w:p>
              </w:tc>
              <w:tc>
                <w:tcPr>
                  <w:tcW w:w="1213" w:type="dxa"/>
                  <w:vAlign w:val="center"/>
                </w:tcPr>
                <w:p>
                  <w:pPr>
                    <w:spacing w:line="360" w:lineRule="auto"/>
                    <w:jc w:val="center"/>
                    <w:rPr>
                      <w:b/>
                      <w:bCs/>
                      <w:szCs w:val="21"/>
                      <w:u w:val="none" w:color="auto"/>
                    </w:rPr>
                  </w:pPr>
                  <w:r>
                    <w:rPr>
                      <w:b/>
                      <w:bCs/>
                      <w:szCs w:val="21"/>
                      <w:u w:val="none" w:color="auto"/>
                    </w:rPr>
                    <w:t>氨氮</w:t>
                  </w:r>
                </w:p>
                <w:p>
                  <w:pPr>
                    <w:spacing w:line="360" w:lineRule="auto"/>
                    <w:jc w:val="center"/>
                    <w:rPr>
                      <w:b/>
                      <w:szCs w:val="21"/>
                      <w:u w:val="none" w:color="auto"/>
                    </w:rPr>
                  </w:pPr>
                  <w:r>
                    <w:rPr>
                      <w:b/>
                      <w:bCs/>
                      <w:szCs w:val="21"/>
                      <w:u w:val="none" w:color="auto"/>
                    </w:rPr>
                    <w:t>（mg/L）</w:t>
                  </w:r>
                </w:p>
              </w:tc>
              <w:tc>
                <w:tcPr>
                  <w:tcW w:w="1212" w:type="dxa"/>
                  <w:vAlign w:val="center"/>
                </w:tcPr>
                <w:p>
                  <w:pPr>
                    <w:spacing w:line="360" w:lineRule="auto"/>
                    <w:jc w:val="center"/>
                    <w:rPr>
                      <w:b/>
                      <w:bCs/>
                      <w:szCs w:val="21"/>
                      <w:u w:val="none" w:color="auto"/>
                    </w:rPr>
                  </w:pPr>
                  <w:r>
                    <w:rPr>
                      <w:b/>
                      <w:bCs/>
                      <w:szCs w:val="21"/>
                      <w:u w:val="none" w:color="auto"/>
                    </w:rPr>
                    <w:t>DO</w:t>
                  </w:r>
                </w:p>
                <w:p>
                  <w:pPr>
                    <w:spacing w:line="360" w:lineRule="auto"/>
                    <w:jc w:val="center"/>
                    <w:rPr>
                      <w:b/>
                      <w:szCs w:val="21"/>
                      <w:u w:val="none" w:color="auto"/>
                    </w:rPr>
                  </w:pPr>
                  <w:r>
                    <w:rPr>
                      <w:b/>
                      <w:bCs/>
                      <w:szCs w:val="21"/>
                      <w:u w:val="none" w:color="auto"/>
                    </w:rPr>
                    <w:t>（mg/L）</w:t>
                  </w:r>
                </w:p>
              </w:tc>
              <w:tc>
                <w:tcPr>
                  <w:tcW w:w="1203" w:type="dxa"/>
                  <w:vAlign w:val="center"/>
                </w:tcPr>
                <w:p>
                  <w:pPr>
                    <w:spacing w:line="360" w:lineRule="auto"/>
                    <w:jc w:val="center"/>
                    <w:rPr>
                      <w:b/>
                      <w:szCs w:val="21"/>
                      <w:u w:val="none" w:color="auto"/>
                    </w:rPr>
                  </w:pPr>
                  <w:r>
                    <w:rPr>
                      <w:b/>
                      <w:bCs/>
                      <w:szCs w:val="21"/>
                      <w:u w:val="none" w:color="auto"/>
                    </w:rPr>
                    <w:t>石油类(mg/L)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187" w:type="dxa"/>
                  <w:vAlign w:val="center"/>
                </w:tcPr>
                <w:p>
                  <w:pPr>
                    <w:spacing w:line="360" w:lineRule="auto"/>
                    <w:jc w:val="center"/>
                    <w:rPr>
                      <w:szCs w:val="21"/>
                      <w:u w:val="none" w:color="auto"/>
                    </w:rPr>
                  </w:pPr>
                  <w:r>
                    <w:rPr>
                      <w:bCs/>
                      <w:szCs w:val="21"/>
                      <w:u w:val="none" w:color="auto"/>
                    </w:rPr>
                    <w:t>浓度限值</w:t>
                  </w:r>
                </w:p>
              </w:tc>
              <w:tc>
                <w:tcPr>
                  <w:tcW w:w="1191" w:type="dxa"/>
                  <w:vAlign w:val="center"/>
                </w:tcPr>
                <w:p>
                  <w:pPr>
                    <w:spacing w:line="360" w:lineRule="auto"/>
                    <w:jc w:val="center"/>
                    <w:rPr>
                      <w:szCs w:val="21"/>
                      <w:u w:val="none" w:color="auto"/>
                    </w:rPr>
                  </w:pPr>
                  <w:r>
                    <w:rPr>
                      <w:bCs/>
                      <w:szCs w:val="21"/>
                      <w:u w:val="none" w:color="auto"/>
                    </w:rPr>
                    <w:t>6～9</w:t>
                  </w:r>
                </w:p>
              </w:tc>
              <w:tc>
                <w:tcPr>
                  <w:tcW w:w="1212" w:type="dxa"/>
                  <w:vAlign w:val="center"/>
                </w:tcPr>
                <w:p>
                  <w:pPr>
                    <w:spacing w:line="360" w:lineRule="auto"/>
                    <w:jc w:val="center"/>
                    <w:rPr>
                      <w:szCs w:val="21"/>
                      <w:u w:val="none" w:color="auto"/>
                    </w:rPr>
                  </w:pPr>
                  <w:r>
                    <w:rPr>
                      <w:bCs/>
                      <w:szCs w:val="21"/>
                      <w:u w:val="none" w:color="auto"/>
                    </w:rPr>
                    <w:t>≤20</w:t>
                  </w:r>
                </w:p>
              </w:tc>
              <w:tc>
                <w:tcPr>
                  <w:tcW w:w="1212" w:type="dxa"/>
                  <w:vAlign w:val="center"/>
                </w:tcPr>
                <w:p>
                  <w:pPr>
                    <w:spacing w:line="360" w:lineRule="auto"/>
                    <w:jc w:val="center"/>
                    <w:rPr>
                      <w:szCs w:val="21"/>
                      <w:u w:val="none" w:color="auto"/>
                    </w:rPr>
                  </w:pPr>
                  <w:r>
                    <w:rPr>
                      <w:bCs/>
                      <w:szCs w:val="21"/>
                      <w:u w:val="none" w:color="auto"/>
                    </w:rPr>
                    <w:t>≤4.0</w:t>
                  </w:r>
                </w:p>
              </w:tc>
              <w:tc>
                <w:tcPr>
                  <w:tcW w:w="1213" w:type="dxa"/>
                  <w:vAlign w:val="center"/>
                </w:tcPr>
                <w:p>
                  <w:pPr>
                    <w:spacing w:line="360" w:lineRule="auto"/>
                    <w:jc w:val="center"/>
                    <w:rPr>
                      <w:szCs w:val="21"/>
                      <w:u w:val="none" w:color="auto"/>
                    </w:rPr>
                  </w:pPr>
                  <w:r>
                    <w:rPr>
                      <w:bCs/>
                      <w:szCs w:val="21"/>
                      <w:u w:val="none" w:color="auto"/>
                    </w:rPr>
                    <w:t>≤1.0</w:t>
                  </w:r>
                </w:p>
              </w:tc>
              <w:tc>
                <w:tcPr>
                  <w:tcW w:w="1212" w:type="dxa"/>
                  <w:vAlign w:val="center"/>
                </w:tcPr>
                <w:p>
                  <w:pPr>
                    <w:spacing w:line="360" w:lineRule="auto"/>
                    <w:jc w:val="center"/>
                    <w:rPr>
                      <w:szCs w:val="21"/>
                      <w:u w:val="none" w:color="auto"/>
                    </w:rPr>
                  </w:pPr>
                  <w:r>
                    <w:rPr>
                      <w:szCs w:val="21"/>
                      <w:u w:val="none" w:color="auto"/>
                    </w:rPr>
                    <w:t>≥5</w:t>
                  </w:r>
                </w:p>
              </w:tc>
              <w:tc>
                <w:tcPr>
                  <w:tcW w:w="1203" w:type="dxa"/>
                  <w:vAlign w:val="center"/>
                </w:tcPr>
                <w:p>
                  <w:pPr>
                    <w:spacing w:line="360" w:lineRule="auto"/>
                    <w:jc w:val="center"/>
                    <w:rPr>
                      <w:szCs w:val="21"/>
                      <w:u w:val="none" w:color="auto"/>
                    </w:rPr>
                  </w:pPr>
                  <w:r>
                    <w:rPr>
                      <w:bCs/>
                      <w:szCs w:val="21"/>
                      <w:u w:val="none" w:color="auto"/>
                    </w:rPr>
                    <w:t>≤0.05</w:t>
                  </w:r>
                </w:p>
              </w:tc>
            </w:tr>
          </w:tbl>
          <w:p>
            <w:pPr>
              <w:pStyle w:val="34"/>
              <w:numPr>
                <w:ilvl w:val="0"/>
                <w:numId w:val="0"/>
              </w:numPr>
              <w:spacing w:line="360" w:lineRule="auto"/>
              <w:ind w:leftChars="0"/>
              <w:rPr>
                <w:sz w:val="24"/>
                <w:u w:val="none" w:color="auto"/>
              </w:rPr>
            </w:pPr>
            <w:r>
              <w:rPr>
                <w:rFonts w:hint="eastAsia"/>
                <w:sz w:val="24"/>
                <w:u w:val="none" w:color="auto"/>
                <w:lang w:val="en-US" w:eastAsia="zh-CN"/>
              </w:rPr>
              <w:t>3、</w:t>
            </w:r>
            <w:r>
              <w:rPr>
                <w:sz w:val="24"/>
                <w:u w:val="none" w:color="auto"/>
              </w:rPr>
              <w:t>声环境：执行《声环境质量标准》（GB3096-</w:t>
            </w:r>
            <w:r>
              <w:rPr>
                <w:rFonts w:hint="eastAsia"/>
                <w:sz w:val="24"/>
                <w:u w:val="none" w:color="auto"/>
                <w:lang w:val="en-US" w:eastAsia="zh-CN"/>
              </w:rPr>
              <w:t>2008</w:t>
            </w:r>
            <w:r>
              <w:rPr>
                <w:sz w:val="24"/>
                <w:u w:val="none" w:color="auto"/>
              </w:rPr>
              <w:t>）中的</w:t>
            </w:r>
            <w:r>
              <w:rPr>
                <w:rFonts w:hint="eastAsia"/>
                <w:sz w:val="24"/>
                <w:u w:val="none" w:color="auto"/>
                <w:lang w:val="en-US" w:eastAsia="zh-CN"/>
              </w:rPr>
              <w:t>3</w:t>
            </w:r>
            <w:r>
              <w:rPr>
                <w:sz w:val="24"/>
                <w:u w:val="none" w:color="auto"/>
              </w:rPr>
              <w:t>类标准</w:t>
            </w:r>
          </w:p>
          <w:p>
            <w:pPr>
              <w:pStyle w:val="34"/>
              <w:ind w:left="0" w:leftChars="0" w:firstLine="462"/>
              <w:jc w:val="center"/>
              <w:rPr>
                <w:b/>
                <w:bCs/>
                <w:sz w:val="24"/>
                <w:u w:val="none" w:color="auto"/>
              </w:rPr>
            </w:pPr>
            <w:r>
              <w:rPr>
                <w:b/>
                <w:bCs/>
                <w:sz w:val="24"/>
                <w:u w:val="none" w:color="auto"/>
              </w:rPr>
              <w:t>表4-</w:t>
            </w:r>
            <w:r>
              <w:rPr>
                <w:rFonts w:hint="eastAsia"/>
                <w:b/>
                <w:bCs/>
                <w:sz w:val="24"/>
                <w:u w:val="none" w:color="auto"/>
                <w:lang w:val="en-US" w:eastAsia="zh-CN"/>
              </w:rPr>
              <w:t>4</w:t>
            </w:r>
            <w:r>
              <w:rPr>
                <w:b/>
                <w:bCs/>
                <w:sz w:val="24"/>
                <w:u w:val="none" w:color="auto"/>
              </w:rPr>
              <w:t xml:space="preserve">  《声环境质量标准》中的标准</w:t>
            </w:r>
          </w:p>
          <w:tbl>
            <w:tblPr>
              <w:tblStyle w:val="40"/>
              <w:tblW w:w="843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12"/>
              <w:gridCol w:w="2806"/>
              <w:gridCol w:w="28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812" w:type="dxa"/>
                  <w:vMerge w:val="restart"/>
                  <w:vAlign w:val="center"/>
                </w:tcPr>
                <w:p>
                  <w:pPr>
                    <w:pStyle w:val="34"/>
                    <w:ind w:left="0" w:leftChars="0" w:firstLine="462"/>
                    <w:jc w:val="center"/>
                    <w:rPr>
                      <w:b/>
                      <w:bCs/>
                      <w:szCs w:val="21"/>
                      <w:u w:val="none" w:color="auto"/>
                    </w:rPr>
                  </w:pPr>
                  <w:r>
                    <w:rPr>
                      <w:b/>
                      <w:bCs/>
                      <w:szCs w:val="21"/>
                      <w:u w:val="none" w:color="auto"/>
                    </w:rPr>
                    <w:t>声环境功能区类别</w:t>
                  </w:r>
                </w:p>
              </w:tc>
              <w:tc>
                <w:tcPr>
                  <w:tcW w:w="5618" w:type="dxa"/>
                  <w:gridSpan w:val="2"/>
                  <w:vAlign w:val="center"/>
                </w:tcPr>
                <w:p>
                  <w:pPr>
                    <w:pStyle w:val="34"/>
                    <w:ind w:left="0" w:leftChars="0" w:firstLine="462"/>
                    <w:jc w:val="center"/>
                    <w:rPr>
                      <w:b/>
                      <w:bCs/>
                      <w:szCs w:val="21"/>
                      <w:u w:val="none" w:color="auto"/>
                    </w:rPr>
                  </w:pPr>
                  <w:r>
                    <w:rPr>
                      <w:b/>
                      <w:bCs/>
                      <w:szCs w:val="21"/>
                      <w:u w:val="none" w:color="auto"/>
                    </w:rPr>
                    <w:t>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812" w:type="dxa"/>
                  <w:vMerge w:val="continue"/>
                  <w:vAlign w:val="center"/>
                </w:tcPr>
                <w:p>
                  <w:pPr>
                    <w:pStyle w:val="34"/>
                    <w:ind w:left="400" w:firstLine="462"/>
                    <w:jc w:val="center"/>
                    <w:rPr>
                      <w:b/>
                      <w:bCs/>
                      <w:szCs w:val="21"/>
                      <w:u w:val="none" w:color="auto"/>
                    </w:rPr>
                  </w:pPr>
                </w:p>
              </w:tc>
              <w:tc>
                <w:tcPr>
                  <w:tcW w:w="2806" w:type="dxa"/>
                  <w:vAlign w:val="center"/>
                </w:tcPr>
                <w:p>
                  <w:pPr>
                    <w:pStyle w:val="34"/>
                    <w:ind w:left="0" w:leftChars="0" w:firstLine="462"/>
                    <w:jc w:val="center"/>
                    <w:rPr>
                      <w:b/>
                      <w:bCs/>
                      <w:szCs w:val="21"/>
                      <w:u w:val="none" w:color="auto"/>
                    </w:rPr>
                  </w:pPr>
                  <w:r>
                    <w:rPr>
                      <w:b/>
                      <w:bCs/>
                      <w:szCs w:val="21"/>
                      <w:u w:val="none" w:color="auto"/>
                    </w:rPr>
                    <w:t>昼间</w:t>
                  </w:r>
                </w:p>
              </w:tc>
              <w:tc>
                <w:tcPr>
                  <w:tcW w:w="2812" w:type="dxa"/>
                  <w:vAlign w:val="center"/>
                </w:tcPr>
                <w:p>
                  <w:pPr>
                    <w:pStyle w:val="34"/>
                    <w:ind w:left="0" w:leftChars="0" w:firstLine="462"/>
                    <w:jc w:val="center"/>
                    <w:rPr>
                      <w:b/>
                      <w:bCs/>
                      <w:szCs w:val="21"/>
                      <w:u w:val="none" w:color="auto"/>
                    </w:rPr>
                  </w:pPr>
                  <w:r>
                    <w:rPr>
                      <w:b/>
                      <w:bCs/>
                      <w:szCs w:val="21"/>
                      <w:u w:val="none" w:color="auto"/>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2812" w:type="dxa"/>
                  <w:vAlign w:val="center"/>
                </w:tcPr>
                <w:p>
                  <w:pPr>
                    <w:pStyle w:val="34"/>
                    <w:ind w:left="0" w:leftChars="0" w:firstLine="460"/>
                    <w:jc w:val="center"/>
                    <w:rPr>
                      <w:szCs w:val="21"/>
                      <w:u w:val="none" w:color="auto"/>
                    </w:rPr>
                  </w:pPr>
                  <w:r>
                    <w:rPr>
                      <w:rFonts w:hint="eastAsia"/>
                      <w:szCs w:val="21"/>
                      <w:u w:val="none" w:color="auto"/>
                      <w:lang w:val="en-US" w:eastAsia="zh-CN"/>
                    </w:rPr>
                    <w:t>3</w:t>
                  </w:r>
                  <w:r>
                    <w:rPr>
                      <w:szCs w:val="21"/>
                      <w:u w:val="none" w:color="auto"/>
                    </w:rPr>
                    <w:t>类（dB(A)）</w:t>
                  </w:r>
                </w:p>
              </w:tc>
              <w:tc>
                <w:tcPr>
                  <w:tcW w:w="2806" w:type="dxa"/>
                  <w:vAlign w:val="center"/>
                </w:tcPr>
                <w:p>
                  <w:pPr>
                    <w:pStyle w:val="34"/>
                    <w:ind w:left="0" w:leftChars="0" w:firstLine="460"/>
                    <w:jc w:val="center"/>
                    <w:rPr>
                      <w:rFonts w:hint="eastAsia" w:eastAsia="宋体"/>
                      <w:szCs w:val="21"/>
                      <w:u w:val="none" w:color="auto"/>
                      <w:lang w:eastAsia="zh-CN"/>
                    </w:rPr>
                  </w:pPr>
                  <w:r>
                    <w:rPr>
                      <w:szCs w:val="21"/>
                      <w:u w:val="none" w:color="auto"/>
                    </w:rPr>
                    <w:t>6</w:t>
                  </w:r>
                  <w:r>
                    <w:rPr>
                      <w:rFonts w:hint="eastAsia"/>
                      <w:szCs w:val="21"/>
                      <w:u w:val="none" w:color="auto"/>
                      <w:lang w:val="en-US" w:eastAsia="zh-CN"/>
                    </w:rPr>
                    <w:t>5</w:t>
                  </w:r>
                </w:p>
              </w:tc>
              <w:tc>
                <w:tcPr>
                  <w:tcW w:w="2812" w:type="dxa"/>
                  <w:vAlign w:val="center"/>
                </w:tcPr>
                <w:p>
                  <w:pPr>
                    <w:pStyle w:val="34"/>
                    <w:ind w:left="0" w:leftChars="0" w:firstLine="460"/>
                    <w:jc w:val="center"/>
                    <w:rPr>
                      <w:rFonts w:hint="eastAsia" w:eastAsia="宋体"/>
                      <w:szCs w:val="21"/>
                      <w:u w:val="none" w:color="auto"/>
                      <w:lang w:val="en-US" w:eastAsia="zh-CN"/>
                    </w:rPr>
                  </w:pPr>
                  <w:r>
                    <w:rPr>
                      <w:szCs w:val="21"/>
                      <w:u w:val="none" w:color="auto"/>
                    </w:rPr>
                    <w:t>5</w:t>
                  </w:r>
                  <w:r>
                    <w:rPr>
                      <w:rFonts w:hint="eastAsia"/>
                      <w:szCs w:val="21"/>
                      <w:u w:val="none" w:color="auto"/>
                      <w:lang w:val="en-US" w:eastAsia="zh-CN"/>
                    </w:rPr>
                    <w:t>5</w:t>
                  </w:r>
                </w:p>
              </w:tc>
            </w:tr>
          </w:tbl>
          <w:p>
            <w:pPr>
              <w:pStyle w:val="167"/>
              <w:ind w:left="360" w:firstLine="0" w:firstLineChars="0"/>
              <w:rPr>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92" w:type="dxa"/>
            <w:vAlign w:val="center"/>
          </w:tcPr>
          <w:p>
            <w:pPr>
              <w:jc w:val="center"/>
              <w:rPr>
                <w:b/>
                <w:bCs/>
                <w:sz w:val="24"/>
                <w:szCs w:val="24"/>
                <w:u w:val="none" w:color="auto"/>
              </w:rPr>
            </w:pPr>
            <w:r>
              <w:rPr>
                <w:b/>
                <w:bCs/>
                <w:sz w:val="24"/>
                <w:szCs w:val="24"/>
                <w:u w:val="none" w:color="auto"/>
              </w:rPr>
              <w:t>污染物排放标准</w:t>
            </w:r>
          </w:p>
        </w:tc>
        <w:tc>
          <w:tcPr>
            <w:tcW w:w="8676" w:type="dxa"/>
            <w:vAlign w:val="center"/>
          </w:tcPr>
          <w:p>
            <w:pPr>
              <w:pStyle w:val="4"/>
              <w:adjustRightInd w:val="0"/>
              <w:snapToGrid w:val="0"/>
              <w:spacing w:line="360" w:lineRule="auto"/>
              <w:ind w:firstLineChars="175"/>
              <w:rPr>
                <w:sz w:val="24"/>
                <w:u w:val="none" w:color="auto"/>
              </w:rPr>
            </w:pPr>
            <w:r>
              <w:rPr>
                <w:rFonts w:hint="eastAsia"/>
                <w:kern w:val="0"/>
                <w:sz w:val="24"/>
                <w:szCs w:val="24"/>
                <w:u w:val="none" w:color="auto"/>
              </w:rPr>
              <w:t>1、</w:t>
            </w:r>
            <w:r>
              <w:rPr>
                <w:kern w:val="0"/>
                <w:sz w:val="24"/>
                <w:szCs w:val="24"/>
                <w:u w:val="none" w:color="auto"/>
              </w:rPr>
              <w:t>废水</w:t>
            </w:r>
            <w:r>
              <w:rPr>
                <w:sz w:val="24"/>
                <w:u w:val="none" w:color="auto"/>
              </w:rPr>
              <w:t>：</w:t>
            </w:r>
            <w:r>
              <w:rPr>
                <w:rFonts w:hint="eastAsia"/>
                <w:sz w:val="24"/>
                <w:szCs w:val="24"/>
                <w:u w:val="none" w:color="auto"/>
                <w:lang w:val="en-US" w:eastAsia="zh-CN"/>
              </w:rPr>
              <w:t>湘阴县第三污水处理厂建成且接通前：</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污水通过化粪池处理后排入园区污水管网再进入</w:t>
            </w:r>
            <w:r>
              <w:rPr>
                <w:rFonts w:hint="eastAsia"/>
                <w:sz w:val="24"/>
                <w:szCs w:val="24"/>
                <w:u w:val="none" w:color="auto"/>
                <w:lang w:eastAsia="zh-CN"/>
              </w:rPr>
              <w:t>卓达金谷创业园自建的污水处理站</w:t>
            </w:r>
            <w:r>
              <w:rPr>
                <w:sz w:val="24"/>
                <w:szCs w:val="24"/>
                <w:u w:val="none" w:color="auto"/>
              </w:rPr>
              <w:t>处理</w:t>
            </w:r>
            <w:r>
              <w:rPr>
                <w:rFonts w:hAnsi="宋体"/>
                <w:sz w:val="24"/>
                <w:szCs w:val="24"/>
                <w:u w:val="none" w:color="auto"/>
              </w:rPr>
              <w:t>达</w:t>
            </w:r>
            <w:r>
              <w:rPr>
                <w:rFonts w:hint="eastAsia" w:hAnsi="宋体"/>
                <w:sz w:val="24"/>
                <w:szCs w:val="24"/>
                <w:u w:val="none" w:color="auto"/>
                <w:lang w:eastAsia="zh-CN"/>
              </w:rPr>
              <w:t>到</w:t>
            </w:r>
            <w:r>
              <w:rPr>
                <w:sz w:val="24"/>
                <w:szCs w:val="24"/>
                <w:u w:val="none" w:color="auto"/>
              </w:rPr>
              <w:t>《城镇污水处理厂污染物排放标准（GB18918—2002）》中一级标准的A类标准后</w:t>
            </w:r>
            <w:r>
              <w:rPr>
                <w:rFonts w:hint="eastAsia"/>
                <w:sz w:val="24"/>
                <w:szCs w:val="24"/>
                <w:u w:val="none" w:color="auto"/>
                <w:lang w:eastAsia="zh-CN"/>
              </w:rPr>
              <w:t>进入洋沙河</w:t>
            </w:r>
            <w:r>
              <w:rPr>
                <w:rFonts w:hint="eastAsia"/>
                <w:sz w:val="24"/>
                <w:szCs w:val="24"/>
                <w:u w:val="none" w:color="auto"/>
                <w:lang w:val="en-US" w:eastAsia="zh-CN"/>
              </w:rPr>
              <w:t>流入洋沙湖</w:t>
            </w:r>
            <w:r>
              <w:rPr>
                <w:sz w:val="24"/>
                <w:szCs w:val="24"/>
                <w:u w:val="none" w:color="auto"/>
              </w:rPr>
              <w:t>，最终汇入湘江</w:t>
            </w:r>
            <w:r>
              <w:rPr>
                <w:rFonts w:hint="eastAsia"/>
                <w:sz w:val="24"/>
                <w:szCs w:val="24"/>
                <w:u w:val="none" w:color="auto"/>
                <w:lang w:eastAsia="zh-CN"/>
              </w:rPr>
              <w:t>。</w:t>
            </w:r>
            <w:r>
              <w:rPr>
                <w:rFonts w:hint="eastAsia"/>
                <w:sz w:val="24"/>
                <w:szCs w:val="24"/>
                <w:u w:val="none" w:color="auto"/>
                <w:lang w:val="en-US" w:eastAsia="zh-CN"/>
              </w:rPr>
              <w:t>湘阴县第三污水处理厂建成且接通后：</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w:t>
            </w:r>
            <w:r>
              <w:rPr>
                <w:rFonts w:hint="eastAsia"/>
                <w:sz w:val="24"/>
                <w:szCs w:val="24"/>
                <w:u w:val="none" w:color="auto"/>
                <w:lang w:val="en-US" w:eastAsia="zh-CN"/>
              </w:rPr>
              <w:t>进入湘阴县第三污水处理厂处理后排入洋沙河流入洋沙湖，最终进入湘江</w:t>
            </w:r>
            <w:r>
              <w:rPr>
                <w:rFonts w:hint="eastAsia"/>
                <w:sz w:val="24"/>
                <w:u w:val="none" w:color="auto"/>
                <w:lang w:eastAsia="zh-CN"/>
              </w:rPr>
              <w:t>，</w:t>
            </w:r>
            <w:r>
              <w:rPr>
                <w:rFonts w:hint="eastAsia"/>
                <w:sz w:val="24"/>
                <w:u w:val="none" w:color="auto"/>
                <w:lang w:val="en-US" w:eastAsia="zh-CN"/>
              </w:rPr>
              <w:t>冷却水循环使用，不外排</w:t>
            </w:r>
            <w:r>
              <w:rPr>
                <w:sz w:val="24"/>
                <w:u w:val="none" w:color="auto"/>
              </w:rPr>
              <w:t>。</w:t>
            </w:r>
          </w:p>
          <w:p>
            <w:pPr>
              <w:widowControl/>
              <w:snapToGrid w:val="0"/>
              <w:jc w:val="center"/>
              <w:rPr>
                <w:b/>
                <w:bCs/>
                <w:kern w:val="0"/>
                <w:sz w:val="24"/>
                <w:u w:val="none" w:color="auto"/>
              </w:rPr>
            </w:pPr>
            <w:r>
              <w:rPr>
                <w:b/>
                <w:bCs/>
                <w:kern w:val="0"/>
                <w:sz w:val="24"/>
                <w:u w:val="none" w:color="auto"/>
              </w:rPr>
              <w:t>表4-</w:t>
            </w:r>
            <w:r>
              <w:rPr>
                <w:rFonts w:hint="eastAsia"/>
                <w:b/>
                <w:bCs/>
                <w:kern w:val="0"/>
                <w:sz w:val="24"/>
                <w:u w:val="none" w:color="auto"/>
                <w:lang w:val="en-US" w:eastAsia="zh-CN"/>
              </w:rPr>
              <w:t>5</w:t>
            </w:r>
            <w:r>
              <w:rPr>
                <w:b/>
                <w:bCs/>
                <w:kern w:val="0"/>
                <w:sz w:val="24"/>
                <w:u w:val="none" w:color="auto"/>
              </w:rPr>
              <w:t xml:space="preserve"> 废水排放标准 （单位：mg/L，除pH外）</w:t>
            </w:r>
          </w:p>
          <w:tbl>
            <w:tblPr>
              <w:tblStyle w:val="40"/>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1"/>
              <w:gridCol w:w="1610"/>
              <w:gridCol w:w="55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2" w:hRule="atLeast"/>
              </w:trPr>
              <w:tc>
                <w:tcPr>
                  <w:tcW w:w="748" w:type="pct"/>
                  <w:vMerge w:val="restar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序号</w:t>
                  </w:r>
                </w:p>
              </w:tc>
              <w:tc>
                <w:tcPr>
                  <w:tcW w:w="955" w:type="pct"/>
                  <w:vMerge w:val="restar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项目</w:t>
                  </w:r>
                </w:p>
              </w:tc>
              <w:tc>
                <w:tcPr>
                  <w:tcW w:w="3296"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最高允许浓度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748" w:type="pct"/>
                  <w:vMerge w:val="continue"/>
                  <w:noWrap w:val="0"/>
                  <w:vAlign w:val="center"/>
                </w:tcPr>
                <w:p>
                  <w:pPr>
                    <w:pStyle w:val="5"/>
                    <w:adjustRightInd w:val="0"/>
                    <w:snapToGrid w:val="0"/>
                    <w:spacing w:after="0" w:line="360" w:lineRule="auto"/>
                    <w:jc w:val="center"/>
                    <w:rPr>
                      <w:sz w:val="22"/>
                      <w:szCs w:val="22"/>
                      <w:u w:val="none" w:color="auto"/>
                    </w:rPr>
                  </w:pPr>
                </w:p>
              </w:tc>
              <w:tc>
                <w:tcPr>
                  <w:tcW w:w="955" w:type="pct"/>
                  <w:vMerge w:val="continue"/>
                  <w:noWrap w:val="0"/>
                  <w:vAlign w:val="center"/>
                </w:tcPr>
                <w:p>
                  <w:pPr>
                    <w:pStyle w:val="5"/>
                    <w:adjustRightInd w:val="0"/>
                    <w:snapToGrid w:val="0"/>
                    <w:spacing w:after="0" w:line="360" w:lineRule="auto"/>
                    <w:jc w:val="center"/>
                    <w:rPr>
                      <w:sz w:val="22"/>
                      <w:szCs w:val="22"/>
                      <w:u w:val="none" w:color="auto"/>
                    </w:rPr>
                  </w:pPr>
                </w:p>
              </w:tc>
              <w:tc>
                <w:tcPr>
                  <w:tcW w:w="3296" w:type="pct"/>
                  <w:noWrap w:val="0"/>
                  <w:vAlign w:val="center"/>
                </w:tcPr>
                <w:p>
                  <w:pPr>
                    <w:pStyle w:val="5"/>
                    <w:adjustRightInd w:val="0"/>
                    <w:snapToGrid w:val="0"/>
                    <w:spacing w:after="0" w:line="360" w:lineRule="auto"/>
                    <w:jc w:val="center"/>
                    <w:rPr>
                      <w:sz w:val="22"/>
                      <w:szCs w:val="22"/>
                      <w:u w:val="none" w:color="auto"/>
                    </w:rPr>
                  </w:pPr>
                  <w:r>
                    <w:rPr>
                      <w:bCs/>
                      <w:sz w:val="22"/>
                      <w:szCs w:val="22"/>
                      <w:u w:val="none" w:color="auto"/>
                    </w:rPr>
                    <w:t>《城镇污水处理厂污染物排放标准（GB18918—2002）》中一级标准的A类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748"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1</w:t>
                  </w:r>
                </w:p>
              </w:tc>
              <w:tc>
                <w:tcPr>
                  <w:tcW w:w="955" w:type="pct"/>
                  <w:noWrap w:val="0"/>
                  <w:vAlign w:val="center"/>
                </w:tcPr>
                <w:p>
                  <w:pPr>
                    <w:pStyle w:val="5"/>
                    <w:adjustRightInd w:val="0"/>
                    <w:snapToGrid w:val="0"/>
                    <w:spacing w:after="0" w:line="360" w:lineRule="auto"/>
                    <w:jc w:val="center"/>
                    <w:rPr>
                      <w:rFonts w:hint="eastAsia" w:eastAsia="宋体"/>
                      <w:sz w:val="22"/>
                      <w:szCs w:val="22"/>
                      <w:u w:val="none" w:color="auto"/>
                      <w:lang w:val="en-US" w:eastAsia="zh-CN"/>
                    </w:rPr>
                  </w:pPr>
                  <w:r>
                    <w:rPr>
                      <w:sz w:val="22"/>
                      <w:szCs w:val="22"/>
                      <w:u w:val="none" w:color="auto"/>
                    </w:rPr>
                    <w:t>pH</w:t>
                  </w:r>
                  <w:r>
                    <w:rPr>
                      <w:rFonts w:hint="eastAsia"/>
                      <w:sz w:val="22"/>
                      <w:szCs w:val="22"/>
                      <w:u w:val="none" w:color="auto"/>
                      <w:lang w:val="en-US" w:eastAsia="zh-CN"/>
                    </w:rPr>
                    <w:t>值</w:t>
                  </w:r>
                </w:p>
              </w:tc>
              <w:tc>
                <w:tcPr>
                  <w:tcW w:w="3296"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 w:hRule="atLeast"/>
              </w:trPr>
              <w:tc>
                <w:tcPr>
                  <w:tcW w:w="748"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2</w:t>
                  </w:r>
                </w:p>
              </w:tc>
              <w:tc>
                <w:tcPr>
                  <w:tcW w:w="955"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COD</w:t>
                  </w:r>
                </w:p>
              </w:tc>
              <w:tc>
                <w:tcPr>
                  <w:tcW w:w="3296"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748"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3</w:t>
                  </w:r>
                </w:p>
              </w:tc>
              <w:tc>
                <w:tcPr>
                  <w:tcW w:w="955" w:type="pct"/>
                  <w:noWrap w:val="0"/>
                  <w:vAlign w:val="center"/>
                </w:tcPr>
                <w:p>
                  <w:pPr>
                    <w:pStyle w:val="5"/>
                    <w:adjustRightInd w:val="0"/>
                    <w:snapToGrid w:val="0"/>
                    <w:spacing w:after="0" w:line="360" w:lineRule="auto"/>
                    <w:jc w:val="center"/>
                    <w:rPr>
                      <w:sz w:val="22"/>
                      <w:szCs w:val="22"/>
                      <w:u w:val="none" w:color="auto"/>
                      <w:vertAlign w:val="subscript"/>
                    </w:rPr>
                  </w:pPr>
                  <w:r>
                    <w:rPr>
                      <w:sz w:val="22"/>
                      <w:szCs w:val="22"/>
                      <w:u w:val="none" w:color="auto"/>
                    </w:rPr>
                    <w:t>BOD</w:t>
                  </w:r>
                  <w:r>
                    <w:rPr>
                      <w:sz w:val="22"/>
                      <w:szCs w:val="22"/>
                      <w:u w:val="none" w:color="auto"/>
                      <w:vertAlign w:val="subscript"/>
                    </w:rPr>
                    <w:t>5</w:t>
                  </w:r>
                </w:p>
              </w:tc>
              <w:tc>
                <w:tcPr>
                  <w:tcW w:w="3296"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748"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4</w:t>
                  </w:r>
                </w:p>
              </w:tc>
              <w:tc>
                <w:tcPr>
                  <w:tcW w:w="955"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氨氮</w:t>
                  </w:r>
                </w:p>
              </w:tc>
              <w:tc>
                <w:tcPr>
                  <w:tcW w:w="3296"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 w:hRule="atLeast"/>
              </w:trPr>
              <w:tc>
                <w:tcPr>
                  <w:tcW w:w="748"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5</w:t>
                  </w:r>
                </w:p>
              </w:tc>
              <w:tc>
                <w:tcPr>
                  <w:tcW w:w="955"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SS</w:t>
                  </w:r>
                </w:p>
              </w:tc>
              <w:tc>
                <w:tcPr>
                  <w:tcW w:w="3296"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5" w:hRule="atLeast"/>
              </w:trPr>
              <w:tc>
                <w:tcPr>
                  <w:tcW w:w="748"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6</w:t>
                  </w:r>
                </w:p>
              </w:tc>
              <w:tc>
                <w:tcPr>
                  <w:tcW w:w="955"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石油类</w:t>
                  </w:r>
                </w:p>
              </w:tc>
              <w:tc>
                <w:tcPr>
                  <w:tcW w:w="3296"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748"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7</w:t>
                  </w:r>
                </w:p>
              </w:tc>
              <w:tc>
                <w:tcPr>
                  <w:tcW w:w="955"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TP</w:t>
                  </w:r>
                </w:p>
              </w:tc>
              <w:tc>
                <w:tcPr>
                  <w:tcW w:w="3296" w:type="pct"/>
                  <w:noWrap w:val="0"/>
                  <w:vAlign w:val="center"/>
                </w:tcPr>
                <w:p>
                  <w:pPr>
                    <w:pStyle w:val="5"/>
                    <w:adjustRightInd w:val="0"/>
                    <w:snapToGrid w:val="0"/>
                    <w:spacing w:after="0" w:line="360" w:lineRule="auto"/>
                    <w:jc w:val="center"/>
                    <w:rPr>
                      <w:sz w:val="22"/>
                      <w:szCs w:val="22"/>
                      <w:u w:val="none" w:color="auto"/>
                    </w:rPr>
                  </w:pPr>
                  <w:r>
                    <w:rPr>
                      <w:sz w:val="22"/>
                      <w:szCs w:val="22"/>
                      <w:u w:val="none" w:color="auto"/>
                    </w:rPr>
                    <w:t>0.5</w:t>
                  </w:r>
                </w:p>
              </w:tc>
            </w:tr>
          </w:tbl>
          <w:p>
            <w:pPr>
              <w:spacing w:line="360" w:lineRule="auto"/>
              <w:jc w:val="left"/>
              <w:rPr>
                <w:sz w:val="24"/>
                <w:szCs w:val="24"/>
                <w:u w:val="none" w:color="auto"/>
              </w:rPr>
            </w:pPr>
            <w:r>
              <w:rPr>
                <w:rFonts w:hint="eastAsia"/>
                <w:sz w:val="24"/>
                <w:szCs w:val="24"/>
                <w:u w:val="none" w:color="auto"/>
              </w:rPr>
              <w:t>2</w:t>
            </w:r>
            <w:r>
              <w:rPr>
                <w:kern w:val="0"/>
                <w:sz w:val="24"/>
                <w:szCs w:val="24"/>
                <w:u w:val="none" w:color="auto"/>
              </w:rPr>
              <w:t>、废气：</w:t>
            </w:r>
            <w:r>
              <w:rPr>
                <w:rFonts w:hint="eastAsia"/>
                <w:sz w:val="24"/>
                <w:szCs w:val="24"/>
                <w:u w:val="none" w:color="auto"/>
                <w:lang w:eastAsia="zh-CN"/>
              </w:rPr>
              <w:t>有机废气</w:t>
            </w:r>
            <w:r>
              <w:rPr>
                <w:rFonts w:hint="eastAsia"/>
                <w:sz w:val="24"/>
                <w:szCs w:val="24"/>
                <w:u w:val="none" w:color="auto"/>
              </w:rPr>
              <w:t>执行《</w:t>
            </w:r>
            <w:r>
              <w:rPr>
                <w:rFonts w:hint="eastAsia"/>
                <w:sz w:val="24"/>
                <w:szCs w:val="24"/>
                <w:u w:val="none" w:color="auto"/>
                <w:lang w:eastAsia="zh-CN"/>
              </w:rPr>
              <w:t>合成树脂工业污染物排放标准》</w:t>
            </w:r>
            <w:r>
              <w:rPr>
                <w:rFonts w:hint="eastAsia"/>
                <w:sz w:val="24"/>
                <w:szCs w:val="24"/>
                <w:u w:val="none" w:color="auto"/>
              </w:rPr>
              <w:t>（</w:t>
            </w:r>
            <w:r>
              <w:rPr>
                <w:rFonts w:hint="eastAsia"/>
                <w:sz w:val="24"/>
                <w:szCs w:val="24"/>
                <w:u w:val="none" w:color="auto"/>
                <w:lang w:val="en-US" w:eastAsia="zh-CN"/>
              </w:rPr>
              <w:t>GB31572-2015</w:t>
            </w:r>
            <w:r>
              <w:rPr>
                <w:rFonts w:hint="eastAsia"/>
                <w:sz w:val="24"/>
                <w:szCs w:val="24"/>
                <w:u w:val="none" w:color="auto"/>
              </w:rPr>
              <w:t>）表</w:t>
            </w:r>
            <w:r>
              <w:rPr>
                <w:rFonts w:hint="eastAsia"/>
                <w:sz w:val="24"/>
                <w:szCs w:val="24"/>
                <w:u w:val="none" w:color="auto"/>
                <w:lang w:val="en-US" w:eastAsia="zh-CN"/>
              </w:rPr>
              <w:t>4</w:t>
            </w:r>
            <w:r>
              <w:rPr>
                <w:rFonts w:hint="eastAsia"/>
                <w:sz w:val="24"/>
                <w:szCs w:val="24"/>
                <w:u w:val="none" w:color="auto"/>
              </w:rPr>
              <w:t xml:space="preserve"> </w:t>
            </w:r>
            <w:r>
              <w:rPr>
                <w:rFonts w:hint="eastAsia"/>
                <w:sz w:val="24"/>
                <w:szCs w:val="24"/>
                <w:u w:val="none" w:color="auto"/>
                <w:lang w:eastAsia="zh-CN"/>
              </w:rPr>
              <w:t>中的</w:t>
            </w:r>
            <w:r>
              <w:rPr>
                <w:rFonts w:hint="eastAsia"/>
                <w:sz w:val="24"/>
                <w:szCs w:val="24"/>
                <w:u w:val="none" w:color="auto"/>
              </w:rPr>
              <w:t>排放限值</w:t>
            </w:r>
            <w:r>
              <w:rPr>
                <w:rFonts w:hint="eastAsia"/>
                <w:sz w:val="24"/>
                <w:szCs w:val="24"/>
                <w:u w:val="none" w:color="auto"/>
                <w:lang w:eastAsia="zh-CN"/>
              </w:rPr>
              <w:t>及表</w:t>
            </w:r>
            <w:r>
              <w:rPr>
                <w:rFonts w:hint="eastAsia"/>
                <w:sz w:val="24"/>
                <w:szCs w:val="24"/>
                <w:u w:val="none" w:color="auto"/>
                <w:lang w:val="en-US" w:eastAsia="zh-CN"/>
              </w:rPr>
              <w:t>9无组织排放限值</w:t>
            </w:r>
            <w:r>
              <w:rPr>
                <w:rFonts w:hint="eastAsia" w:cs="Times New Roman"/>
                <w:color w:val="auto"/>
                <w:kern w:val="0"/>
                <w:sz w:val="24"/>
                <w:szCs w:val="24"/>
                <w:u w:val="none" w:color="auto"/>
                <w:lang w:val="en-US" w:eastAsia="zh-CN" w:bidi="ar"/>
              </w:rPr>
              <w:t>，印刷废气执行《印刷业挥发性有机物排放标准》（DB43/1357-2017）中排放标准</w:t>
            </w:r>
            <w:r>
              <w:rPr>
                <w:rFonts w:hint="eastAsia"/>
                <w:sz w:val="24"/>
                <w:szCs w:val="24"/>
                <w:u w:val="none" w:color="auto"/>
              </w:rPr>
              <w:t>。</w:t>
            </w:r>
          </w:p>
          <w:p>
            <w:pPr>
              <w:pStyle w:val="39"/>
              <w:adjustRightInd w:val="0"/>
              <w:snapToGrid w:val="0"/>
              <w:spacing w:after="0"/>
              <w:ind w:left="0" w:leftChars="0" w:firstLine="0" w:firstLineChars="0"/>
              <w:jc w:val="center"/>
              <w:rPr>
                <w:b/>
                <w:bCs w:val="0"/>
                <w:kern w:val="0"/>
                <w:sz w:val="24"/>
                <w:szCs w:val="24"/>
                <w:u w:val="none" w:color="auto"/>
              </w:rPr>
            </w:pPr>
            <w:r>
              <w:rPr>
                <w:rFonts w:hint="eastAsia"/>
                <w:b/>
                <w:bCs w:val="0"/>
                <w:kern w:val="0"/>
                <w:sz w:val="24"/>
                <w:szCs w:val="24"/>
                <w:u w:val="none" w:color="auto"/>
              </w:rPr>
              <w:t>表4</w:t>
            </w:r>
            <w:r>
              <w:rPr>
                <w:b/>
                <w:bCs w:val="0"/>
                <w:kern w:val="0"/>
                <w:sz w:val="24"/>
                <w:szCs w:val="24"/>
                <w:u w:val="none" w:color="auto"/>
              </w:rPr>
              <w:t>-</w:t>
            </w:r>
            <w:r>
              <w:rPr>
                <w:rFonts w:hint="eastAsia"/>
                <w:b/>
                <w:bCs w:val="0"/>
                <w:kern w:val="0"/>
                <w:sz w:val="24"/>
                <w:szCs w:val="24"/>
                <w:u w:val="none" w:color="auto"/>
                <w:lang w:val="en-US" w:eastAsia="zh-CN"/>
              </w:rPr>
              <w:t>6</w:t>
            </w:r>
            <w:r>
              <w:rPr>
                <w:b/>
                <w:bCs w:val="0"/>
                <w:kern w:val="0"/>
                <w:sz w:val="24"/>
                <w:szCs w:val="24"/>
                <w:u w:val="none" w:color="auto"/>
              </w:rPr>
              <w:t xml:space="preserve">   </w:t>
            </w:r>
            <w:r>
              <w:rPr>
                <w:rFonts w:hint="eastAsia"/>
                <w:b/>
                <w:bCs w:val="0"/>
                <w:sz w:val="24"/>
                <w:szCs w:val="24"/>
                <w:u w:val="none" w:color="auto"/>
              </w:rPr>
              <w:t>《</w:t>
            </w:r>
            <w:r>
              <w:rPr>
                <w:rFonts w:hint="eastAsia"/>
                <w:b/>
                <w:bCs w:val="0"/>
                <w:sz w:val="24"/>
                <w:szCs w:val="24"/>
                <w:u w:val="none" w:color="auto"/>
                <w:lang w:eastAsia="zh-CN"/>
              </w:rPr>
              <w:t>合成树脂工业污染物排放标准》</w:t>
            </w:r>
            <w:r>
              <w:rPr>
                <w:rFonts w:hint="eastAsia"/>
                <w:b/>
                <w:bCs w:val="0"/>
                <w:sz w:val="24"/>
                <w:szCs w:val="24"/>
                <w:u w:val="none" w:color="auto"/>
              </w:rPr>
              <w:t>（</w:t>
            </w:r>
            <w:r>
              <w:rPr>
                <w:rFonts w:hint="eastAsia"/>
                <w:b/>
                <w:bCs w:val="0"/>
                <w:sz w:val="24"/>
                <w:szCs w:val="24"/>
                <w:u w:val="none" w:color="auto"/>
                <w:lang w:val="en-US" w:eastAsia="zh-CN"/>
              </w:rPr>
              <w:t>GB31572-2015</w:t>
            </w:r>
            <w:r>
              <w:rPr>
                <w:rFonts w:hint="eastAsia"/>
                <w:b/>
                <w:bCs w:val="0"/>
                <w:sz w:val="24"/>
                <w:szCs w:val="24"/>
                <w:u w:val="none" w:color="auto"/>
              </w:rPr>
              <w:t>）</w:t>
            </w:r>
            <w:r>
              <w:rPr>
                <w:rFonts w:hint="eastAsia"/>
                <w:b/>
                <w:bCs w:val="0"/>
                <w:kern w:val="0"/>
                <w:sz w:val="24"/>
                <w:szCs w:val="24"/>
                <w:u w:val="none" w:color="auto"/>
              </w:rPr>
              <w:t>排放标准</w:t>
            </w:r>
          </w:p>
          <w:tbl>
            <w:tblPr>
              <w:tblStyle w:val="4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24"/>
              <w:gridCol w:w="1835"/>
              <w:gridCol w:w="1541"/>
              <w:gridCol w:w="2538"/>
              <w:gridCol w:w="14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607" w:type="pct"/>
                  <w:vMerge w:val="restart"/>
                  <w:vAlign w:val="center"/>
                </w:tcPr>
                <w:p>
                  <w:pPr>
                    <w:adjustRightInd w:val="0"/>
                    <w:snapToGrid w:val="0"/>
                    <w:spacing w:line="360" w:lineRule="auto"/>
                    <w:jc w:val="center"/>
                    <w:rPr>
                      <w:b/>
                      <w:sz w:val="22"/>
                      <w:szCs w:val="22"/>
                      <w:u w:val="none" w:color="auto"/>
                    </w:rPr>
                  </w:pPr>
                  <w:r>
                    <w:rPr>
                      <w:b/>
                      <w:sz w:val="22"/>
                      <w:szCs w:val="22"/>
                      <w:u w:val="none" w:color="auto"/>
                    </w:rPr>
                    <w:t>污染物</w:t>
                  </w:r>
                </w:p>
              </w:tc>
              <w:tc>
                <w:tcPr>
                  <w:tcW w:w="1088" w:type="pct"/>
                  <w:vMerge w:val="restart"/>
                  <w:vAlign w:val="center"/>
                </w:tcPr>
                <w:p>
                  <w:pPr>
                    <w:adjustRightInd w:val="0"/>
                    <w:snapToGrid w:val="0"/>
                    <w:spacing w:line="360" w:lineRule="auto"/>
                    <w:jc w:val="center"/>
                    <w:rPr>
                      <w:b/>
                      <w:sz w:val="22"/>
                      <w:szCs w:val="22"/>
                      <w:u w:val="none" w:color="auto"/>
                    </w:rPr>
                  </w:pPr>
                  <w:r>
                    <w:rPr>
                      <w:b/>
                      <w:sz w:val="22"/>
                      <w:szCs w:val="22"/>
                      <w:u w:val="none" w:color="auto"/>
                    </w:rPr>
                    <w:t>最高允许排放浓度(mg/m</w:t>
                  </w:r>
                  <w:r>
                    <w:rPr>
                      <w:b/>
                      <w:sz w:val="22"/>
                      <w:szCs w:val="22"/>
                      <w:u w:val="none" w:color="auto"/>
                      <w:vertAlign w:val="superscript"/>
                    </w:rPr>
                    <w:t>3</w:t>
                  </w:r>
                  <w:r>
                    <w:rPr>
                      <w:rFonts w:hint="eastAsia"/>
                      <w:b/>
                      <w:sz w:val="22"/>
                      <w:szCs w:val="22"/>
                      <w:u w:val="none" w:color="auto"/>
                    </w:rPr>
                    <w:t>)</w:t>
                  </w:r>
                </w:p>
              </w:tc>
              <w:tc>
                <w:tcPr>
                  <w:tcW w:w="914" w:type="pct"/>
                  <w:vMerge w:val="restart"/>
                  <w:vAlign w:val="center"/>
                </w:tcPr>
                <w:p>
                  <w:pPr>
                    <w:adjustRightInd w:val="0"/>
                    <w:snapToGrid w:val="0"/>
                    <w:spacing w:line="360" w:lineRule="auto"/>
                    <w:jc w:val="center"/>
                    <w:rPr>
                      <w:b/>
                      <w:sz w:val="22"/>
                      <w:szCs w:val="22"/>
                      <w:u w:val="none" w:color="auto"/>
                    </w:rPr>
                  </w:pPr>
                  <w:r>
                    <w:rPr>
                      <w:b/>
                      <w:sz w:val="22"/>
                      <w:szCs w:val="22"/>
                      <w:u w:val="none" w:color="auto"/>
                    </w:rPr>
                    <w:t>最高允许排放</w:t>
                  </w:r>
                  <w:r>
                    <w:rPr>
                      <w:rFonts w:hint="eastAsia"/>
                      <w:b/>
                      <w:sz w:val="22"/>
                      <w:szCs w:val="22"/>
                      <w:u w:val="none" w:color="auto"/>
                    </w:rPr>
                    <w:t>速率（k</w:t>
                  </w:r>
                  <w:r>
                    <w:rPr>
                      <w:b/>
                      <w:sz w:val="22"/>
                      <w:szCs w:val="22"/>
                      <w:u w:val="none" w:color="auto"/>
                    </w:rPr>
                    <w:t>g/h</w:t>
                  </w:r>
                  <w:r>
                    <w:rPr>
                      <w:rFonts w:hint="eastAsia"/>
                      <w:b/>
                      <w:sz w:val="22"/>
                      <w:szCs w:val="22"/>
                      <w:u w:val="none" w:color="auto"/>
                    </w:rPr>
                    <w:t>）</w:t>
                  </w:r>
                </w:p>
              </w:tc>
              <w:tc>
                <w:tcPr>
                  <w:tcW w:w="2389" w:type="pct"/>
                  <w:gridSpan w:val="2"/>
                  <w:vAlign w:val="center"/>
                </w:tcPr>
                <w:p>
                  <w:pPr>
                    <w:adjustRightInd w:val="0"/>
                    <w:snapToGrid w:val="0"/>
                    <w:spacing w:line="360" w:lineRule="auto"/>
                    <w:jc w:val="center"/>
                    <w:rPr>
                      <w:b/>
                      <w:sz w:val="22"/>
                      <w:szCs w:val="22"/>
                      <w:u w:val="none" w:color="auto"/>
                    </w:rPr>
                  </w:pPr>
                  <w:r>
                    <w:rPr>
                      <w:b/>
                      <w:sz w:val="22"/>
                      <w:szCs w:val="22"/>
                      <w:u w:val="none" w:color="auto"/>
                    </w:rPr>
                    <w:t xml:space="preserve">无组织排放监测浓度限值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607" w:type="pct"/>
                  <w:vMerge w:val="continue"/>
                  <w:vAlign w:val="center"/>
                </w:tcPr>
                <w:p>
                  <w:pPr>
                    <w:adjustRightInd w:val="0"/>
                    <w:snapToGrid w:val="0"/>
                    <w:spacing w:line="360" w:lineRule="auto"/>
                    <w:jc w:val="center"/>
                    <w:rPr>
                      <w:b/>
                      <w:sz w:val="22"/>
                      <w:szCs w:val="22"/>
                      <w:u w:val="none" w:color="auto"/>
                    </w:rPr>
                  </w:pPr>
                </w:p>
              </w:tc>
              <w:tc>
                <w:tcPr>
                  <w:tcW w:w="1088" w:type="pct"/>
                  <w:vMerge w:val="continue"/>
                  <w:vAlign w:val="center"/>
                </w:tcPr>
                <w:p>
                  <w:pPr>
                    <w:adjustRightInd w:val="0"/>
                    <w:snapToGrid w:val="0"/>
                    <w:spacing w:line="360" w:lineRule="auto"/>
                    <w:jc w:val="center"/>
                    <w:rPr>
                      <w:b/>
                      <w:sz w:val="22"/>
                      <w:szCs w:val="22"/>
                      <w:u w:val="none" w:color="auto"/>
                    </w:rPr>
                  </w:pPr>
                </w:p>
              </w:tc>
              <w:tc>
                <w:tcPr>
                  <w:tcW w:w="914" w:type="pct"/>
                  <w:vMerge w:val="continue"/>
                </w:tcPr>
                <w:p>
                  <w:pPr>
                    <w:adjustRightInd w:val="0"/>
                    <w:snapToGrid w:val="0"/>
                    <w:spacing w:line="360" w:lineRule="auto"/>
                    <w:jc w:val="center"/>
                    <w:rPr>
                      <w:b/>
                      <w:sz w:val="22"/>
                      <w:szCs w:val="22"/>
                      <w:u w:val="none" w:color="auto"/>
                    </w:rPr>
                  </w:pPr>
                </w:p>
              </w:tc>
              <w:tc>
                <w:tcPr>
                  <w:tcW w:w="1505" w:type="pct"/>
                  <w:vAlign w:val="center"/>
                </w:tcPr>
                <w:p>
                  <w:pPr>
                    <w:adjustRightInd w:val="0"/>
                    <w:snapToGrid w:val="0"/>
                    <w:spacing w:line="360" w:lineRule="auto"/>
                    <w:jc w:val="center"/>
                    <w:rPr>
                      <w:b/>
                      <w:sz w:val="22"/>
                      <w:szCs w:val="22"/>
                      <w:u w:val="none" w:color="auto"/>
                    </w:rPr>
                  </w:pPr>
                  <w:r>
                    <w:rPr>
                      <w:rFonts w:hint="eastAsia"/>
                      <w:b/>
                      <w:sz w:val="22"/>
                      <w:szCs w:val="22"/>
                      <w:u w:val="none" w:color="auto"/>
                    </w:rPr>
                    <w:t>监控点</w:t>
                  </w:r>
                </w:p>
              </w:tc>
              <w:tc>
                <w:tcPr>
                  <w:tcW w:w="884" w:type="pct"/>
                  <w:vAlign w:val="center"/>
                </w:tcPr>
                <w:p>
                  <w:pPr>
                    <w:adjustRightInd w:val="0"/>
                    <w:snapToGrid w:val="0"/>
                    <w:spacing w:line="360" w:lineRule="auto"/>
                    <w:jc w:val="center"/>
                    <w:rPr>
                      <w:b/>
                      <w:sz w:val="22"/>
                      <w:szCs w:val="22"/>
                      <w:u w:val="none" w:color="auto"/>
                    </w:rPr>
                  </w:pPr>
                  <w:r>
                    <w:rPr>
                      <w:rFonts w:hint="eastAsia"/>
                      <w:b/>
                      <w:sz w:val="22"/>
                      <w:szCs w:val="22"/>
                      <w:u w:val="none" w:color="auto"/>
                    </w:rPr>
                    <w:t>浓度</w:t>
                  </w:r>
                  <w:r>
                    <w:rPr>
                      <w:b/>
                      <w:sz w:val="22"/>
                      <w:szCs w:val="22"/>
                      <w:u w:val="none" w:color="auto"/>
                    </w:rPr>
                    <w:t>(mg/m</w:t>
                  </w:r>
                  <w:r>
                    <w:rPr>
                      <w:b/>
                      <w:sz w:val="22"/>
                      <w:szCs w:val="22"/>
                      <w:u w:val="none" w:color="auto"/>
                      <w:vertAlign w:val="superscript"/>
                    </w:rPr>
                    <w:t>3</w:t>
                  </w:r>
                  <w:r>
                    <w:rPr>
                      <w:b/>
                      <w:sz w:val="22"/>
                      <w:szCs w:val="22"/>
                      <w:u w:val="none" w:color="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07" w:type="pct"/>
                  <w:vAlign w:val="center"/>
                </w:tcPr>
                <w:p>
                  <w:pPr>
                    <w:adjustRightInd w:val="0"/>
                    <w:snapToGrid w:val="0"/>
                    <w:spacing w:line="360" w:lineRule="auto"/>
                    <w:jc w:val="center"/>
                    <w:rPr>
                      <w:rFonts w:hint="eastAsia"/>
                      <w:sz w:val="22"/>
                      <w:szCs w:val="22"/>
                      <w:u w:val="none" w:color="auto"/>
                      <w:lang w:eastAsia="zh-CN"/>
                    </w:rPr>
                  </w:pPr>
                  <w:r>
                    <w:rPr>
                      <w:rFonts w:hint="eastAsia"/>
                      <w:sz w:val="22"/>
                      <w:szCs w:val="22"/>
                      <w:u w:val="none" w:color="auto"/>
                      <w:lang w:eastAsia="zh-CN"/>
                    </w:rPr>
                    <w:t>非甲烷</w:t>
                  </w:r>
                </w:p>
                <w:p>
                  <w:pPr>
                    <w:adjustRightInd w:val="0"/>
                    <w:snapToGrid w:val="0"/>
                    <w:spacing w:line="360" w:lineRule="auto"/>
                    <w:jc w:val="center"/>
                    <w:rPr>
                      <w:rFonts w:hint="eastAsia" w:eastAsia="宋体"/>
                      <w:sz w:val="22"/>
                      <w:szCs w:val="22"/>
                      <w:u w:val="none" w:color="auto"/>
                      <w:lang w:eastAsia="zh-CN"/>
                    </w:rPr>
                  </w:pPr>
                  <w:r>
                    <w:rPr>
                      <w:rFonts w:hint="eastAsia"/>
                      <w:sz w:val="22"/>
                      <w:szCs w:val="22"/>
                      <w:u w:val="none" w:color="auto"/>
                      <w:lang w:eastAsia="zh-CN"/>
                    </w:rPr>
                    <w:t>总烃</w:t>
                  </w:r>
                </w:p>
              </w:tc>
              <w:tc>
                <w:tcPr>
                  <w:tcW w:w="1088" w:type="pct"/>
                  <w:vAlign w:val="center"/>
                </w:tcPr>
                <w:p>
                  <w:pPr>
                    <w:adjustRightInd w:val="0"/>
                    <w:snapToGrid w:val="0"/>
                    <w:spacing w:line="360" w:lineRule="auto"/>
                    <w:jc w:val="center"/>
                    <w:rPr>
                      <w:rFonts w:hint="default" w:eastAsia="宋体"/>
                      <w:sz w:val="22"/>
                      <w:szCs w:val="22"/>
                      <w:u w:val="none" w:color="auto"/>
                      <w:lang w:val="en-US" w:eastAsia="zh-CN"/>
                    </w:rPr>
                  </w:pPr>
                  <w:r>
                    <w:rPr>
                      <w:rFonts w:hint="eastAsia"/>
                      <w:sz w:val="22"/>
                      <w:szCs w:val="22"/>
                      <w:u w:val="none" w:color="auto"/>
                      <w:lang w:val="en-US" w:eastAsia="zh-CN"/>
                    </w:rPr>
                    <w:t>100</w:t>
                  </w:r>
                </w:p>
              </w:tc>
              <w:tc>
                <w:tcPr>
                  <w:tcW w:w="914" w:type="pct"/>
                  <w:vAlign w:val="center"/>
                </w:tcPr>
                <w:p>
                  <w:pPr>
                    <w:adjustRightInd w:val="0"/>
                    <w:snapToGrid w:val="0"/>
                    <w:spacing w:line="360" w:lineRule="auto"/>
                    <w:jc w:val="center"/>
                    <w:rPr>
                      <w:rFonts w:hint="eastAsia" w:eastAsia="宋体"/>
                      <w:sz w:val="22"/>
                      <w:szCs w:val="22"/>
                      <w:u w:val="none" w:color="auto"/>
                      <w:lang w:eastAsia="zh-CN"/>
                    </w:rPr>
                  </w:pPr>
                  <w:r>
                    <w:rPr>
                      <w:rFonts w:hint="eastAsia"/>
                      <w:sz w:val="22"/>
                      <w:szCs w:val="22"/>
                      <w:u w:val="none" w:color="auto"/>
                      <w:lang w:val="en-US" w:eastAsia="zh-CN"/>
                    </w:rPr>
                    <w:t>/</w:t>
                  </w:r>
                </w:p>
              </w:tc>
              <w:tc>
                <w:tcPr>
                  <w:tcW w:w="1505" w:type="pct"/>
                  <w:vAlign w:val="center"/>
                </w:tcPr>
                <w:p>
                  <w:pPr>
                    <w:adjustRightInd w:val="0"/>
                    <w:snapToGrid w:val="0"/>
                    <w:spacing w:line="360" w:lineRule="auto"/>
                    <w:jc w:val="center"/>
                    <w:rPr>
                      <w:sz w:val="22"/>
                      <w:szCs w:val="22"/>
                      <w:u w:val="none" w:color="auto"/>
                    </w:rPr>
                  </w:pPr>
                  <w:r>
                    <w:rPr>
                      <w:rFonts w:hint="eastAsia"/>
                      <w:sz w:val="22"/>
                      <w:szCs w:val="22"/>
                      <w:u w:val="none" w:color="auto"/>
                    </w:rPr>
                    <w:t>周界外浓度最高点</w:t>
                  </w:r>
                </w:p>
              </w:tc>
              <w:tc>
                <w:tcPr>
                  <w:tcW w:w="884" w:type="pct"/>
                  <w:vAlign w:val="center"/>
                </w:tcPr>
                <w:p>
                  <w:pPr>
                    <w:adjustRightInd w:val="0"/>
                    <w:snapToGrid w:val="0"/>
                    <w:spacing w:line="360" w:lineRule="auto"/>
                    <w:jc w:val="center"/>
                    <w:rPr>
                      <w:rFonts w:hint="default" w:eastAsia="宋体"/>
                      <w:sz w:val="22"/>
                      <w:szCs w:val="22"/>
                      <w:u w:val="none" w:color="auto"/>
                      <w:lang w:val="en-US" w:eastAsia="zh-CN"/>
                    </w:rPr>
                  </w:pPr>
                  <w:r>
                    <w:rPr>
                      <w:rFonts w:hint="eastAsia"/>
                      <w:sz w:val="22"/>
                      <w:szCs w:val="22"/>
                      <w:u w:val="none" w:color="auto"/>
                      <w:lang w:val="en-US" w:eastAsia="zh-CN"/>
                    </w:rPr>
                    <w:t>4.0</w:t>
                  </w:r>
                </w:p>
              </w:tc>
            </w:tr>
          </w:tbl>
          <w:p>
            <w:pPr>
              <w:pStyle w:val="39"/>
              <w:adjustRightInd w:val="0"/>
              <w:snapToGrid w:val="0"/>
              <w:spacing w:after="0"/>
              <w:ind w:left="0" w:leftChars="0" w:firstLine="0" w:firstLineChars="0"/>
              <w:jc w:val="center"/>
              <w:rPr>
                <w:b/>
                <w:bCs w:val="0"/>
                <w:kern w:val="0"/>
                <w:sz w:val="24"/>
                <w:szCs w:val="24"/>
                <w:u w:val="none" w:color="auto"/>
              </w:rPr>
            </w:pPr>
            <w:r>
              <w:rPr>
                <w:rFonts w:hint="eastAsia"/>
                <w:b/>
                <w:bCs w:val="0"/>
                <w:kern w:val="0"/>
                <w:sz w:val="24"/>
                <w:szCs w:val="24"/>
                <w:u w:val="none" w:color="auto"/>
              </w:rPr>
              <w:t>表4</w:t>
            </w:r>
            <w:r>
              <w:rPr>
                <w:b/>
                <w:bCs w:val="0"/>
                <w:kern w:val="0"/>
                <w:sz w:val="24"/>
                <w:szCs w:val="24"/>
                <w:u w:val="none" w:color="auto"/>
              </w:rPr>
              <w:t>-</w:t>
            </w:r>
            <w:r>
              <w:rPr>
                <w:rFonts w:hint="eastAsia"/>
                <w:b/>
                <w:bCs w:val="0"/>
                <w:kern w:val="0"/>
                <w:sz w:val="24"/>
                <w:szCs w:val="24"/>
                <w:u w:val="none" w:color="auto"/>
                <w:lang w:val="en-US" w:eastAsia="zh-CN"/>
              </w:rPr>
              <w:t>7</w:t>
            </w:r>
            <w:r>
              <w:rPr>
                <w:b/>
                <w:bCs w:val="0"/>
                <w:kern w:val="0"/>
                <w:sz w:val="24"/>
                <w:szCs w:val="24"/>
                <w:u w:val="none" w:color="auto"/>
              </w:rPr>
              <w:t xml:space="preserve">  </w:t>
            </w:r>
            <w:r>
              <w:rPr>
                <w:rFonts w:hint="eastAsia" w:cs="Times New Roman"/>
                <w:b/>
                <w:bCs w:val="0"/>
                <w:color w:val="auto"/>
                <w:kern w:val="0"/>
                <w:sz w:val="24"/>
                <w:szCs w:val="24"/>
                <w:u w:val="none" w:color="auto"/>
                <w:lang w:val="en-US" w:eastAsia="zh-CN" w:bidi="ar"/>
              </w:rPr>
              <w:t>《印刷业挥发性有机物排放标准》（DB43/1357-2017）</w:t>
            </w:r>
            <w:r>
              <w:rPr>
                <w:rFonts w:hint="eastAsia"/>
                <w:b/>
                <w:bCs w:val="0"/>
                <w:kern w:val="0"/>
                <w:sz w:val="24"/>
                <w:szCs w:val="24"/>
                <w:u w:val="none" w:color="auto"/>
              </w:rPr>
              <w:t>排放标准</w:t>
            </w:r>
          </w:p>
          <w:tbl>
            <w:tblPr>
              <w:tblStyle w:val="40"/>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74"/>
              <w:gridCol w:w="3865"/>
              <w:gridCol w:w="24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1230" w:type="pct"/>
                  <w:vMerge w:val="restart"/>
                  <w:vAlign w:val="center"/>
                </w:tcPr>
                <w:p>
                  <w:pPr>
                    <w:adjustRightInd w:val="0"/>
                    <w:snapToGrid w:val="0"/>
                    <w:spacing w:line="360" w:lineRule="auto"/>
                    <w:jc w:val="center"/>
                    <w:rPr>
                      <w:b/>
                      <w:sz w:val="22"/>
                      <w:szCs w:val="22"/>
                      <w:u w:val="none" w:color="auto"/>
                    </w:rPr>
                  </w:pPr>
                  <w:r>
                    <w:rPr>
                      <w:b/>
                      <w:sz w:val="22"/>
                      <w:szCs w:val="22"/>
                      <w:u w:val="none" w:color="auto"/>
                    </w:rPr>
                    <w:t>污染物</w:t>
                  </w:r>
                </w:p>
              </w:tc>
              <w:tc>
                <w:tcPr>
                  <w:tcW w:w="3769" w:type="pct"/>
                  <w:gridSpan w:val="2"/>
                  <w:vAlign w:val="center"/>
                </w:tcPr>
                <w:p>
                  <w:pPr>
                    <w:adjustRightInd w:val="0"/>
                    <w:snapToGrid w:val="0"/>
                    <w:spacing w:line="360" w:lineRule="auto"/>
                    <w:jc w:val="center"/>
                    <w:rPr>
                      <w:b/>
                      <w:sz w:val="22"/>
                      <w:szCs w:val="22"/>
                      <w:u w:val="none" w:color="auto"/>
                    </w:rPr>
                  </w:pPr>
                  <w:r>
                    <w:rPr>
                      <w:b/>
                      <w:sz w:val="22"/>
                      <w:szCs w:val="22"/>
                      <w:u w:val="none" w:color="auto"/>
                    </w:rPr>
                    <w:t xml:space="preserve">无组织排放监测浓度限值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230" w:type="pct"/>
                  <w:vMerge w:val="continue"/>
                  <w:vAlign w:val="center"/>
                </w:tcPr>
                <w:p>
                  <w:pPr>
                    <w:adjustRightInd w:val="0"/>
                    <w:snapToGrid w:val="0"/>
                    <w:spacing w:line="360" w:lineRule="auto"/>
                    <w:jc w:val="center"/>
                    <w:rPr>
                      <w:b/>
                      <w:sz w:val="22"/>
                      <w:szCs w:val="22"/>
                      <w:u w:val="none" w:color="auto"/>
                    </w:rPr>
                  </w:pPr>
                </w:p>
              </w:tc>
              <w:tc>
                <w:tcPr>
                  <w:tcW w:w="2292" w:type="pct"/>
                  <w:vAlign w:val="center"/>
                </w:tcPr>
                <w:p>
                  <w:pPr>
                    <w:adjustRightInd w:val="0"/>
                    <w:snapToGrid w:val="0"/>
                    <w:spacing w:line="360" w:lineRule="auto"/>
                    <w:jc w:val="center"/>
                    <w:rPr>
                      <w:b/>
                      <w:sz w:val="22"/>
                      <w:szCs w:val="22"/>
                      <w:u w:val="none" w:color="auto"/>
                    </w:rPr>
                  </w:pPr>
                  <w:r>
                    <w:rPr>
                      <w:rFonts w:hint="eastAsia"/>
                      <w:b/>
                      <w:sz w:val="22"/>
                      <w:szCs w:val="22"/>
                      <w:u w:val="none" w:color="auto"/>
                    </w:rPr>
                    <w:t>监控点</w:t>
                  </w:r>
                </w:p>
              </w:tc>
              <w:tc>
                <w:tcPr>
                  <w:tcW w:w="1476" w:type="pct"/>
                  <w:vAlign w:val="center"/>
                </w:tcPr>
                <w:p>
                  <w:pPr>
                    <w:adjustRightInd w:val="0"/>
                    <w:snapToGrid w:val="0"/>
                    <w:spacing w:line="360" w:lineRule="auto"/>
                    <w:jc w:val="center"/>
                    <w:rPr>
                      <w:b/>
                      <w:sz w:val="22"/>
                      <w:szCs w:val="22"/>
                      <w:u w:val="none" w:color="auto"/>
                    </w:rPr>
                  </w:pPr>
                  <w:r>
                    <w:rPr>
                      <w:rFonts w:hint="eastAsia"/>
                      <w:b/>
                      <w:sz w:val="22"/>
                      <w:szCs w:val="22"/>
                      <w:u w:val="none" w:color="auto"/>
                    </w:rPr>
                    <w:t>浓度</w:t>
                  </w:r>
                  <w:r>
                    <w:rPr>
                      <w:b/>
                      <w:sz w:val="22"/>
                      <w:szCs w:val="22"/>
                      <w:u w:val="none" w:color="auto"/>
                    </w:rPr>
                    <w:t>(mg/m</w:t>
                  </w:r>
                  <w:r>
                    <w:rPr>
                      <w:b/>
                      <w:sz w:val="22"/>
                      <w:szCs w:val="22"/>
                      <w:u w:val="none" w:color="auto"/>
                      <w:vertAlign w:val="superscript"/>
                    </w:rPr>
                    <w:t>3</w:t>
                  </w:r>
                  <w:r>
                    <w:rPr>
                      <w:b/>
                      <w:sz w:val="22"/>
                      <w:szCs w:val="22"/>
                      <w:u w:val="none" w:color="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230" w:type="pct"/>
                  <w:vMerge w:val="restart"/>
                  <w:vAlign w:val="center"/>
                </w:tcPr>
                <w:p>
                  <w:pPr>
                    <w:adjustRightInd w:val="0"/>
                    <w:snapToGrid w:val="0"/>
                    <w:spacing w:line="360" w:lineRule="auto"/>
                    <w:jc w:val="center"/>
                    <w:rPr>
                      <w:rFonts w:hint="eastAsia" w:eastAsia="宋体"/>
                      <w:sz w:val="22"/>
                      <w:szCs w:val="22"/>
                      <w:u w:val="none" w:color="auto"/>
                      <w:lang w:eastAsia="zh-CN"/>
                    </w:rPr>
                  </w:pPr>
                  <w:r>
                    <w:rPr>
                      <w:rFonts w:hint="eastAsia"/>
                      <w:sz w:val="22"/>
                      <w:szCs w:val="22"/>
                      <w:u w:val="none" w:color="auto"/>
                      <w:lang w:eastAsia="zh-CN"/>
                    </w:rPr>
                    <w:t>非甲烷总烃</w:t>
                  </w:r>
                </w:p>
              </w:tc>
              <w:tc>
                <w:tcPr>
                  <w:tcW w:w="2292" w:type="pct"/>
                  <w:vAlign w:val="center"/>
                </w:tcPr>
                <w:p>
                  <w:pPr>
                    <w:adjustRightInd w:val="0"/>
                    <w:snapToGrid w:val="0"/>
                    <w:spacing w:line="360" w:lineRule="auto"/>
                    <w:jc w:val="center"/>
                    <w:rPr>
                      <w:rFonts w:hint="eastAsia" w:eastAsia="宋体"/>
                      <w:sz w:val="22"/>
                      <w:szCs w:val="22"/>
                      <w:u w:val="none" w:color="auto"/>
                      <w:lang w:eastAsia="zh-CN"/>
                    </w:rPr>
                  </w:pPr>
                  <w:r>
                    <w:rPr>
                      <w:rFonts w:hint="eastAsia"/>
                      <w:sz w:val="22"/>
                      <w:szCs w:val="22"/>
                      <w:u w:val="none" w:color="auto"/>
                      <w:lang w:val="en-US" w:eastAsia="zh-CN"/>
                    </w:rPr>
                    <w:t>厂界</w:t>
                  </w:r>
                </w:p>
              </w:tc>
              <w:tc>
                <w:tcPr>
                  <w:tcW w:w="1476" w:type="pct"/>
                  <w:vAlign w:val="center"/>
                </w:tcPr>
                <w:p>
                  <w:pPr>
                    <w:adjustRightInd w:val="0"/>
                    <w:snapToGrid w:val="0"/>
                    <w:spacing w:line="360" w:lineRule="auto"/>
                    <w:jc w:val="center"/>
                    <w:rPr>
                      <w:rFonts w:hint="default" w:eastAsia="宋体"/>
                      <w:sz w:val="22"/>
                      <w:szCs w:val="22"/>
                      <w:u w:val="none" w:color="auto"/>
                      <w:lang w:val="en-US" w:eastAsia="zh-CN"/>
                    </w:rPr>
                  </w:pPr>
                  <w:r>
                    <w:rPr>
                      <w:rFonts w:hint="eastAsia"/>
                      <w:sz w:val="22"/>
                      <w:szCs w:val="22"/>
                      <w:u w:val="none" w:color="auto"/>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230" w:type="pct"/>
                  <w:vMerge w:val="continue"/>
                  <w:vAlign w:val="center"/>
                </w:tcPr>
                <w:p>
                  <w:pPr>
                    <w:adjustRightInd w:val="0"/>
                    <w:snapToGrid w:val="0"/>
                    <w:spacing w:line="360" w:lineRule="auto"/>
                    <w:jc w:val="center"/>
                    <w:rPr>
                      <w:rFonts w:hint="eastAsia"/>
                      <w:sz w:val="22"/>
                      <w:szCs w:val="22"/>
                      <w:u w:val="none" w:color="auto"/>
                      <w:lang w:eastAsia="zh-CN"/>
                    </w:rPr>
                  </w:pPr>
                </w:p>
              </w:tc>
              <w:tc>
                <w:tcPr>
                  <w:tcW w:w="2292" w:type="pct"/>
                  <w:vAlign w:val="center"/>
                </w:tcPr>
                <w:p>
                  <w:pPr>
                    <w:adjustRightInd w:val="0"/>
                    <w:snapToGrid w:val="0"/>
                    <w:spacing w:line="360" w:lineRule="auto"/>
                    <w:jc w:val="center"/>
                    <w:rPr>
                      <w:rFonts w:hint="eastAsia" w:eastAsia="宋体"/>
                      <w:sz w:val="22"/>
                      <w:szCs w:val="22"/>
                      <w:u w:val="none" w:color="auto"/>
                      <w:lang w:val="en-US" w:eastAsia="zh-CN"/>
                    </w:rPr>
                  </w:pPr>
                  <w:r>
                    <w:rPr>
                      <w:rFonts w:hint="eastAsia"/>
                      <w:sz w:val="22"/>
                      <w:szCs w:val="22"/>
                      <w:u w:val="none" w:color="auto"/>
                      <w:lang w:val="en-US" w:eastAsia="zh-CN"/>
                    </w:rPr>
                    <w:t>厂区</w:t>
                  </w:r>
                </w:p>
              </w:tc>
              <w:tc>
                <w:tcPr>
                  <w:tcW w:w="1476" w:type="pct"/>
                  <w:vAlign w:val="center"/>
                </w:tcPr>
                <w:p>
                  <w:pPr>
                    <w:adjustRightInd w:val="0"/>
                    <w:snapToGrid w:val="0"/>
                    <w:spacing w:line="360" w:lineRule="auto"/>
                    <w:jc w:val="center"/>
                    <w:rPr>
                      <w:rFonts w:hint="default"/>
                      <w:sz w:val="22"/>
                      <w:szCs w:val="22"/>
                      <w:u w:val="none" w:color="auto"/>
                      <w:lang w:val="en-US" w:eastAsia="zh-CN"/>
                    </w:rPr>
                  </w:pPr>
                  <w:r>
                    <w:rPr>
                      <w:rFonts w:hint="eastAsia"/>
                      <w:sz w:val="22"/>
                      <w:szCs w:val="22"/>
                      <w:u w:val="none" w:color="auto"/>
                      <w:lang w:val="en-US" w:eastAsia="zh-CN"/>
                    </w:rPr>
                    <w:t>10.0</w:t>
                  </w:r>
                </w:p>
              </w:tc>
            </w:tr>
          </w:tbl>
          <w:p>
            <w:pPr>
              <w:pStyle w:val="39"/>
              <w:adjustRightInd w:val="0"/>
              <w:snapToGrid w:val="0"/>
              <w:spacing w:after="0" w:line="360" w:lineRule="auto"/>
              <w:ind w:left="0" w:leftChars="0" w:firstLine="0" w:firstLineChars="0"/>
              <w:rPr>
                <w:sz w:val="24"/>
                <w:szCs w:val="24"/>
                <w:u w:val="none" w:color="auto"/>
              </w:rPr>
            </w:pPr>
            <w:r>
              <w:rPr>
                <w:kern w:val="0"/>
                <w:sz w:val="24"/>
                <w:szCs w:val="24"/>
                <w:u w:val="none" w:color="auto"/>
              </w:rPr>
              <w:t>3、噪声</w:t>
            </w:r>
            <w:r>
              <w:rPr>
                <w:rFonts w:hint="eastAsia"/>
                <w:kern w:val="0"/>
                <w:sz w:val="24"/>
                <w:szCs w:val="24"/>
                <w:u w:val="none" w:color="auto"/>
              </w:rPr>
              <w:t>：</w:t>
            </w:r>
            <w:r>
              <w:rPr>
                <w:sz w:val="24"/>
                <w:szCs w:val="24"/>
                <w:u w:val="none" w:color="auto"/>
              </w:rPr>
              <w:t>噪声执行《工业企业厂界环境噪声排放标准》（GB12348-2008）</w:t>
            </w:r>
            <w:r>
              <w:rPr>
                <w:rFonts w:hint="eastAsia"/>
                <w:sz w:val="24"/>
                <w:szCs w:val="24"/>
                <w:u w:val="none" w:color="auto"/>
                <w:lang w:val="en-US" w:eastAsia="zh-CN"/>
              </w:rPr>
              <w:t>3</w:t>
            </w:r>
            <w:r>
              <w:rPr>
                <w:sz w:val="24"/>
                <w:szCs w:val="24"/>
                <w:u w:val="none" w:color="auto"/>
              </w:rPr>
              <w:t>类标准。</w:t>
            </w:r>
          </w:p>
          <w:p>
            <w:pPr>
              <w:pStyle w:val="39"/>
              <w:adjustRightInd w:val="0"/>
              <w:snapToGrid w:val="0"/>
              <w:spacing w:after="0"/>
              <w:ind w:left="0" w:leftChars="0" w:firstLine="0" w:firstLineChars="0"/>
              <w:jc w:val="center"/>
              <w:rPr>
                <w:b/>
                <w:bCs/>
                <w:sz w:val="24"/>
                <w:szCs w:val="24"/>
                <w:u w:val="none" w:color="auto"/>
              </w:rPr>
            </w:pPr>
            <w:r>
              <w:rPr>
                <w:b/>
                <w:bCs/>
                <w:sz w:val="24"/>
                <w:szCs w:val="24"/>
                <w:u w:val="none" w:color="auto"/>
              </w:rPr>
              <w:t>表4-</w:t>
            </w:r>
            <w:r>
              <w:rPr>
                <w:rFonts w:hint="eastAsia"/>
                <w:b/>
                <w:bCs/>
                <w:sz w:val="24"/>
                <w:szCs w:val="24"/>
                <w:u w:val="none" w:color="auto"/>
                <w:lang w:val="en-US" w:eastAsia="zh-CN"/>
              </w:rPr>
              <w:t>8</w:t>
            </w:r>
            <w:r>
              <w:rPr>
                <w:b/>
                <w:bCs/>
                <w:sz w:val="24"/>
                <w:szCs w:val="24"/>
                <w:u w:val="none" w:color="auto"/>
              </w:rPr>
              <w:t xml:space="preserve">  </w:t>
            </w:r>
            <w:r>
              <w:rPr>
                <w:b/>
                <w:sz w:val="24"/>
                <w:szCs w:val="24"/>
                <w:u w:val="none" w:color="auto"/>
              </w:rPr>
              <w:t>工业企业厂界环境噪声排放标准</w:t>
            </w:r>
            <w:r>
              <w:rPr>
                <w:b/>
                <w:bCs/>
                <w:sz w:val="24"/>
                <w:szCs w:val="24"/>
                <w:u w:val="none" w:color="auto"/>
              </w:rPr>
              <w:t xml:space="preserve">  单位dB(A)</w:t>
            </w:r>
          </w:p>
          <w:tbl>
            <w:tblPr>
              <w:tblStyle w:val="40"/>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803"/>
              <w:gridCol w:w="28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pct"/>
                  <w:vMerge w:val="restart"/>
                  <w:vAlign w:val="center"/>
                </w:tcPr>
                <w:p>
                  <w:pPr>
                    <w:pStyle w:val="34"/>
                    <w:spacing w:line="360" w:lineRule="auto"/>
                    <w:ind w:left="0" w:leftChars="0"/>
                    <w:jc w:val="center"/>
                    <w:rPr>
                      <w:sz w:val="22"/>
                      <w:szCs w:val="22"/>
                      <w:u w:val="none" w:color="auto"/>
                    </w:rPr>
                  </w:pPr>
                  <w:r>
                    <w:rPr>
                      <w:b/>
                      <w:bCs/>
                      <w:sz w:val="22"/>
                      <w:szCs w:val="22"/>
                      <w:u w:val="none" w:color="auto"/>
                    </w:rPr>
                    <w:t>功能区类别</w:t>
                  </w:r>
                </w:p>
              </w:tc>
              <w:tc>
                <w:tcPr>
                  <w:tcW w:w="3330" w:type="pct"/>
                  <w:gridSpan w:val="2"/>
                  <w:vAlign w:val="center"/>
                </w:tcPr>
                <w:p>
                  <w:pPr>
                    <w:pStyle w:val="34"/>
                    <w:spacing w:line="360" w:lineRule="auto"/>
                    <w:ind w:left="0" w:leftChars="0"/>
                    <w:jc w:val="center"/>
                    <w:rPr>
                      <w:sz w:val="22"/>
                      <w:szCs w:val="22"/>
                      <w:u w:val="none" w:color="auto"/>
                    </w:rPr>
                  </w:pPr>
                  <w:r>
                    <w:rPr>
                      <w:b/>
                      <w:bCs/>
                      <w:sz w:val="22"/>
                      <w:szCs w:val="22"/>
                      <w:u w:val="none" w:color="auto"/>
                    </w:rPr>
                    <w:t>时段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pct"/>
                  <w:vMerge w:val="continue"/>
                  <w:vAlign w:val="center"/>
                </w:tcPr>
                <w:p>
                  <w:pPr>
                    <w:pStyle w:val="34"/>
                    <w:spacing w:line="360" w:lineRule="auto"/>
                    <w:ind w:left="0" w:leftChars="0"/>
                    <w:jc w:val="center"/>
                    <w:rPr>
                      <w:sz w:val="22"/>
                      <w:szCs w:val="22"/>
                      <w:u w:val="none" w:color="auto"/>
                    </w:rPr>
                  </w:pPr>
                </w:p>
              </w:tc>
              <w:tc>
                <w:tcPr>
                  <w:tcW w:w="1662" w:type="pct"/>
                  <w:vAlign w:val="center"/>
                </w:tcPr>
                <w:p>
                  <w:pPr>
                    <w:pStyle w:val="34"/>
                    <w:spacing w:line="360" w:lineRule="auto"/>
                    <w:ind w:left="0" w:leftChars="0"/>
                    <w:jc w:val="center"/>
                    <w:rPr>
                      <w:sz w:val="22"/>
                      <w:szCs w:val="22"/>
                      <w:u w:val="none" w:color="auto"/>
                    </w:rPr>
                  </w:pPr>
                  <w:r>
                    <w:rPr>
                      <w:b/>
                      <w:bCs/>
                      <w:sz w:val="22"/>
                      <w:szCs w:val="22"/>
                      <w:u w:val="none" w:color="auto"/>
                    </w:rPr>
                    <w:t>昼间</w:t>
                  </w:r>
                </w:p>
              </w:tc>
              <w:tc>
                <w:tcPr>
                  <w:tcW w:w="1667" w:type="pct"/>
                  <w:vAlign w:val="center"/>
                </w:tcPr>
                <w:p>
                  <w:pPr>
                    <w:pStyle w:val="34"/>
                    <w:spacing w:line="360" w:lineRule="auto"/>
                    <w:ind w:left="0" w:leftChars="0"/>
                    <w:jc w:val="center"/>
                    <w:rPr>
                      <w:sz w:val="22"/>
                      <w:szCs w:val="22"/>
                      <w:u w:val="none" w:color="auto"/>
                    </w:rPr>
                  </w:pPr>
                  <w:r>
                    <w:rPr>
                      <w:b/>
                      <w:bCs/>
                      <w:sz w:val="22"/>
                      <w:szCs w:val="22"/>
                      <w:u w:val="none" w:color="auto"/>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9" w:type="pct"/>
                  <w:vAlign w:val="center"/>
                </w:tcPr>
                <w:p>
                  <w:pPr>
                    <w:pStyle w:val="34"/>
                    <w:spacing w:line="360" w:lineRule="auto"/>
                    <w:ind w:left="0" w:leftChars="0"/>
                    <w:jc w:val="center"/>
                    <w:rPr>
                      <w:sz w:val="22"/>
                      <w:szCs w:val="22"/>
                      <w:u w:val="none" w:color="auto"/>
                    </w:rPr>
                  </w:pPr>
                  <w:r>
                    <w:rPr>
                      <w:rFonts w:hint="eastAsia"/>
                      <w:sz w:val="22"/>
                      <w:szCs w:val="22"/>
                      <w:u w:val="none" w:color="auto"/>
                      <w:lang w:val="en-US" w:eastAsia="zh-CN"/>
                    </w:rPr>
                    <w:t>3</w:t>
                  </w:r>
                  <w:r>
                    <w:rPr>
                      <w:sz w:val="22"/>
                      <w:szCs w:val="22"/>
                      <w:u w:val="none" w:color="auto"/>
                    </w:rPr>
                    <w:t>类（dB(A)）</w:t>
                  </w:r>
                </w:p>
              </w:tc>
              <w:tc>
                <w:tcPr>
                  <w:tcW w:w="1662" w:type="pct"/>
                  <w:vAlign w:val="center"/>
                </w:tcPr>
                <w:p>
                  <w:pPr>
                    <w:pStyle w:val="34"/>
                    <w:spacing w:line="360" w:lineRule="auto"/>
                    <w:ind w:left="0" w:leftChars="0"/>
                    <w:jc w:val="center"/>
                    <w:rPr>
                      <w:rFonts w:hint="eastAsia" w:eastAsia="宋体"/>
                      <w:sz w:val="22"/>
                      <w:szCs w:val="22"/>
                      <w:u w:val="none" w:color="auto"/>
                      <w:lang w:val="en-US" w:eastAsia="zh-CN"/>
                    </w:rPr>
                  </w:pPr>
                  <w:r>
                    <w:rPr>
                      <w:sz w:val="22"/>
                      <w:szCs w:val="22"/>
                      <w:u w:val="none" w:color="auto"/>
                    </w:rPr>
                    <w:t>6</w:t>
                  </w:r>
                  <w:r>
                    <w:rPr>
                      <w:rFonts w:hint="eastAsia"/>
                      <w:sz w:val="22"/>
                      <w:szCs w:val="22"/>
                      <w:u w:val="none" w:color="auto"/>
                      <w:lang w:val="en-US" w:eastAsia="zh-CN"/>
                    </w:rPr>
                    <w:t>5</w:t>
                  </w:r>
                </w:p>
              </w:tc>
              <w:tc>
                <w:tcPr>
                  <w:tcW w:w="1667" w:type="pct"/>
                  <w:vAlign w:val="center"/>
                </w:tcPr>
                <w:p>
                  <w:pPr>
                    <w:pStyle w:val="34"/>
                    <w:spacing w:line="360" w:lineRule="auto"/>
                    <w:ind w:left="0" w:leftChars="0"/>
                    <w:jc w:val="center"/>
                    <w:rPr>
                      <w:rFonts w:hint="eastAsia" w:eastAsia="宋体"/>
                      <w:sz w:val="22"/>
                      <w:szCs w:val="22"/>
                      <w:u w:val="none" w:color="auto"/>
                      <w:lang w:val="en-US" w:eastAsia="zh-CN"/>
                    </w:rPr>
                  </w:pPr>
                  <w:r>
                    <w:rPr>
                      <w:sz w:val="22"/>
                      <w:szCs w:val="22"/>
                      <w:u w:val="none" w:color="auto"/>
                    </w:rPr>
                    <w:t>5</w:t>
                  </w:r>
                  <w:r>
                    <w:rPr>
                      <w:rFonts w:hint="eastAsia"/>
                      <w:sz w:val="22"/>
                      <w:szCs w:val="22"/>
                      <w:u w:val="none" w:color="auto"/>
                      <w:lang w:val="en-US" w:eastAsia="zh-CN"/>
                    </w:rPr>
                    <w:t>5</w:t>
                  </w:r>
                </w:p>
              </w:tc>
            </w:tr>
          </w:tbl>
          <w:p>
            <w:pPr>
              <w:adjustRightInd w:val="0"/>
              <w:snapToGrid w:val="0"/>
              <w:spacing w:line="360" w:lineRule="auto"/>
              <w:rPr>
                <w:sz w:val="24"/>
                <w:szCs w:val="24"/>
                <w:u w:val="none" w:color="auto"/>
              </w:rPr>
            </w:pPr>
            <w:r>
              <w:rPr>
                <w:kern w:val="0"/>
                <w:sz w:val="24"/>
                <w:szCs w:val="24"/>
                <w:u w:val="none" w:color="auto"/>
              </w:rPr>
              <w:t>4、固体废物：</w:t>
            </w:r>
            <w:r>
              <w:rPr>
                <w:sz w:val="24"/>
                <w:szCs w:val="24"/>
                <w:u w:val="none" w:color="auto"/>
              </w:rPr>
              <w:t>一般固体废物处置执行《一般工业固体废物贮存、处置场污染控制标准》（GB18599-2001）及其2013年修改单中的要求；生活垃圾执行《生活垃圾填埋污染控制标准》（GB16889-2008）。</w:t>
            </w:r>
            <w:r>
              <w:rPr>
                <w:rFonts w:hint="eastAsia"/>
                <w:sz w:val="24"/>
                <w:szCs w:val="24"/>
                <w:u w:val="none" w:color="auto"/>
              </w:rPr>
              <w:t>危险废物执行《危险废物贮存污染控制标准》（GB18597－2001）及其修改单。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92" w:type="dxa"/>
            <w:vAlign w:val="center"/>
          </w:tcPr>
          <w:p>
            <w:pPr>
              <w:jc w:val="center"/>
              <w:rPr>
                <w:b/>
                <w:bCs/>
                <w:sz w:val="24"/>
                <w:szCs w:val="24"/>
                <w:u w:val="none" w:color="auto"/>
              </w:rPr>
            </w:pPr>
            <w:r>
              <w:rPr>
                <w:b/>
                <w:bCs/>
                <w:sz w:val="24"/>
                <w:szCs w:val="24"/>
                <w:u w:val="none" w:color="auto"/>
              </w:rPr>
              <w:t>总量控制指标</w:t>
            </w:r>
          </w:p>
        </w:tc>
        <w:tc>
          <w:tcPr>
            <w:tcW w:w="8676" w:type="dxa"/>
            <w:vAlign w:val="center"/>
          </w:tcPr>
          <w:p>
            <w:pPr>
              <w:spacing w:line="520" w:lineRule="exact"/>
              <w:ind w:firstLine="466" w:firstLineChars="200"/>
              <w:rPr>
                <w:color w:val="auto"/>
                <w:sz w:val="24"/>
                <w:szCs w:val="24"/>
                <w:u w:val="none" w:color="auto"/>
              </w:rPr>
            </w:pPr>
            <w:r>
              <w:rPr>
                <w:rFonts w:hint="eastAsia"/>
                <w:sz w:val="24"/>
                <w:szCs w:val="24"/>
                <w:u w:val="none" w:color="auto"/>
              </w:rPr>
              <w:t>根据《湖南省“十三五”主要污染物减排规划》，湖南省约束性总量控制指标为二氧化硫（S</w:t>
            </w:r>
            <w:r>
              <w:rPr>
                <w:rFonts w:hint="eastAsia"/>
                <w:color w:val="auto"/>
                <w:sz w:val="24"/>
                <w:szCs w:val="24"/>
                <w:u w:val="none" w:color="auto"/>
              </w:rPr>
              <w:t>O</w:t>
            </w:r>
            <w:r>
              <w:rPr>
                <w:rFonts w:hint="eastAsia"/>
                <w:color w:val="auto"/>
                <w:sz w:val="24"/>
                <w:szCs w:val="24"/>
                <w:u w:val="none" w:color="auto"/>
                <w:vertAlign w:val="subscript"/>
              </w:rPr>
              <w:t>2</w:t>
            </w:r>
            <w:r>
              <w:rPr>
                <w:rFonts w:hint="eastAsia"/>
                <w:color w:val="auto"/>
                <w:sz w:val="24"/>
                <w:szCs w:val="24"/>
                <w:u w:val="none" w:color="auto"/>
              </w:rPr>
              <w:t>）、氮氧化物（NOx）、化学需氧量（COD）和氨氮（NH</w:t>
            </w:r>
            <w:r>
              <w:rPr>
                <w:rFonts w:hint="eastAsia"/>
                <w:color w:val="auto"/>
                <w:sz w:val="24"/>
                <w:szCs w:val="24"/>
                <w:u w:val="none" w:color="auto"/>
                <w:vertAlign w:val="subscript"/>
              </w:rPr>
              <w:t>3</w:t>
            </w:r>
            <w:r>
              <w:rPr>
                <w:rFonts w:hint="eastAsia"/>
                <w:color w:val="auto"/>
                <w:sz w:val="24"/>
                <w:szCs w:val="24"/>
                <w:u w:val="none" w:color="auto"/>
              </w:rPr>
              <w:t>-N），推荐性总量控制指标为VOCs。</w:t>
            </w:r>
          </w:p>
          <w:p>
            <w:pPr>
              <w:spacing w:line="520" w:lineRule="exact"/>
              <w:ind w:firstLine="466" w:firstLineChars="200"/>
              <w:rPr>
                <w:color w:val="auto"/>
                <w:sz w:val="24"/>
                <w:u w:val="none" w:color="auto"/>
              </w:rPr>
            </w:pPr>
            <w:r>
              <w:rPr>
                <w:rFonts w:hint="eastAsia"/>
                <w:color w:val="auto"/>
                <w:sz w:val="24"/>
                <w:u w:val="none" w:color="auto"/>
              </w:rPr>
              <w:t>因此，结合本项目污染物排放因子，确定本项目的总量控制因子为V</w:t>
            </w:r>
            <w:r>
              <w:rPr>
                <w:color w:val="auto"/>
                <w:sz w:val="24"/>
                <w:u w:val="none" w:color="auto"/>
              </w:rPr>
              <w:t>OCs</w:t>
            </w:r>
            <w:r>
              <w:rPr>
                <w:rFonts w:hint="eastAsia"/>
                <w:color w:val="auto"/>
                <w:sz w:val="24"/>
                <w:u w:val="none" w:color="auto"/>
                <w:lang w:eastAsia="zh-CN"/>
              </w:rPr>
              <w:t>（以非甲烷总烃计）</w:t>
            </w:r>
            <w:r>
              <w:rPr>
                <w:color w:val="auto"/>
                <w:sz w:val="24"/>
                <w:u w:val="none" w:color="auto"/>
              </w:rPr>
              <w:t>。</w:t>
            </w:r>
          </w:p>
          <w:p>
            <w:pPr>
              <w:spacing w:line="520" w:lineRule="exact"/>
              <w:ind w:firstLine="457" w:firstLineChars="196"/>
              <w:jc w:val="left"/>
              <w:rPr>
                <w:rFonts w:hint="eastAsia"/>
                <w:color w:val="auto"/>
                <w:sz w:val="24"/>
                <w:u w:val="none" w:color="auto"/>
                <w:lang w:eastAsia="zh-CN"/>
              </w:rPr>
            </w:pPr>
            <w:r>
              <w:rPr>
                <w:rFonts w:hint="eastAsia"/>
                <w:color w:val="auto"/>
                <w:sz w:val="24"/>
                <w:u w:val="none" w:color="auto"/>
              </w:rPr>
              <w:t>本项目外排废气中V</w:t>
            </w:r>
            <w:r>
              <w:rPr>
                <w:color w:val="auto"/>
                <w:sz w:val="24"/>
                <w:u w:val="none" w:color="auto"/>
              </w:rPr>
              <w:t>OCs</w:t>
            </w:r>
            <w:r>
              <w:rPr>
                <w:rFonts w:hint="eastAsia"/>
                <w:color w:val="auto"/>
                <w:sz w:val="24"/>
                <w:u w:val="none" w:color="auto"/>
                <w:lang w:eastAsia="zh-CN"/>
              </w:rPr>
              <w:t>（以非甲烷总烃计）为</w:t>
            </w:r>
            <w:r>
              <w:rPr>
                <w:rFonts w:hint="eastAsia"/>
                <w:color w:val="auto"/>
                <w:sz w:val="24"/>
                <w:u w:val="none" w:color="auto"/>
              </w:rPr>
              <w:t>：</w:t>
            </w:r>
            <w:r>
              <w:rPr>
                <w:rFonts w:hint="eastAsia"/>
                <w:color w:val="auto"/>
                <w:sz w:val="24"/>
                <w:u w:val="none" w:color="auto"/>
                <w:lang w:val="en-US" w:eastAsia="zh-CN"/>
              </w:rPr>
              <w:t>0.0025</w:t>
            </w:r>
            <w:r>
              <w:rPr>
                <w:color w:val="auto"/>
                <w:sz w:val="24"/>
                <w:u w:val="none" w:color="auto"/>
              </w:rPr>
              <w:t>t/a</w:t>
            </w:r>
            <w:r>
              <w:rPr>
                <w:rFonts w:hint="eastAsia"/>
                <w:color w:val="auto"/>
                <w:sz w:val="24"/>
                <w:u w:val="none" w:color="auto"/>
                <w:lang w:eastAsia="zh-CN"/>
              </w:rPr>
              <w:t>，建议总量指标为</w:t>
            </w:r>
            <w:r>
              <w:rPr>
                <w:rFonts w:hint="eastAsia"/>
                <w:color w:val="auto"/>
                <w:sz w:val="24"/>
                <w:u w:val="none" w:color="auto"/>
                <w:lang w:val="en-US" w:eastAsia="zh-CN"/>
              </w:rPr>
              <w:t>0.1t/a</w:t>
            </w:r>
            <w:r>
              <w:rPr>
                <w:rFonts w:hint="eastAsia"/>
                <w:color w:val="auto"/>
                <w:sz w:val="24"/>
                <w:u w:val="none" w:color="auto"/>
              </w:rPr>
              <w:t>，为推荐性总量控制指标</w:t>
            </w:r>
            <w:r>
              <w:rPr>
                <w:rFonts w:hint="eastAsia"/>
                <w:color w:val="auto"/>
                <w:sz w:val="24"/>
                <w:u w:val="none" w:color="auto"/>
                <w:lang w:eastAsia="zh-CN"/>
              </w:rPr>
              <w:t>。</w:t>
            </w:r>
          </w:p>
          <w:p>
            <w:pPr>
              <w:spacing w:line="520" w:lineRule="exact"/>
              <w:ind w:firstLine="457" w:firstLineChars="196"/>
              <w:jc w:val="left"/>
              <w:rPr>
                <w:rFonts w:hint="eastAsia"/>
                <w:color w:val="auto"/>
                <w:sz w:val="24"/>
                <w:u w:val="none" w:color="auto"/>
                <w:lang w:eastAsia="zh-CN"/>
              </w:rPr>
            </w:pPr>
          </w:p>
          <w:p>
            <w:pPr>
              <w:spacing w:line="520" w:lineRule="exact"/>
              <w:ind w:firstLine="457" w:firstLineChars="196"/>
              <w:jc w:val="left"/>
              <w:rPr>
                <w:rFonts w:hint="eastAsia"/>
                <w:color w:val="auto"/>
                <w:sz w:val="24"/>
                <w:u w:val="none" w:color="auto"/>
                <w:lang w:eastAsia="zh-CN"/>
              </w:rPr>
            </w:pPr>
          </w:p>
          <w:p>
            <w:pPr>
              <w:spacing w:line="520" w:lineRule="exact"/>
              <w:ind w:firstLine="457" w:firstLineChars="196"/>
              <w:jc w:val="left"/>
              <w:rPr>
                <w:rFonts w:hint="eastAsia"/>
                <w:color w:val="auto"/>
                <w:sz w:val="24"/>
                <w:u w:val="none" w:color="auto"/>
                <w:lang w:eastAsia="zh-CN"/>
              </w:rPr>
            </w:pPr>
          </w:p>
          <w:p>
            <w:pPr>
              <w:spacing w:line="520" w:lineRule="exact"/>
              <w:ind w:firstLine="457" w:firstLineChars="196"/>
              <w:jc w:val="left"/>
              <w:rPr>
                <w:rFonts w:hint="eastAsia"/>
                <w:color w:val="auto"/>
                <w:sz w:val="24"/>
                <w:u w:val="none" w:color="auto"/>
                <w:lang w:eastAsia="zh-CN"/>
              </w:rPr>
            </w:pPr>
          </w:p>
          <w:p>
            <w:pPr>
              <w:spacing w:line="520" w:lineRule="exact"/>
              <w:ind w:firstLine="457" w:firstLineChars="196"/>
              <w:jc w:val="left"/>
              <w:rPr>
                <w:rFonts w:hint="eastAsia"/>
                <w:color w:val="auto"/>
                <w:sz w:val="24"/>
                <w:u w:val="none" w:color="auto"/>
                <w:lang w:eastAsia="zh-CN"/>
              </w:rPr>
            </w:pPr>
          </w:p>
          <w:p>
            <w:pPr>
              <w:spacing w:line="520" w:lineRule="exact"/>
              <w:ind w:firstLine="457" w:firstLineChars="196"/>
              <w:jc w:val="left"/>
              <w:rPr>
                <w:rFonts w:hint="eastAsia"/>
                <w:color w:val="auto"/>
                <w:sz w:val="24"/>
                <w:u w:val="none" w:color="auto"/>
                <w:lang w:eastAsia="zh-CN"/>
              </w:rPr>
            </w:pPr>
          </w:p>
          <w:p>
            <w:pPr>
              <w:spacing w:line="520" w:lineRule="exact"/>
              <w:ind w:firstLine="457" w:firstLineChars="196"/>
              <w:jc w:val="left"/>
              <w:rPr>
                <w:rFonts w:hint="eastAsia"/>
                <w:color w:val="auto"/>
                <w:sz w:val="24"/>
                <w:u w:val="none" w:color="auto"/>
                <w:lang w:eastAsia="zh-CN"/>
              </w:rPr>
            </w:pPr>
          </w:p>
          <w:p>
            <w:pPr>
              <w:spacing w:line="520" w:lineRule="exact"/>
              <w:ind w:firstLine="457" w:firstLineChars="196"/>
              <w:jc w:val="left"/>
              <w:rPr>
                <w:rFonts w:hint="eastAsia"/>
                <w:color w:val="auto"/>
                <w:sz w:val="24"/>
                <w:u w:val="none" w:color="auto"/>
                <w:lang w:eastAsia="zh-CN"/>
              </w:rPr>
            </w:pPr>
          </w:p>
          <w:p>
            <w:pPr>
              <w:spacing w:line="520" w:lineRule="exact"/>
              <w:ind w:firstLine="457" w:firstLineChars="196"/>
              <w:jc w:val="left"/>
              <w:rPr>
                <w:rFonts w:hint="eastAsia"/>
                <w:color w:val="auto"/>
                <w:sz w:val="24"/>
                <w:u w:val="none" w:color="auto"/>
                <w:lang w:eastAsia="zh-CN"/>
              </w:rPr>
            </w:pPr>
          </w:p>
          <w:p>
            <w:pPr>
              <w:spacing w:line="520" w:lineRule="exact"/>
              <w:rPr>
                <w:color w:val="auto"/>
                <w:sz w:val="24"/>
                <w:szCs w:val="24"/>
                <w:u w:val="none" w:color="auto"/>
              </w:rPr>
            </w:pPr>
          </w:p>
          <w:p>
            <w:pPr>
              <w:pStyle w:val="34"/>
              <w:ind w:left="0" w:leftChars="0"/>
              <w:rPr>
                <w:u w:val="none" w:color="auto"/>
              </w:rPr>
            </w:pPr>
          </w:p>
        </w:tc>
      </w:tr>
    </w:tbl>
    <w:p>
      <w:pPr>
        <w:snapToGrid w:val="0"/>
        <w:textAlignment w:val="baseline"/>
        <w:outlineLvl w:val="0"/>
        <w:rPr>
          <w:rFonts w:eastAsia="黑体"/>
          <w:kern w:val="24"/>
          <w:sz w:val="32"/>
          <w:u w:val="none" w:color="auto"/>
        </w:rPr>
      </w:pPr>
      <w:r>
        <w:rPr>
          <w:rFonts w:eastAsia="黑体"/>
          <w:sz w:val="32"/>
          <w:u w:val="none" w:color="auto"/>
        </w:rPr>
        <w:br w:type="page"/>
      </w:r>
      <w:bookmarkStart w:id="4" w:name="_Toc31996"/>
      <w:r>
        <w:rPr>
          <w:rFonts w:hint="eastAsia" w:eastAsia="黑体"/>
          <w:sz w:val="32"/>
          <w:u w:val="none" w:color="auto"/>
        </w:rPr>
        <w:t>五、</w:t>
      </w:r>
      <w:r>
        <w:rPr>
          <w:rFonts w:eastAsia="黑体"/>
          <w:sz w:val="32"/>
          <w:u w:val="none" w:color="auto"/>
        </w:rPr>
        <w:t>建设项目工程分析</w:t>
      </w:r>
      <w:bookmarkEnd w:id="4"/>
    </w:p>
    <w:tbl>
      <w:tblPr>
        <w:tblStyle w:val="40"/>
        <w:tblW w:w="92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autofit"/>
        <w:tblCellMar>
          <w:top w:w="0" w:type="dxa"/>
          <w:left w:w="85" w:type="dxa"/>
          <w:bottom w:w="0" w:type="dxa"/>
          <w:right w:w="85" w:type="dxa"/>
        </w:tblCellMar>
      </w:tblPr>
      <w:tblGrid>
        <w:gridCol w:w="926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85" w:type="dxa"/>
            <w:bottom w:w="0" w:type="dxa"/>
            <w:right w:w="85" w:type="dxa"/>
          </w:tblCellMar>
        </w:tblPrEx>
        <w:trPr>
          <w:trHeight w:val="13289" w:hRule="atLeast"/>
          <w:jc w:val="center"/>
        </w:trPr>
        <w:tc>
          <w:tcPr>
            <w:tcW w:w="9268" w:type="dxa"/>
          </w:tcPr>
          <w:p>
            <w:pPr>
              <w:spacing w:line="360" w:lineRule="auto"/>
              <w:rPr>
                <w:rFonts w:ascii="黑体" w:eastAsia="黑体"/>
                <w:sz w:val="24"/>
                <w:szCs w:val="24"/>
                <w:u w:val="none" w:color="auto"/>
              </w:rPr>
            </w:pPr>
            <w:r>
              <w:rPr>
                <w:rFonts w:hint="eastAsia" w:ascii="黑体" w:eastAsia="黑体"/>
                <w:sz w:val="24"/>
                <w:szCs w:val="24"/>
                <w:u w:val="none" w:color="auto"/>
              </w:rPr>
              <w:t>工艺流程简述（图示）：</w:t>
            </w:r>
          </w:p>
          <w:p>
            <w:pPr>
              <w:numPr>
                <w:ilvl w:val="0"/>
                <w:numId w:val="6"/>
              </w:numPr>
              <w:snapToGrid w:val="0"/>
              <w:spacing w:line="360" w:lineRule="auto"/>
              <w:rPr>
                <w:rFonts w:hAnsi="宋体"/>
                <w:b/>
                <w:sz w:val="24"/>
                <w:u w:val="none" w:color="auto"/>
              </w:rPr>
            </w:pPr>
            <w:r>
              <w:rPr>
                <w:rFonts w:hint="eastAsia" w:hAnsi="宋体"/>
                <w:b/>
                <w:sz w:val="24"/>
                <w:u w:val="none" w:color="auto"/>
              </w:rPr>
              <w:t>施工期</w:t>
            </w:r>
          </w:p>
          <w:p>
            <w:pPr>
              <w:snapToGrid w:val="0"/>
              <w:spacing w:line="360" w:lineRule="auto"/>
              <w:ind w:firstLine="466" w:firstLineChars="200"/>
              <w:rPr>
                <w:rFonts w:hint="eastAsia"/>
                <w:b/>
                <w:bCs w:val="0"/>
                <w:color w:val="auto"/>
                <w:sz w:val="24"/>
                <w:szCs w:val="22"/>
                <w:u w:val="none" w:color="auto"/>
              </w:rPr>
            </w:pPr>
            <w:r>
              <w:rPr>
                <w:rFonts w:hint="eastAsia"/>
                <w:b/>
                <w:bCs w:val="0"/>
                <w:color w:val="auto"/>
                <w:sz w:val="24"/>
                <w:szCs w:val="22"/>
                <w:u w:val="none" w:color="auto"/>
                <w:lang w:val="en-US" w:eastAsia="zh-CN"/>
              </w:rPr>
              <w:t xml:space="preserve">施工期工艺流程及主要污染工序 </w:t>
            </w:r>
          </w:p>
          <w:p>
            <w:pPr>
              <w:snapToGrid w:val="0"/>
              <w:spacing w:line="360" w:lineRule="auto"/>
              <w:ind w:firstLine="466" w:firstLineChars="200"/>
              <w:rPr>
                <w:rFonts w:hint="eastAsia"/>
                <w:bCs/>
                <w:color w:val="auto"/>
                <w:sz w:val="24"/>
                <w:szCs w:val="22"/>
                <w:u w:val="none" w:color="auto"/>
              </w:rPr>
            </w:pPr>
            <w:r>
              <w:rPr>
                <w:rFonts w:hint="eastAsia"/>
                <w:bCs/>
                <w:color w:val="auto"/>
                <w:sz w:val="24"/>
                <w:szCs w:val="22"/>
                <w:u w:val="none" w:color="auto"/>
                <w:lang w:val="en-US" w:eastAsia="zh-CN"/>
              </w:rPr>
              <w:t xml:space="preserve">本项目购买已有厂房进行建设，施工期主要为各区建设，设备安装以及少量的装饰工程，因此，项目施工期产生的污染较少，主要为少量施工粉尘、施工噪声、建筑垃圾，以及施工人员生活垃圾和生活污水等，仅作简要分析。项目施工期产生的环境影响因素主要有：施工机械设备的噪声、装修材料、运输车辆尾气、扬尘及施工人员生活污水等。 </w:t>
            </w:r>
          </w:p>
          <w:p>
            <w:pPr>
              <w:snapToGrid w:val="0"/>
              <w:spacing w:line="360" w:lineRule="auto"/>
              <w:ind w:firstLine="457" w:firstLineChars="196"/>
              <w:rPr>
                <w:rFonts w:hint="eastAsia"/>
                <w:bCs/>
                <w:color w:val="auto"/>
                <w:sz w:val="24"/>
                <w:szCs w:val="22"/>
                <w:u w:val="none" w:color="auto"/>
              </w:rPr>
            </w:pPr>
            <w:r>
              <w:rPr>
                <w:rFonts w:hint="eastAsia"/>
                <w:bCs/>
                <w:color w:val="auto"/>
                <w:sz w:val="24"/>
                <w:szCs w:val="22"/>
                <w:u w:val="none" w:color="auto"/>
                <w:lang w:val="en-US" w:eastAsia="zh-CN"/>
              </w:rPr>
              <w:t xml:space="preserve">①水污染物 </w:t>
            </w:r>
          </w:p>
          <w:p>
            <w:pPr>
              <w:snapToGrid w:val="0"/>
              <w:spacing w:line="360" w:lineRule="auto"/>
              <w:ind w:firstLine="457" w:firstLineChars="196"/>
              <w:rPr>
                <w:rFonts w:hint="eastAsia"/>
                <w:bCs/>
                <w:color w:val="auto"/>
                <w:sz w:val="24"/>
                <w:szCs w:val="22"/>
                <w:u w:val="none" w:color="auto"/>
              </w:rPr>
            </w:pPr>
            <w:r>
              <w:rPr>
                <w:rFonts w:hint="eastAsia"/>
                <w:bCs/>
                <w:color w:val="auto"/>
                <w:sz w:val="24"/>
                <w:szCs w:val="22"/>
                <w:u w:val="none" w:color="auto"/>
                <w:lang w:val="en-US" w:eastAsia="zh-CN"/>
              </w:rPr>
              <w:t xml:space="preserve">建设时期的废水主要来自于施工人员的生活污水，依托卓达园区现有化粪池及污水处理、排放系统。 </w:t>
            </w:r>
          </w:p>
          <w:p>
            <w:pPr>
              <w:snapToGrid w:val="0"/>
              <w:spacing w:line="360" w:lineRule="auto"/>
              <w:ind w:firstLine="457" w:firstLineChars="196"/>
              <w:rPr>
                <w:rFonts w:hint="eastAsia"/>
                <w:bCs/>
                <w:color w:val="auto"/>
                <w:sz w:val="24"/>
                <w:szCs w:val="22"/>
                <w:u w:val="none" w:color="auto"/>
              </w:rPr>
            </w:pPr>
            <w:r>
              <w:rPr>
                <w:rFonts w:hint="eastAsia"/>
                <w:bCs/>
                <w:color w:val="auto"/>
                <w:sz w:val="24"/>
                <w:szCs w:val="22"/>
                <w:u w:val="none" w:color="auto"/>
                <w:lang w:val="en-US" w:eastAsia="zh-CN"/>
              </w:rPr>
              <w:t xml:space="preserve">②噪声污染物 </w:t>
            </w:r>
          </w:p>
          <w:p>
            <w:pPr>
              <w:snapToGrid w:val="0"/>
              <w:spacing w:line="360" w:lineRule="auto"/>
              <w:ind w:firstLine="457" w:firstLineChars="196"/>
              <w:rPr>
                <w:rFonts w:hint="eastAsia"/>
                <w:bCs/>
                <w:color w:val="auto"/>
                <w:sz w:val="24"/>
                <w:szCs w:val="22"/>
                <w:u w:val="none" w:color="auto"/>
              </w:rPr>
            </w:pPr>
            <w:r>
              <w:rPr>
                <w:rFonts w:hint="eastAsia"/>
                <w:bCs/>
                <w:color w:val="auto"/>
                <w:sz w:val="24"/>
                <w:szCs w:val="22"/>
                <w:u w:val="none" w:color="auto"/>
                <w:lang w:val="en-US" w:eastAsia="zh-CN"/>
              </w:rPr>
              <w:t xml:space="preserve">项目购买现有厂房，因此噪声主要来自于房屋改造过程中电钻。墙体敲打等过程中产生的机械噪声，其噪声源强在 70~95dB 之间，具有间歇性。 </w:t>
            </w:r>
          </w:p>
          <w:p>
            <w:pPr>
              <w:snapToGrid w:val="0"/>
              <w:spacing w:line="360" w:lineRule="auto"/>
              <w:ind w:firstLine="457" w:firstLineChars="196"/>
              <w:rPr>
                <w:rFonts w:hint="eastAsia"/>
                <w:bCs/>
                <w:color w:val="auto"/>
                <w:sz w:val="24"/>
                <w:szCs w:val="22"/>
                <w:u w:val="none" w:color="auto"/>
              </w:rPr>
            </w:pPr>
            <w:r>
              <w:rPr>
                <w:rFonts w:hint="eastAsia"/>
                <w:bCs/>
                <w:color w:val="auto"/>
                <w:sz w:val="24"/>
                <w:szCs w:val="22"/>
                <w:u w:val="none" w:color="auto"/>
                <w:lang w:val="en-US" w:eastAsia="zh-CN"/>
              </w:rPr>
              <w:t xml:space="preserve">③大气污染物 </w:t>
            </w:r>
          </w:p>
          <w:p>
            <w:pPr>
              <w:snapToGrid w:val="0"/>
              <w:spacing w:line="360" w:lineRule="auto"/>
              <w:ind w:firstLine="457" w:firstLineChars="196"/>
              <w:rPr>
                <w:rFonts w:hint="eastAsia"/>
                <w:bCs/>
                <w:color w:val="auto"/>
                <w:sz w:val="24"/>
                <w:szCs w:val="22"/>
                <w:u w:val="none" w:color="auto"/>
              </w:rPr>
            </w:pPr>
            <w:r>
              <w:rPr>
                <w:rFonts w:hint="eastAsia"/>
                <w:bCs/>
                <w:color w:val="auto"/>
                <w:sz w:val="24"/>
                <w:szCs w:val="22"/>
                <w:u w:val="none" w:color="auto"/>
                <w:lang w:val="en-US" w:eastAsia="zh-CN"/>
              </w:rPr>
              <w:t xml:space="preserve">项目施工过程中造成大气污染的主要产生源有：施工机械设备燃油产生的废气；施工建筑材料的装卸、运输、堆砌过程以及运输过程中造成扬尘等。 </w:t>
            </w:r>
          </w:p>
          <w:p>
            <w:pPr>
              <w:snapToGrid w:val="0"/>
              <w:spacing w:line="360" w:lineRule="auto"/>
              <w:ind w:firstLine="457" w:firstLineChars="196"/>
              <w:rPr>
                <w:rFonts w:hint="eastAsia"/>
                <w:bCs/>
                <w:color w:val="auto"/>
                <w:sz w:val="24"/>
                <w:szCs w:val="22"/>
                <w:u w:val="none" w:color="auto"/>
              </w:rPr>
            </w:pPr>
            <w:r>
              <w:rPr>
                <w:rFonts w:hint="eastAsia"/>
                <w:bCs/>
                <w:color w:val="auto"/>
                <w:sz w:val="24"/>
                <w:szCs w:val="22"/>
                <w:u w:val="none" w:color="auto"/>
                <w:lang w:val="en-US" w:eastAsia="zh-CN"/>
              </w:rPr>
              <w:t xml:space="preserve">④固废产生物 </w:t>
            </w:r>
          </w:p>
          <w:p>
            <w:pPr>
              <w:snapToGrid w:val="0"/>
              <w:spacing w:line="360" w:lineRule="auto"/>
              <w:ind w:firstLine="457" w:firstLineChars="196"/>
              <w:rPr>
                <w:rFonts w:hint="eastAsia"/>
                <w:bCs/>
                <w:color w:val="auto"/>
                <w:sz w:val="24"/>
                <w:szCs w:val="22"/>
                <w:u w:val="none" w:color="auto"/>
              </w:rPr>
            </w:pPr>
            <w:r>
              <w:rPr>
                <w:rFonts w:hint="eastAsia"/>
                <w:bCs/>
                <w:color w:val="auto"/>
                <w:sz w:val="24"/>
                <w:szCs w:val="22"/>
                <w:u w:val="none" w:color="auto"/>
                <w:lang w:val="en-US" w:eastAsia="zh-CN"/>
              </w:rPr>
              <w:t xml:space="preserve">项目施工过程中产生的固体废物主要是施工人员的生活垃圾和建筑垃圾等，均依托园区现有环卫设施，由当地环卫部门清运。 </w:t>
            </w:r>
          </w:p>
          <w:p>
            <w:pPr>
              <w:snapToGrid w:val="0"/>
              <w:spacing w:line="360" w:lineRule="auto"/>
              <w:ind w:firstLine="466" w:firstLineChars="200"/>
              <w:rPr>
                <w:rFonts w:hAnsi="宋体"/>
                <w:sz w:val="24"/>
                <w:szCs w:val="24"/>
                <w:u w:val="none" w:color="auto"/>
              </w:rPr>
            </w:pPr>
            <w:r>
              <w:rPr>
                <w:rFonts w:hint="eastAsia"/>
                <w:bCs/>
                <w:color w:val="auto"/>
                <w:sz w:val="24"/>
                <w:szCs w:val="22"/>
                <w:u w:val="none" w:color="auto"/>
                <w:lang w:val="en-US" w:eastAsia="zh-CN"/>
              </w:rPr>
              <w:t>根据项目实际情况，施工期产生的污染物量小，对外环境影响较小</w:t>
            </w:r>
            <w:r>
              <w:rPr>
                <w:rFonts w:hint="eastAsia"/>
                <w:sz w:val="24"/>
                <w:szCs w:val="24"/>
                <w:u w:val="none" w:color="auto"/>
              </w:rPr>
              <w:t>。</w:t>
            </w: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int="eastAsia" w:hAnsi="宋体"/>
                <w:b/>
                <w:sz w:val="24"/>
                <w:u w:val="none" w:color="auto"/>
              </w:rPr>
            </w:pPr>
          </w:p>
          <w:p>
            <w:pPr>
              <w:snapToGrid w:val="0"/>
              <w:spacing w:line="360" w:lineRule="auto"/>
              <w:ind w:firstLine="457" w:firstLineChars="196"/>
              <w:rPr>
                <w:rFonts w:hAnsi="宋体"/>
                <w:b/>
                <w:sz w:val="24"/>
                <w:u w:val="single" w:color="auto"/>
              </w:rPr>
            </w:pPr>
            <w:r>
              <w:rPr>
                <w:rFonts w:hint="eastAsia" w:hAnsi="宋体"/>
                <w:b/>
                <w:sz w:val="24"/>
                <w:u w:val="single" w:color="auto"/>
              </w:rPr>
              <w:t>二、营运期</w:t>
            </w:r>
          </w:p>
          <w:p>
            <w:pPr>
              <w:pStyle w:val="34"/>
              <w:ind w:leftChars="0"/>
              <w:rPr>
                <w:sz w:val="24"/>
                <w:u w:val="single" w:color="auto"/>
              </w:rPr>
            </w:pPr>
            <w:r>
              <w:rPr>
                <w:rFonts w:hint="eastAsia"/>
                <w:sz w:val="24"/>
                <w:u w:val="single" w:color="auto"/>
              </w:rPr>
              <w:t>（1）生产工艺流程及产污环节见图5</w:t>
            </w:r>
            <w:r>
              <w:rPr>
                <w:sz w:val="24"/>
                <w:u w:val="single" w:color="auto"/>
              </w:rPr>
              <w:t>-1</w:t>
            </w:r>
            <w:r>
              <w:rPr>
                <w:rFonts w:hint="eastAsia"/>
                <w:sz w:val="24"/>
                <w:u w:val="single" w:color="auto"/>
              </w:rPr>
              <w:t>所示：</w:t>
            </w:r>
          </w:p>
          <w:p>
            <w:pPr>
              <w:jc w:val="center"/>
              <w:rPr>
                <w:u w:val="single" w:color="auto"/>
              </w:rPr>
            </w:pPr>
            <w:r>
              <w:rPr>
                <w:b/>
                <w:sz w:val="24"/>
                <w:szCs w:val="24"/>
                <w:u w:val="single" w:color="auto"/>
              </w:rPr>
              <w:pict>
                <v:shape id="_x0000_s1028" o:spid="_x0000_s1028" o:spt="75" type="#_x0000_t75" style="position:absolute;left:0pt;margin-left:3.45pt;margin-top:3.25pt;height:541.2pt;width:447.95pt;z-index:264474624;mso-width-relative:page;mso-height-relative:page;" o:ole="t" filled="f" o:preferrelative="t" stroked="f" coordsize="21600,21600">
                  <v:path/>
                  <v:fill on="f" focussize="0,0"/>
                  <v:stroke on="f"/>
                  <v:imagedata r:id="rId13" o:title=""/>
                  <o:lock v:ext="edit" aspectratio="f"/>
                </v:shape>
                <o:OLEObject Type="Embed" ProgID="Visio.Drawing.11" ShapeID="_x0000_s1028" DrawAspect="Content" ObjectID="_1468075726" r:id="rId12">
                  <o:LockedField>false</o:LockedField>
                </o:OLEObject>
              </w:pict>
            </w: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both"/>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center"/>
              <w:rPr>
                <w:b/>
                <w:sz w:val="24"/>
                <w:szCs w:val="24"/>
                <w:u w:val="single" w:color="auto"/>
              </w:rPr>
            </w:pPr>
          </w:p>
          <w:p>
            <w:pPr>
              <w:jc w:val="both"/>
              <w:rPr>
                <w:b/>
                <w:sz w:val="24"/>
                <w:szCs w:val="24"/>
                <w:u w:val="single" w:color="auto"/>
              </w:rPr>
            </w:pPr>
          </w:p>
          <w:p>
            <w:pPr>
              <w:jc w:val="center"/>
              <w:rPr>
                <w:b/>
                <w:sz w:val="24"/>
                <w:szCs w:val="24"/>
                <w:u w:val="single" w:color="auto"/>
              </w:rPr>
            </w:pPr>
            <w:r>
              <w:rPr>
                <w:b/>
                <w:sz w:val="24"/>
                <w:szCs w:val="24"/>
                <w:u w:val="single" w:color="auto"/>
              </w:rPr>
              <w:t>图5-1   生产工艺流程图及产污环节</w:t>
            </w:r>
            <w:r>
              <w:rPr>
                <w:rFonts w:hint="eastAsia"/>
                <w:b/>
                <w:sz w:val="24"/>
                <w:szCs w:val="24"/>
                <w:u w:val="single" w:color="auto"/>
              </w:rPr>
              <w:t>图</w:t>
            </w:r>
          </w:p>
          <w:p>
            <w:pPr>
              <w:pStyle w:val="34"/>
              <w:spacing w:line="360" w:lineRule="auto"/>
              <w:ind w:left="400"/>
              <w:rPr>
                <w:rFonts w:hint="eastAsia"/>
                <w:sz w:val="24"/>
                <w:u w:val="single" w:color="auto"/>
              </w:rPr>
            </w:pPr>
          </w:p>
          <w:p>
            <w:pPr>
              <w:pStyle w:val="34"/>
              <w:spacing w:line="360" w:lineRule="auto"/>
              <w:ind w:left="400"/>
              <w:rPr>
                <w:color w:val="auto"/>
                <w:sz w:val="24"/>
                <w:u w:val="single" w:color="auto"/>
              </w:rPr>
            </w:pPr>
            <w:r>
              <w:rPr>
                <w:rFonts w:hint="eastAsia"/>
                <w:color w:val="auto"/>
                <w:sz w:val="24"/>
                <w:u w:val="single" w:color="auto"/>
              </w:rPr>
              <w:t>工艺流程简述：</w:t>
            </w:r>
          </w:p>
          <w:p>
            <w:pPr>
              <w:keepNext w:val="0"/>
              <w:keepLines w:val="0"/>
              <w:pageBreakBefore w:val="0"/>
              <w:widowControl w:val="0"/>
              <w:kinsoku/>
              <w:wordWrap/>
              <w:overflowPunct/>
              <w:topLinePunct w:val="0"/>
              <w:autoSpaceDE/>
              <w:autoSpaceDN/>
              <w:bidi w:val="0"/>
              <w:adjustRightInd/>
              <w:snapToGrid/>
              <w:spacing w:line="360" w:lineRule="auto"/>
              <w:ind w:left="0" w:firstLine="466" w:firstLineChars="200"/>
              <w:textAlignment w:val="auto"/>
              <w:rPr>
                <w:color w:val="auto"/>
                <w:sz w:val="24"/>
                <w:u w:val="single" w:color="auto"/>
              </w:rPr>
            </w:pPr>
            <w:r>
              <w:rPr>
                <w:rFonts w:hint="eastAsia"/>
                <w:color w:val="auto"/>
                <w:sz w:val="24"/>
                <w:u w:val="single" w:color="auto"/>
                <w:lang w:eastAsia="zh-CN"/>
              </w:rPr>
              <w:t>混</w:t>
            </w:r>
            <w:r>
              <w:rPr>
                <w:rFonts w:hint="eastAsia"/>
                <w:color w:val="auto"/>
                <w:sz w:val="24"/>
                <w:u w:val="single" w:color="auto"/>
              </w:rPr>
              <w:t>料：</w:t>
            </w:r>
            <w:r>
              <w:rPr>
                <w:rFonts w:hint="eastAsia"/>
                <w:color w:val="auto"/>
                <w:sz w:val="24"/>
                <w:u w:val="single" w:color="auto"/>
                <w:lang w:eastAsia="zh-CN"/>
              </w:rPr>
              <w:t>外购硅胶（</w:t>
            </w:r>
            <w:r>
              <w:rPr>
                <w:rFonts w:hint="eastAsia" w:cs="Times New Roman"/>
                <w:b w:val="0"/>
                <w:bCs/>
                <w:sz w:val="22"/>
                <w:szCs w:val="22"/>
                <w:u w:val="single" w:color="auto"/>
                <w:lang w:val="en-US" w:eastAsia="zh-CN"/>
              </w:rPr>
              <w:t>半成品</w:t>
            </w:r>
            <w:r>
              <w:rPr>
                <w:rFonts w:hint="default" w:ascii="Times New Roman" w:hAnsi="Times New Roman" w:eastAsia="宋体" w:cs="Times New Roman"/>
                <w:color w:val="333333"/>
                <w:sz w:val="22"/>
                <w:szCs w:val="22"/>
                <w:u w:val="single" w:color="auto"/>
              </w:rPr>
              <w:t>经供应厂家密炼、开炼好的</w:t>
            </w:r>
            <w:r>
              <w:rPr>
                <w:rFonts w:hint="eastAsia"/>
                <w:color w:val="auto"/>
                <w:sz w:val="24"/>
                <w:u w:val="single" w:color="auto"/>
                <w:lang w:eastAsia="zh-CN"/>
              </w:rPr>
              <w:t>）、架桥剂、色胶按照比例进行混合均匀（</w:t>
            </w:r>
            <w:r>
              <w:rPr>
                <w:rFonts w:hint="eastAsia"/>
                <w:color w:val="auto"/>
                <w:sz w:val="24"/>
                <w:u w:val="single" w:color="auto"/>
                <w:lang w:val="en-US" w:eastAsia="zh-CN"/>
              </w:rPr>
              <w:t>不需要加热</w:t>
            </w:r>
            <w:r>
              <w:rPr>
                <w:rFonts w:hint="eastAsia"/>
                <w:color w:val="auto"/>
                <w:sz w:val="24"/>
                <w:u w:val="single" w:color="auto"/>
                <w:lang w:eastAsia="zh-CN"/>
              </w:rPr>
              <w:t>），</w:t>
            </w:r>
            <w:r>
              <w:rPr>
                <w:rFonts w:hint="eastAsia"/>
                <w:color w:val="auto"/>
                <w:sz w:val="24"/>
                <w:u w:val="single" w:color="auto"/>
                <w:lang w:val="en-US" w:eastAsia="zh-CN"/>
              </w:rPr>
              <w:t>故无粉尘产生</w:t>
            </w:r>
            <w:r>
              <w:rPr>
                <w:rFonts w:hint="eastAsia"/>
                <w:color w:val="auto"/>
                <w:sz w:val="24"/>
                <w:u w:val="single" w:color="auto"/>
              </w:rPr>
              <w:t>；</w:t>
            </w:r>
          </w:p>
          <w:p>
            <w:pPr>
              <w:pStyle w:val="16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6" w:firstLineChars="200"/>
              <w:textAlignment w:val="auto"/>
              <w:rPr>
                <w:rFonts w:hint="eastAsia" w:ascii="Times New Roman" w:hAnsi="Times New Roman" w:eastAsia="宋体" w:cs="Times New Roman"/>
                <w:color w:val="auto"/>
                <w:sz w:val="24"/>
                <w:u w:val="single" w:color="auto"/>
              </w:rPr>
            </w:pPr>
            <w:r>
              <w:rPr>
                <w:rFonts w:hint="eastAsia" w:cs="Times New Roman"/>
                <w:color w:val="auto"/>
                <w:sz w:val="24"/>
                <w:u w:val="single" w:color="auto"/>
                <w:lang w:eastAsia="zh-CN"/>
              </w:rPr>
              <w:t>压片切条</w:t>
            </w:r>
            <w:r>
              <w:rPr>
                <w:rFonts w:hint="eastAsia" w:ascii="Times New Roman" w:hAnsi="Times New Roman" w:eastAsia="宋体" w:cs="Times New Roman"/>
                <w:color w:val="auto"/>
                <w:sz w:val="24"/>
                <w:u w:val="single" w:color="auto"/>
              </w:rPr>
              <w:t>：</w:t>
            </w:r>
            <w:r>
              <w:rPr>
                <w:rFonts w:hint="eastAsia" w:cs="Times New Roman"/>
                <w:color w:val="auto"/>
                <w:sz w:val="24"/>
                <w:u w:val="single" w:color="auto"/>
                <w:lang w:eastAsia="zh-CN"/>
              </w:rPr>
              <w:t>混合均匀后进入压片机进行压片（不需进行加热、只要使用重力进行压实），压片后按照规定的要求进行切割；</w:t>
            </w:r>
          </w:p>
          <w:p>
            <w:pPr>
              <w:pStyle w:val="16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6" w:firstLineChars="200"/>
              <w:textAlignment w:val="auto"/>
              <w:rPr>
                <w:rFonts w:hint="eastAsia" w:ascii="Times New Roman" w:hAnsi="Times New Roman" w:eastAsia="宋体" w:cs="Times New Roman"/>
                <w:color w:val="auto"/>
                <w:sz w:val="24"/>
                <w:u w:val="single" w:color="auto"/>
              </w:rPr>
            </w:pPr>
            <w:r>
              <w:rPr>
                <w:rFonts w:hint="eastAsia" w:cs="Times New Roman"/>
                <w:color w:val="auto"/>
                <w:sz w:val="24"/>
                <w:u w:val="single" w:color="auto"/>
                <w:lang w:eastAsia="zh-CN"/>
              </w:rPr>
              <w:t>模压成型</w:t>
            </w:r>
            <w:r>
              <w:rPr>
                <w:rFonts w:hint="eastAsia" w:ascii="Times New Roman" w:hAnsi="Times New Roman" w:eastAsia="宋体" w:cs="Times New Roman"/>
                <w:color w:val="auto"/>
                <w:sz w:val="24"/>
                <w:u w:val="single" w:color="auto"/>
              </w:rPr>
              <w:t>：</w:t>
            </w:r>
            <w:r>
              <w:rPr>
                <w:rFonts w:hint="eastAsia"/>
                <w:color w:val="auto"/>
                <w:sz w:val="24"/>
                <w:u w:val="single" w:color="auto"/>
                <w:lang w:eastAsia="zh-CN"/>
              </w:rPr>
              <w:t>根据不同的产品，使用不同的模具，待模压成型机温度上升到</w:t>
            </w:r>
            <w:r>
              <w:rPr>
                <w:rFonts w:hint="eastAsia"/>
                <w:color w:val="auto"/>
                <w:sz w:val="24"/>
                <w:u w:val="single" w:color="auto"/>
                <w:lang w:val="en-US" w:eastAsia="zh-CN"/>
              </w:rPr>
              <w:t>160－180度左右（使用电加热），将切好的材料放在模具上进行加热成型即可，项目在该过程中会使用水进行设备冷却（水为间接冷却，不直接接触产品）</w:t>
            </w:r>
            <w:r>
              <w:rPr>
                <w:rFonts w:hint="eastAsia" w:ascii="Times New Roman" w:hAnsi="Times New Roman" w:eastAsia="宋体" w:cs="Times New Roman"/>
                <w:color w:val="auto"/>
                <w:sz w:val="24"/>
                <w:u w:val="single" w:color="auto"/>
              </w:rPr>
              <w:t xml:space="preserve">； </w:t>
            </w:r>
          </w:p>
          <w:p>
            <w:pPr>
              <w:pStyle w:val="16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6" w:firstLineChars="200"/>
              <w:textAlignment w:val="auto"/>
              <w:rPr>
                <w:rFonts w:hint="eastAsia" w:ascii="Times New Roman" w:hAnsi="Times New Roman" w:eastAsia="宋体" w:cs="Times New Roman"/>
                <w:color w:val="auto"/>
                <w:sz w:val="24"/>
                <w:u w:val="single" w:color="auto"/>
                <w:lang w:eastAsia="zh-CN"/>
              </w:rPr>
            </w:pPr>
            <w:r>
              <w:rPr>
                <w:rFonts w:hint="eastAsia" w:cs="Times New Roman"/>
                <w:color w:val="auto"/>
                <w:sz w:val="24"/>
                <w:u w:val="single" w:color="auto"/>
                <w:lang w:eastAsia="zh-CN"/>
              </w:rPr>
              <w:t>撕边</w:t>
            </w:r>
            <w:r>
              <w:rPr>
                <w:rFonts w:hint="eastAsia" w:ascii="Times New Roman" w:hAnsi="Times New Roman" w:eastAsia="宋体" w:cs="Times New Roman"/>
                <w:color w:val="auto"/>
                <w:sz w:val="24"/>
                <w:u w:val="single" w:color="auto"/>
              </w:rPr>
              <w:t>：</w:t>
            </w:r>
            <w:r>
              <w:rPr>
                <w:rFonts w:hint="eastAsia"/>
                <w:color w:val="auto"/>
                <w:sz w:val="24"/>
                <w:u w:val="single" w:color="auto"/>
                <w:lang w:val="en-US" w:eastAsia="zh-CN"/>
              </w:rPr>
              <w:t>成型好的产品出模后将边上多余的边料撕掉</w:t>
            </w:r>
            <w:r>
              <w:rPr>
                <w:rFonts w:hint="eastAsia" w:ascii="Times New Roman" w:hAnsi="Times New Roman" w:eastAsia="宋体" w:cs="Times New Roman"/>
                <w:color w:val="auto"/>
                <w:sz w:val="24"/>
                <w:u w:val="single" w:color="auto"/>
                <w:lang w:eastAsia="zh-CN"/>
              </w:rPr>
              <w:t>；</w:t>
            </w:r>
          </w:p>
          <w:p>
            <w:pPr>
              <w:pStyle w:val="16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6" w:firstLineChars="200"/>
              <w:textAlignment w:val="auto"/>
              <w:rPr>
                <w:rFonts w:hint="eastAsia" w:ascii="Times New Roman" w:hAnsi="Times New Roman" w:eastAsia="宋体" w:cs="Times New Roman"/>
                <w:color w:val="auto"/>
                <w:sz w:val="24"/>
                <w:u w:val="none" w:color="auto"/>
              </w:rPr>
            </w:pPr>
            <w:r>
              <w:rPr>
                <w:rFonts w:hint="eastAsia" w:cs="Times New Roman"/>
                <w:color w:val="auto"/>
                <w:sz w:val="24"/>
                <w:u w:val="single" w:color="auto"/>
                <w:lang w:eastAsia="zh-CN"/>
              </w:rPr>
              <w:t>印刷、打包、外售</w:t>
            </w:r>
            <w:r>
              <w:rPr>
                <w:rFonts w:hint="eastAsia" w:ascii="Times New Roman" w:hAnsi="Times New Roman" w:eastAsia="宋体" w:cs="Times New Roman"/>
                <w:color w:val="auto"/>
                <w:sz w:val="24"/>
                <w:u w:val="single" w:color="auto"/>
                <w:lang w:eastAsia="zh-CN"/>
              </w:rPr>
              <w:t>：</w:t>
            </w:r>
            <w:r>
              <w:rPr>
                <w:rFonts w:hint="eastAsia"/>
                <w:color w:val="auto"/>
                <w:sz w:val="24"/>
                <w:u w:val="single" w:color="auto"/>
                <w:lang w:val="en-US" w:eastAsia="zh-CN"/>
              </w:rPr>
              <w:t>如果客户没有特别的要求就直接包装待出货了。如果客户要求印自己的Logo，即需要再用移印机印上客户Logo，待印字牢固后再包装即可。</w:t>
            </w:r>
          </w:p>
          <w:p>
            <w:pPr>
              <w:adjustRightInd w:val="0"/>
              <w:snapToGrid w:val="0"/>
              <w:spacing w:line="360" w:lineRule="auto"/>
              <w:ind w:right="113"/>
              <w:rPr>
                <w:b/>
                <w:kern w:val="0"/>
                <w:sz w:val="30"/>
                <w:szCs w:val="30"/>
                <w:u w:val="none" w:color="auto"/>
              </w:rPr>
            </w:pPr>
            <w:r>
              <w:rPr>
                <w:rFonts w:hint="eastAsia"/>
                <w:b/>
                <w:kern w:val="0"/>
                <w:sz w:val="30"/>
                <w:szCs w:val="30"/>
                <w:u w:val="none" w:color="auto"/>
              </w:rPr>
              <w:t>运营期</w:t>
            </w:r>
            <w:r>
              <w:rPr>
                <w:b/>
                <w:kern w:val="0"/>
                <w:sz w:val="30"/>
                <w:szCs w:val="30"/>
                <w:u w:val="none" w:color="auto"/>
              </w:rPr>
              <w:t>：</w:t>
            </w:r>
          </w:p>
          <w:p>
            <w:pPr>
              <w:snapToGrid w:val="0"/>
              <w:spacing w:line="360" w:lineRule="auto"/>
              <w:ind w:firstLine="457" w:firstLineChars="196"/>
              <w:rPr>
                <w:sz w:val="24"/>
                <w:szCs w:val="24"/>
                <w:u w:val="none" w:color="auto"/>
              </w:rPr>
            </w:pPr>
            <w:r>
              <w:rPr>
                <w:sz w:val="24"/>
                <w:szCs w:val="24"/>
                <w:u w:val="none" w:color="auto"/>
              </w:rPr>
              <w:t>1、废水</w:t>
            </w:r>
          </w:p>
          <w:p>
            <w:pPr>
              <w:snapToGrid w:val="0"/>
              <w:spacing w:line="360" w:lineRule="auto"/>
              <w:ind w:firstLine="457" w:firstLineChars="196"/>
              <w:rPr>
                <w:bCs/>
                <w:sz w:val="24"/>
                <w:szCs w:val="24"/>
                <w:u w:val="none" w:color="auto"/>
              </w:rPr>
            </w:pPr>
            <w:r>
              <w:rPr>
                <w:rFonts w:hint="eastAsia"/>
                <w:bCs/>
                <w:sz w:val="24"/>
                <w:szCs w:val="24"/>
                <w:u w:val="none" w:color="auto"/>
              </w:rPr>
              <w:t>本项目车间地面基本以干式打扫为主，故无车间清洁废水</w:t>
            </w:r>
            <w:r>
              <w:rPr>
                <w:rFonts w:hint="eastAsia"/>
                <w:bCs/>
                <w:sz w:val="24"/>
                <w:szCs w:val="24"/>
                <w:u w:val="none" w:color="auto"/>
                <w:lang w:eastAsia="zh-CN"/>
              </w:rPr>
              <w:t>，生产用水主要为冷却水</w:t>
            </w:r>
            <w:r>
              <w:rPr>
                <w:rFonts w:hint="eastAsia"/>
                <w:bCs/>
                <w:sz w:val="24"/>
                <w:szCs w:val="24"/>
                <w:u w:val="none" w:color="auto"/>
              </w:rPr>
              <w:t>。</w:t>
            </w:r>
            <w:r>
              <w:rPr>
                <w:rFonts w:hint="eastAsia"/>
                <w:bCs/>
                <w:sz w:val="24"/>
                <w:szCs w:val="24"/>
                <w:u w:val="none" w:color="auto"/>
                <w:lang w:eastAsia="zh-CN"/>
              </w:rPr>
              <w:t>生活</w:t>
            </w:r>
            <w:r>
              <w:rPr>
                <w:rFonts w:hint="eastAsia"/>
                <w:bCs/>
                <w:sz w:val="24"/>
                <w:szCs w:val="24"/>
                <w:u w:val="none" w:color="auto"/>
              </w:rPr>
              <w:t>废水主要来自于员工的生活污水。</w:t>
            </w:r>
          </w:p>
          <w:p>
            <w:pPr>
              <w:snapToGrid w:val="0"/>
              <w:spacing w:line="360" w:lineRule="auto"/>
              <w:ind w:firstLine="457" w:firstLineChars="196"/>
              <w:rPr>
                <w:bCs/>
                <w:sz w:val="24"/>
                <w:u w:val="none" w:color="auto"/>
              </w:rPr>
            </w:pPr>
            <w:r>
              <w:rPr>
                <w:rFonts w:hint="eastAsia"/>
                <w:bCs/>
                <w:sz w:val="24"/>
                <w:u w:val="none" w:color="auto"/>
              </w:rPr>
              <w:t>（1）生活污水</w:t>
            </w:r>
          </w:p>
          <w:p>
            <w:pPr>
              <w:snapToGrid w:val="0"/>
              <w:spacing w:line="360" w:lineRule="auto"/>
              <w:ind w:firstLine="457" w:firstLineChars="196"/>
              <w:rPr>
                <w:sz w:val="24"/>
                <w:szCs w:val="24"/>
                <w:u w:val="none" w:color="auto"/>
              </w:rPr>
            </w:pPr>
            <w:r>
              <w:rPr>
                <w:rFonts w:hint="eastAsia"/>
                <w:bCs/>
                <w:sz w:val="24"/>
                <w:u w:val="none" w:color="auto"/>
              </w:rPr>
              <w:t>本项目营运期生活污水产生量为</w:t>
            </w:r>
            <w:r>
              <w:rPr>
                <w:rFonts w:hint="eastAsia"/>
                <w:sz w:val="24"/>
                <w:szCs w:val="24"/>
                <w:u w:val="none" w:color="auto"/>
                <w:lang w:val="en-US" w:eastAsia="zh-CN"/>
              </w:rPr>
              <w:t>1</w:t>
            </w:r>
            <w:r>
              <w:rPr>
                <w:rFonts w:hint="eastAsia"/>
                <w:bCs/>
                <w:sz w:val="24"/>
                <w:u w:val="none" w:color="auto"/>
              </w:rPr>
              <w:t>m</w:t>
            </w:r>
            <w:r>
              <w:rPr>
                <w:rFonts w:hint="eastAsia"/>
                <w:bCs/>
                <w:sz w:val="24"/>
                <w:u w:val="none" w:color="auto"/>
                <w:vertAlign w:val="superscript"/>
              </w:rPr>
              <w:t>3</w:t>
            </w:r>
            <w:r>
              <w:rPr>
                <w:rFonts w:hint="eastAsia"/>
                <w:bCs/>
                <w:sz w:val="24"/>
                <w:u w:val="none" w:color="auto"/>
              </w:rPr>
              <w:t>/d、</w:t>
            </w:r>
            <w:r>
              <w:rPr>
                <w:rFonts w:hint="eastAsia"/>
                <w:bCs/>
                <w:sz w:val="24"/>
                <w:u w:val="none" w:color="auto"/>
                <w:lang w:val="en-US" w:eastAsia="zh-CN"/>
              </w:rPr>
              <w:t>300</w:t>
            </w:r>
            <w:r>
              <w:rPr>
                <w:rFonts w:hint="eastAsia"/>
                <w:bCs/>
                <w:sz w:val="24"/>
                <w:u w:val="none" w:color="auto"/>
              </w:rPr>
              <w:t>m</w:t>
            </w:r>
            <w:r>
              <w:rPr>
                <w:rFonts w:hint="eastAsia"/>
                <w:bCs/>
                <w:sz w:val="24"/>
                <w:u w:val="none" w:color="auto"/>
                <w:vertAlign w:val="superscript"/>
              </w:rPr>
              <w:t>3</w:t>
            </w:r>
            <w:r>
              <w:rPr>
                <w:rFonts w:hint="eastAsia"/>
                <w:bCs/>
                <w:sz w:val="24"/>
                <w:u w:val="none" w:color="auto"/>
              </w:rPr>
              <w:t>/a，其主要污染因子为 COD、BOD</w:t>
            </w:r>
            <w:r>
              <w:rPr>
                <w:rFonts w:hint="eastAsia"/>
                <w:bCs/>
                <w:sz w:val="24"/>
                <w:u w:val="none" w:color="auto"/>
                <w:vertAlign w:val="subscript"/>
              </w:rPr>
              <w:t>5</w:t>
            </w:r>
            <w:r>
              <w:rPr>
                <w:rFonts w:hint="eastAsia"/>
                <w:bCs/>
                <w:sz w:val="24"/>
                <w:u w:val="none" w:color="auto"/>
              </w:rPr>
              <w:t>、SS、NH</w:t>
            </w:r>
            <w:r>
              <w:rPr>
                <w:rFonts w:hint="eastAsia"/>
                <w:bCs/>
                <w:sz w:val="24"/>
                <w:u w:val="none" w:color="auto"/>
                <w:vertAlign w:val="subscript"/>
              </w:rPr>
              <w:t>3</w:t>
            </w:r>
            <w:r>
              <w:rPr>
                <w:rFonts w:hint="eastAsia"/>
                <w:bCs/>
                <w:sz w:val="24"/>
                <w:u w:val="none" w:color="auto"/>
              </w:rPr>
              <w:t>-N。</w:t>
            </w:r>
            <w:r>
              <w:rPr>
                <w:rFonts w:hint="eastAsia"/>
                <w:bCs/>
                <w:sz w:val="24"/>
                <w:u w:val="none" w:color="auto"/>
                <w:lang w:eastAsia="zh-CN"/>
              </w:rPr>
              <w:t>其中</w:t>
            </w:r>
            <w:r>
              <w:rPr>
                <w:sz w:val="24"/>
                <w:szCs w:val="24"/>
                <w:u w:val="none" w:color="auto"/>
                <w:lang w:bidi="ar"/>
              </w:rPr>
              <w:t>生活废水中COD300mg/L、BOD</w:t>
            </w:r>
            <w:r>
              <w:rPr>
                <w:sz w:val="24"/>
                <w:szCs w:val="24"/>
                <w:u w:val="none" w:color="auto"/>
                <w:vertAlign w:val="subscript"/>
                <w:lang w:bidi="ar"/>
              </w:rPr>
              <w:t>5</w:t>
            </w:r>
            <w:r>
              <w:rPr>
                <w:sz w:val="24"/>
                <w:szCs w:val="24"/>
                <w:u w:val="none" w:color="auto"/>
                <w:lang w:bidi="ar"/>
              </w:rPr>
              <w:t>200mg/L、氨氮30mg/L、SS250mg/L</w:t>
            </w:r>
            <w:r>
              <w:rPr>
                <w:rFonts w:hint="eastAsia"/>
                <w:sz w:val="24"/>
                <w:szCs w:val="24"/>
                <w:u w:val="none" w:color="auto"/>
                <w:lang w:bidi="ar"/>
              </w:rPr>
              <w:t>。</w:t>
            </w:r>
            <w:r>
              <w:rPr>
                <w:rFonts w:hint="eastAsia"/>
                <w:sz w:val="24"/>
                <w:szCs w:val="24"/>
                <w:u w:val="none" w:color="auto"/>
                <w:lang w:val="en-US" w:eastAsia="zh-CN"/>
              </w:rPr>
              <w:t>湘阴县第三污水处理厂建成且接通前：</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污水通过化粪池处理后排入园区污水管网再进入</w:t>
            </w:r>
            <w:r>
              <w:rPr>
                <w:rFonts w:hint="eastAsia"/>
                <w:sz w:val="24"/>
                <w:szCs w:val="24"/>
                <w:u w:val="none" w:color="auto"/>
                <w:lang w:eastAsia="zh-CN"/>
              </w:rPr>
              <w:t>卓达金谷创业园自建的污水处理站</w:t>
            </w:r>
            <w:r>
              <w:rPr>
                <w:sz w:val="24"/>
                <w:szCs w:val="24"/>
                <w:u w:val="none" w:color="auto"/>
              </w:rPr>
              <w:t>处理</w:t>
            </w:r>
            <w:r>
              <w:rPr>
                <w:rFonts w:hAnsi="宋体"/>
                <w:sz w:val="24"/>
                <w:szCs w:val="24"/>
                <w:u w:val="none" w:color="auto"/>
              </w:rPr>
              <w:t>达</w:t>
            </w:r>
            <w:r>
              <w:rPr>
                <w:rFonts w:hint="eastAsia" w:hAnsi="宋体"/>
                <w:sz w:val="24"/>
                <w:szCs w:val="24"/>
                <w:u w:val="none" w:color="auto"/>
                <w:lang w:eastAsia="zh-CN"/>
              </w:rPr>
              <w:t>到</w:t>
            </w:r>
            <w:r>
              <w:rPr>
                <w:sz w:val="24"/>
                <w:szCs w:val="24"/>
                <w:u w:val="none" w:color="auto"/>
              </w:rPr>
              <w:t>《城镇污水处理厂污染物排放标准（GB18918—2002）》中一级标准的A类标准后</w:t>
            </w:r>
            <w:r>
              <w:rPr>
                <w:rFonts w:hint="eastAsia"/>
                <w:sz w:val="24"/>
                <w:szCs w:val="24"/>
                <w:u w:val="none" w:color="auto"/>
                <w:lang w:eastAsia="zh-CN"/>
              </w:rPr>
              <w:t>进入洋沙河</w:t>
            </w:r>
            <w:r>
              <w:rPr>
                <w:rFonts w:hint="eastAsia"/>
                <w:sz w:val="24"/>
                <w:szCs w:val="24"/>
                <w:u w:val="none" w:color="auto"/>
                <w:lang w:val="en-US" w:eastAsia="zh-CN"/>
              </w:rPr>
              <w:t>排入洋沙湖</w:t>
            </w:r>
            <w:r>
              <w:rPr>
                <w:sz w:val="24"/>
                <w:szCs w:val="24"/>
                <w:u w:val="none" w:color="auto"/>
              </w:rPr>
              <w:t>，最终汇入湘江</w:t>
            </w:r>
            <w:r>
              <w:rPr>
                <w:rFonts w:hint="eastAsia"/>
                <w:sz w:val="24"/>
                <w:szCs w:val="24"/>
                <w:u w:val="none" w:color="auto"/>
                <w:lang w:eastAsia="zh-CN"/>
              </w:rPr>
              <w:t>。</w:t>
            </w:r>
            <w:r>
              <w:rPr>
                <w:rFonts w:hint="eastAsia"/>
                <w:sz w:val="24"/>
                <w:szCs w:val="24"/>
                <w:u w:val="none" w:color="auto"/>
                <w:lang w:val="en-US" w:eastAsia="zh-CN"/>
              </w:rPr>
              <w:t>湘阴县第三污水处理厂建成且接通后：</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w:t>
            </w:r>
            <w:r>
              <w:rPr>
                <w:rFonts w:hint="eastAsia"/>
                <w:sz w:val="24"/>
                <w:szCs w:val="24"/>
                <w:u w:val="none" w:color="auto"/>
                <w:lang w:val="en-US" w:eastAsia="zh-CN"/>
              </w:rPr>
              <w:t>进入湘阴县第三污水处理厂处理后排入洋沙河流入洋沙湖，最终进入湘江</w:t>
            </w:r>
            <w:r>
              <w:rPr>
                <w:sz w:val="24"/>
                <w:szCs w:val="24"/>
                <w:u w:val="none" w:color="auto"/>
              </w:rPr>
              <w:t>。</w:t>
            </w:r>
          </w:p>
          <w:p>
            <w:pPr>
              <w:ind w:firstLine="466" w:firstLineChars="200"/>
              <w:jc w:val="center"/>
              <w:rPr>
                <w:b/>
                <w:sz w:val="24"/>
                <w:u w:val="none" w:color="auto"/>
              </w:rPr>
            </w:pPr>
            <w:r>
              <w:rPr>
                <w:b/>
                <w:sz w:val="24"/>
                <w:u w:val="none" w:color="auto"/>
              </w:rPr>
              <w:t>表5-1  生活污水产生情况</w:t>
            </w:r>
          </w:p>
          <w:tbl>
            <w:tblPr>
              <w:tblStyle w:val="40"/>
              <w:tblW w:w="499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2177"/>
              <w:gridCol w:w="2280"/>
              <w:gridCol w:w="2280"/>
              <w:gridCol w:w="23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 w:hRule="atLeast"/>
                <w:jc w:val="center"/>
              </w:trPr>
              <w:tc>
                <w:tcPr>
                  <w:tcW w:w="1200" w:type="pct"/>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产生环节</w:t>
                  </w:r>
                </w:p>
              </w:tc>
              <w:tc>
                <w:tcPr>
                  <w:tcW w:w="1257" w:type="pct"/>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指标</w:t>
                  </w:r>
                </w:p>
              </w:tc>
              <w:tc>
                <w:tcPr>
                  <w:tcW w:w="1257" w:type="pct"/>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水质(mg/L)</w:t>
                  </w:r>
                </w:p>
              </w:tc>
              <w:tc>
                <w:tcPr>
                  <w:tcW w:w="1284"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年排放量（t/a）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1200" w:type="pct"/>
                  <w:vMerge w:val="restart"/>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生活污水</w:t>
                  </w: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水量</w:t>
                  </w:r>
                </w:p>
              </w:tc>
              <w:tc>
                <w:tcPr>
                  <w:tcW w:w="1257" w:type="pct"/>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w:t>
                  </w:r>
                </w:p>
              </w:tc>
              <w:tc>
                <w:tcPr>
                  <w:tcW w:w="1284"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200" w:type="pct"/>
                  <w:vMerge w:val="continue"/>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 xml:space="preserve">COD                             </w:t>
                  </w: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300</w:t>
                  </w:r>
                </w:p>
              </w:tc>
              <w:tc>
                <w:tcPr>
                  <w:tcW w:w="1284"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0.09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200" w:type="pct"/>
                  <w:vMerge w:val="continue"/>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vertAlign w:val="baseline"/>
                      <w:lang w:val="en-US" w:eastAsia="zh-CN" w:bidi="ar-SA"/>
                    </w:rPr>
                    <w:t>BOD</w:t>
                  </w:r>
                  <w:r>
                    <w:rPr>
                      <w:rFonts w:hint="eastAsia" w:ascii="Times New Roman" w:hAnsi="Times New Roman" w:cs="Times New Roman"/>
                      <w:kern w:val="2"/>
                      <w:sz w:val="22"/>
                      <w:szCs w:val="22"/>
                      <w:u w:val="none" w:color="auto"/>
                      <w:vertAlign w:val="subscript"/>
                      <w:lang w:val="en-US" w:eastAsia="zh-CN" w:bidi="ar-SA"/>
                    </w:rPr>
                    <w:t>5</w:t>
                  </w: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200</w:t>
                  </w:r>
                </w:p>
              </w:tc>
              <w:tc>
                <w:tcPr>
                  <w:tcW w:w="1284"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200" w:type="pct"/>
                  <w:vMerge w:val="continue"/>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SS</w:t>
                  </w: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200</w:t>
                  </w:r>
                </w:p>
              </w:tc>
              <w:tc>
                <w:tcPr>
                  <w:tcW w:w="1284"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0.06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200" w:type="pct"/>
                  <w:vMerge w:val="continue"/>
                  <w:noWrap w:val="0"/>
                  <w:vAlign w:val="center"/>
                </w:tcPr>
                <w:p>
                  <w:pPr>
                    <w:pStyle w:val="4"/>
                    <w:keepNext w:val="0"/>
                    <w:keepLines w:val="0"/>
                    <w:pageBreakBefore w:val="0"/>
                    <w:widowControl w:val="0"/>
                    <w:kinsoku/>
                    <w:wordWrap/>
                    <w:overflowPunct/>
                    <w:topLinePunct w:val="0"/>
                    <w:autoSpaceDE/>
                    <w:autoSpaceDN/>
                    <w:bidi w:val="0"/>
                    <w:adjustRightInd w:val="0"/>
                    <w:snapToGrid w:val="0"/>
                    <w:spacing w:before="0" w:beforeLines="0" w:line="360" w:lineRule="auto"/>
                    <w:ind w:firstLine="210"/>
                    <w:jc w:val="center"/>
                    <w:rPr>
                      <w:rFonts w:hint="default" w:ascii="Times New Roman" w:hAnsi="Times New Roman" w:eastAsia="宋体" w:cs="Times New Roman"/>
                      <w:kern w:val="2"/>
                      <w:sz w:val="22"/>
                      <w:szCs w:val="22"/>
                      <w:u w:val="none" w:color="auto"/>
                      <w:lang w:val="en-US" w:eastAsia="zh-CN" w:bidi="ar-SA"/>
                    </w:rPr>
                  </w:pP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NH</w:t>
                  </w:r>
                  <w:r>
                    <w:rPr>
                      <w:rFonts w:hint="default" w:ascii="Times New Roman" w:hAnsi="Times New Roman" w:eastAsia="宋体" w:cs="Times New Roman"/>
                      <w:kern w:val="2"/>
                      <w:sz w:val="22"/>
                      <w:szCs w:val="22"/>
                      <w:u w:val="none" w:color="auto"/>
                      <w:vertAlign w:val="subscript"/>
                      <w:lang w:val="en-US" w:eastAsia="zh-CN" w:bidi="ar-SA"/>
                    </w:rPr>
                    <w:t>3</w:t>
                  </w:r>
                  <w:r>
                    <w:rPr>
                      <w:rFonts w:hint="default" w:ascii="Times New Roman" w:hAnsi="Times New Roman" w:eastAsia="宋体" w:cs="Times New Roman"/>
                      <w:kern w:val="2"/>
                      <w:sz w:val="22"/>
                      <w:szCs w:val="22"/>
                      <w:u w:val="none" w:color="auto"/>
                      <w:lang w:val="en-US" w:eastAsia="zh-CN" w:bidi="ar-SA"/>
                    </w:rPr>
                    <w:t>-N</w:t>
                  </w:r>
                </w:p>
              </w:tc>
              <w:tc>
                <w:tcPr>
                  <w:tcW w:w="1257"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30</w:t>
                  </w:r>
                </w:p>
              </w:tc>
              <w:tc>
                <w:tcPr>
                  <w:tcW w:w="1284" w:type="pct"/>
                  <w:noWrap w:val="0"/>
                  <w:vAlign w:val="center"/>
                </w:tcPr>
                <w:p>
                  <w:pPr>
                    <w:pStyle w:val="149"/>
                    <w:keepNext w:val="0"/>
                    <w:keepLines w:val="0"/>
                    <w:pageBreakBefore w:val="0"/>
                    <w:widowControl w:val="0"/>
                    <w:kinsoku/>
                    <w:wordWrap/>
                    <w:overflowPunct/>
                    <w:topLinePunct w:val="0"/>
                    <w:autoSpaceDE/>
                    <w:autoSpaceDN/>
                    <w:bidi w:val="0"/>
                    <w:adjustRightInd w:val="0"/>
                    <w:snapToGrid w:val="0"/>
                    <w:spacing w:line="360" w:lineRule="auto"/>
                    <w:rPr>
                      <w:rFonts w:hint="default" w:ascii="Times New Roman" w:hAnsi="Times New Roman" w:eastAsia="宋体" w:cs="Times New Roman"/>
                      <w:kern w:val="2"/>
                      <w:sz w:val="22"/>
                      <w:szCs w:val="22"/>
                      <w:u w:val="none" w:color="auto"/>
                      <w:lang w:val="en-US" w:eastAsia="zh-CN" w:bidi="ar-SA"/>
                    </w:rPr>
                  </w:pPr>
                  <w:r>
                    <w:rPr>
                      <w:rFonts w:hint="default" w:ascii="Times New Roman" w:hAnsi="Times New Roman" w:eastAsia="宋体" w:cs="Times New Roman"/>
                      <w:kern w:val="2"/>
                      <w:sz w:val="22"/>
                      <w:szCs w:val="22"/>
                      <w:u w:val="none" w:color="auto"/>
                      <w:lang w:val="en-US" w:eastAsia="zh-CN" w:bidi="ar-SA"/>
                    </w:rPr>
                    <w:t>0.009</w:t>
                  </w:r>
                </w:p>
              </w:tc>
            </w:tr>
          </w:tbl>
          <w:p>
            <w:pPr>
              <w:spacing w:line="360" w:lineRule="auto"/>
              <w:ind w:firstLine="466" w:firstLineChars="200"/>
              <w:rPr>
                <w:rFonts w:hint="eastAsia" w:eastAsia="宋体"/>
                <w:sz w:val="24"/>
                <w:szCs w:val="24"/>
                <w:u w:val="single" w:color="auto"/>
                <w:lang w:eastAsia="zh-CN"/>
              </w:rPr>
            </w:pPr>
            <w:r>
              <w:rPr>
                <w:rFonts w:hint="eastAsia"/>
                <w:sz w:val="24"/>
                <w:szCs w:val="24"/>
                <w:u w:val="single" w:color="auto"/>
                <w:lang w:eastAsia="zh-CN"/>
              </w:rPr>
              <w:t>（</w:t>
            </w:r>
            <w:r>
              <w:rPr>
                <w:rFonts w:hint="eastAsia"/>
                <w:sz w:val="24"/>
                <w:szCs w:val="24"/>
                <w:u w:val="single" w:color="auto"/>
                <w:lang w:val="en-US" w:eastAsia="zh-CN"/>
              </w:rPr>
              <w:t>2</w:t>
            </w:r>
            <w:r>
              <w:rPr>
                <w:rFonts w:hint="eastAsia"/>
                <w:sz w:val="24"/>
                <w:szCs w:val="24"/>
                <w:u w:val="single" w:color="auto"/>
                <w:lang w:eastAsia="zh-CN"/>
              </w:rPr>
              <w:t>）冷却水</w:t>
            </w:r>
          </w:p>
          <w:p>
            <w:pPr>
              <w:spacing w:line="360" w:lineRule="auto"/>
              <w:ind w:firstLine="466" w:firstLineChars="200"/>
              <w:rPr>
                <w:rFonts w:hint="default"/>
                <w:sz w:val="24"/>
                <w:szCs w:val="24"/>
                <w:u w:val="none" w:color="auto"/>
                <w:lang w:val="en-US"/>
              </w:rPr>
            </w:pPr>
            <w:r>
              <w:rPr>
                <w:rFonts w:hint="eastAsia"/>
                <w:sz w:val="24"/>
                <w:szCs w:val="24"/>
                <w:u w:val="single" w:color="auto"/>
                <w:lang w:eastAsia="zh-CN"/>
              </w:rPr>
              <w:t>项目</w:t>
            </w:r>
            <w:r>
              <w:rPr>
                <w:rFonts w:hint="eastAsia"/>
                <w:sz w:val="24"/>
                <w:szCs w:val="24"/>
                <w:u w:val="single" w:color="auto"/>
                <w:lang w:val="en-US" w:eastAsia="zh-CN"/>
              </w:rPr>
              <w:t>模压成型</w:t>
            </w:r>
            <w:r>
              <w:rPr>
                <w:rFonts w:hint="eastAsia"/>
                <w:sz w:val="24"/>
                <w:szCs w:val="24"/>
                <w:u w:val="single" w:color="auto"/>
                <w:lang w:eastAsia="zh-CN"/>
              </w:rPr>
              <w:t>过程中冷却水经循环水池收集后循环使用，不外排，循环使用量为</w:t>
            </w:r>
            <w:r>
              <w:rPr>
                <w:rFonts w:hint="eastAsia"/>
                <w:sz w:val="24"/>
                <w:szCs w:val="24"/>
                <w:u w:val="single" w:color="auto"/>
                <w:lang w:val="en-US" w:eastAsia="zh-CN"/>
              </w:rPr>
              <w:t>3m</w:t>
            </w:r>
            <w:r>
              <w:rPr>
                <w:rFonts w:hint="eastAsia"/>
                <w:sz w:val="24"/>
                <w:szCs w:val="24"/>
                <w:u w:val="single" w:color="auto"/>
                <w:vertAlign w:val="superscript"/>
                <w:lang w:val="en-US" w:eastAsia="zh-CN"/>
              </w:rPr>
              <w:t>3</w:t>
            </w:r>
            <w:r>
              <w:rPr>
                <w:rFonts w:hint="eastAsia"/>
                <w:sz w:val="24"/>
                <w:szCs w:val="24"/>
                <w:u w:val="single" w:color="auto"/>
                <w:lang w:val="en-US" w:eastAsia="zh-CN"/>
              </w:rPr>
              <w:t>/d。冷却水损耗量为0.1m</w:t>
            </w:r>
            <w:r>
              <w:rPr>
                <w:rFonts w:hint="eastAsia"/>
                <w:sz w:val="24"/>
                <w:szCs w:val="24"/>
                <w:u w:val="single" w:color="auto"/>
                <w:vertAlign w:val="superscript"/>
                <w:lang w:val="en-US" w:eastAsia="zh-CN"/>
              </w:rPr>
              <w:t>3</w:t>
            </w:r>
            <w:r>
              <w:rPr>
                <w:rFonts w:hint="eastAsia"/>
                <w:sz w:val="24"/>
                <w:szCs w:val="24"/>
                <w:u w:val="single" w:color="auto"/>
                <w:lang w:val="en-US" w:eastAsia="zh-CN"/>
              </w:rPr>
              <w:t>/d，只需定期进行补充新鲜水即可，项目年补充新鲜水量为30m</w:t>
            </w:r>
            <w:r>
              <w:rPr>
                <w:rFonts w:hint="eastAsia"/>
                <w:sz w:val="24"/>
                <w:szCs w:val="24"/>
                <w:u w:val="single" w:color="auto"/>
                <w:vertAlign w:val="superscript"/>
                <w:lang w:val="en-US" w:eastAsia="zh-CN"/>
              </w:rPr>
              <w:t>3</w:t>
            </w:r>
            <w:r>
              <w:rPr>
                <w:rFonts w:hint="eastAsia"/>
                <w:sz w:val="24"/>
                <w:szCs w:val="24"/>
                <w:u w:val="single" w:color="auto"/>
                <w:lang w:val="en-US" w:eastAsia="zh-CN"/>
              </w:rPr>
              <w:t>/a。</w:t>
            </w:r>
          </w:p>
          <w:p>
            <w:pPr>
              <w:spacing w:line="360" w:lineRule="auto"/>
              <w:ind w:firstLine="466" w:firstLineChars="200"/>
              <w:rPr>
                <w:sz w:val="24"/>
                <w:szCs w:val="24"/>
                <w:u w:val="single" w:color="auto"/>
              </w:rPr>
            </w:pPr>
            <w:r>
              <w:rPr>
                <w:sz w:val="24"/>
                <w:szCs w:val="24"/>
                <w:u w:val="single" w:color="auto"/>
              </w:rPr>
              <w:t>2、废气</w:t>
            </w:r>
          </w:p>
          <w:p>
            <w:pPr>
              <w:pStyle w:val="34"/>
              <w:spacing w:line="360" w:lineRule="auto"/>
              <w:ind w:left="0" w:leftChars="0" w:firstLine="466" w:firstLineChars="200"/>
              <w:jc w:val="left"/>
              <w:rPr>
                <w:sz w:val="24"/>
                <w:u w:val="single" w:color="auto"/>
              </w:rPr>
            </w:pPr>
            <w:r>
              <w:rPr>
                <w:sz w:val="24"/>
                <w:u w:val="single" w:color="auto"/>
              </w:rPr>
              <w:t>本项目运营过程中产生的废气有</w:t>
            </w:r>
            <w:r>
              <w:rPr>
                <w:rFonts w:hint="eastAsia"/>
                <w:sz w:val="24"/>
                <w:u w:val="single" w:color="auto"/>
                <w:lang w:eastAsia="zh-CN"/>
              </w:rPr>
              <w:t>模压成型废气、印刷标签废气</w:t>
            </w:r>
            <w:r>
              <w:rPr>
                <w:rFonts w:hint="eastAsia"/>
                <w:sz w:val="24"/>
                <w:u w:val="single" w:color="auto"/>
              </w:rPr>
              <w:t>。</w:t>
            </w:r>
          </w:p>
          <w:p>
            <w:pPr>
              <w:pStyle w:val="34"/>
              <w:spacing w:line="360" w:lineRule="auto"/>
              <w:ind w:left="400"/>
              <w:jc w:val="left"/>
              <w:rPr>
                <w:rFonts w:hint="default" w:eastAsia="宋体"/>
                <w:sz w:val="24"/>
                <w:u w:val="single" w:color="auto"/>
                <w:lang w:val="en-US" w:eastAsia="zh-CN"/>
              </w:rPr>
            </w:pPr>
            <w:r>
              <w:rPr>
                <w:rFonts w:hint="eastAsia"/>
                <w:sz w:val="24"/>
                <w:u w:val="single" w:color="auto"/>
              </w:rPr>
              <w:t>（1）</w:t>
            </w:r>
            <w:r>
              <w:rPr>
                <w:rFonts w:hint="eastAsia"/>
                <w:sz w:val="24"/>
                <w:u w:val="single" w:color="auto"/>
                <w:lang w:eastAsia="zh-CN"/>
              </w:rPr>
              <w:t>印刷标签废气</w:t>
            </w:r>
          </w:p>
          <w:p>
            <w:pPr>
              <w:pStyle w:val="34"/>
              <w:spacing w:line="360" w:lineRule="auto"/>
              <w:ind w:left="0" w:leftChars="0" w:firstLine="466" w:firstLineChars="200"/>
              <w:jc w:val="left"/>
              <w:rPr>
                <w:rFonts w:hint="default" w:eastAsia="宋体"/>
                <w:sz w:val="24"/>
                <w:u w:val="single" w:color="auto"/>
                <w:lang w:val="en-US" w:eastAsia="zh-CN"/>
              </w:rPr>
            </w:pPr>
            <w:r>
              <w:rPr>
                <w:rFonts w:hint="eastAsia"/>
                <w:sz w:val="24"/>
                <w:u w:val="single" w:color="auto"/>
                <w:lang w:eastAsia="zh-CN"/>
              </w:rPr>
              <w:t>本项目大部分不需要印刷标签，故硅胶油墨使用量较少，年使用量为</w:t>
            </w:r>
            <w:r>
              <w:rPr>
                <w:rFonts w:hint="eastAsia"/>
                <w:sz w:val="24"/>
                <w:u w:val="single" w:color="auto"/>
                <w:lang w:val="en-US" w:eastAsia="zh-CN"/>
              </w:rPr>
              <w:t>12kg，煤油使用量为2kg，产生的废气量极少且为间歇式排放，需要做好车间通风，确保空气流通，外排的无组织废气需满足</w:t>
            </w:r>
            <w:r>
              <w:rPr>
                <w:rFonts w:hint="eastAsia" w:cs="Times New Roman"/>
                <w:color w:val="auto"/>
                <w:kern w:val="0"/>
                <w:sz w:val="24"/>
                <w:szCs w:val="24"/>
                <w:u w:val="single" w:color="auto"/>
                <w:lang w:val="en-US" w:eastAsia="zh-CN" w:bidi="ar"/>
              </w:rPr>
              <w:t>《印刷业挥发性有机物排放标准》（DB43/1357-2017）中排放标准</w:t>
            </w:r>
            <w:r>
              <w:rPr>
                <w:rFonts w:hint="eastAsia"/>
                <w:sz w:val="24"/>
                <w:u w:val="single" w:color="auto"/>
                <w:lang w:val="en-US" w:eastAsia="zh-CN"/>
              </w:rPr>
              <w:t>，故本次环评不对其进行定量分析，由于项目使用的油墨为油性油墨，故本环评建议项目使用水性油墨进行印刷</w:t>
            </w:r>
            <w:r>
              <w:rPr>
                <w:rFonts w:hint="eastAsia"/>
                <w:sz w:val="24"/>
                <w:u w:val="single" w:color="auto"/>
                <w:lang w:eastAsia="zh-CN"/>
              </w:rPr>
              <w:t>。</w:t>
            </w:r>
          </w:p>
          <w:p>
            <w:pPr>
              <w:pStyle w:val="34"/>
              <w:spacing w:line="360" w:lineRule="auto"/>
              <w:ind w:left="400"/>
              <w:jc w:val="left"/>
              <w:rPr>
                <w:sz w:val="24"/>
                <w:u w:val="single" w:color="auto"/>
              </w:rPr>
            </w:pPr>
            <w:r>
              <w:rPr>
                <w:rFonts w:hint="eastAsia"/>
                <w:sz w:val="24"/>
                <w:u w:val="single" w:color="auto"/>
                <w:lang w:eastAsia="zh-CN"/>
              </w:rPr>
              <w:t>（</w:t>
            </w:r>
            <w:r>
              <w:rPr>
                <w:rFonts w:hint="eastAsia"/>
                <w:sz w:val="24"/>
                <w:u w:val="single" w:color="auto"/>
                <w:lang w:val="en-US" w:eastAsia="zh-CN"/>
              </w:rPr>
              <w:t>2</w:t>
            </w:r>
            <w:r>
              <w:rPr>
                <w:rFonts w:hint="eastAsia"/>
                <w:sz w:val="24"/>
                <w:u w:val="single" w:color="auto"/>
                <w:lang w:eastAsia="zh-CN"/>
              </w:rPr>
              <w:t>）模压成型废气</w:t>
            </w:r>
          </w:p>
          <w:p>
            <w:pPr>
              <w:spacing w:line="360" w:lineRule="auto"/>
              <w:ind w:firstLine="466" w:firstLineChars="200"/>
              <w:rPr>
                <w:rFonts w:hint="eastAsia" w:ascii="宋体" w:hAnsi="宋体" w:eastAsia="宋体" w:cs="宋体"/>
                <w:color w:val="333333"/>
                <w:sz w:val="24"/>
                <w:szCs w:val="24"/>
                <w:u w:val="single" w:color="auto"/>
                <w:lang w:eastAsia="zh-CN"/>
              </w:rPr>
            </w:pPr>
            <w:r>
              <w:rPr>
                <w:rFonts w:hint="eastAsia" w:ascii="宋体" w:hAnsi="宋体" w:eastAsia="宋体" w:cs="宋体"/>
                <w:color w:val="333333"/>
                <w:sz w:val="24"/>
                <w:szCs w:val="24"/>
                <w:u w:val="single" w:color="auto"/>
              </w:rPr>
              <w:t>本项目产生的废气主要</w:t>
            </w:r>
            <w:r>
              <w:rPr>
                <w:rFonts w:hint="eastAsia" w:ascii="宋体" w:hAnsi="宋体" w:eastAsia="宋体" w:cs="宋体"/>
                <w:color w:val="333333"/>
                <w:sz w:val="24"/>
                <w:szCs w:val="24"/>
                <w:u w:val="single" w:color="auto"/>
                <w:lang w:val="en-US" w:eastAsia="zh-CN"/>
              </w:rPr>
              <w:t>为模压</w:t>
            </w:r>
            <w:r>
              <w:rPr>
                <w:rFonts w:hint="eastAsia" w:ascii="宋体" w:hAnsi="宋体" w:eastAsia="宋体" w:cs="宋体"/>
                <w:color w:val="333333"/>
                <w:sz w:val="24"/>
                <w:szCs w:val="24"/>
                <w:u w:val="single" w:color="auto"/>
              </w:rPr>
              <w:t>成型产生的有机废气。本项目使用硅胶进行</w:t>
            </w:r>
            <w:r>
              <w:rPr>
                <w:rFonts w:hint="eastAsia" w:ascii="宋体" w:hAnsi="宋体" w:eastAsia="宋体" w:cs="宋体"/>
                <w:color w:val="333333"/>
                <w:sz w:val="24"/>
                <w:szCs w:val="24"/>
                <w:u w:val="single" w:color="auto"/>
                <w:lang w:val="en-US" w:eastAsia="zh-CN"/>
              </w:rPr>
              <w:t>模压</w:t>
            </w:r>
            <w:r>
              <w:rPr>
                <w:rFonts w:hint="eastAsia" w:ascii="宋体" w:hAnsi="宋体" w:eastAsia="宋体" w:cs="宋体"/>
                <w:color w:val="333333"/>
                <w:sz w:val="24"/>
                <w:szCs w:val="24"/>
                <w:u w:val="single" w:color="auto"/>
              </w:rPr>
              <w:t>成型加工，加热温度</w:t>
            </w:r>
            <w:r>
              <w:rPr>
                <w:rFonts w:hint="eastAsia" w:ascii="宋体" w:hAnsi="宋体" w:eastAsia="宋体" w:cs="宋体"/>
                <w:color w:val="333333"/>
                <w:sz w:val="24"/>
                <w:szCs w:val="24"/>
                <w:u w:val="single" w:color="auto"/>
                <w:lang w:val="en-US" w:eastAsia="zh-CN"/>
              </w:rPr>
              <w:t>160-180</w:t>
            </w:r>
            <w:r>
              <w:rPr>
                <w:rFonts w:hint="eastAsia" w:ascii="宋体" w:hAnsi="宋体" w:eastAsia="宋体" w:cs="宋体"/>
                <w:color w:val="333333"/>
                <w:sz w:val="24"/>
                <w:szCs w:val="24"/>
                <w:u w:val="single" w:color="auto"/>
              </w:rPr>
              <w:t>℃（低于硅胶热分解温度250℃，用电加热）。原料中的</w:t>
            </w:r>
            <w:r>
              <w:rPr>
                <w:rFonts w:hint="eastAsia" w:ascii="宋体" w:hAnsi="宋体" w:eastAsia="宋体" w:cs="宋体"/>
                <w:color w:val="333333"/>
                <w:sz w:val="24"/>
                <w:szCs w:val="24"/>
                <w:u w:val="single" w:color="auto"/>
                <w:lang w:eastAsia="zh-CN"/>
              </w:rPr>
              <w:t>架桥剂</w:t>
            </w:r>
            <w:r>
              <w:rPr>
                <w:rFonts w:hint="eastAsia" w:ascii="宋体" w:hAnsi="宋体" w:eastAsia="宋体" w:cs="宋体"/>
                <w:color w:val="333333"/>
                <w:sz w:val="24"/>
                <w:szCs w:val="24"/>
                <w:u w:val="single" w:color="auto"/>
              </w:rPr>
              <w:t>在加热中起作用，</w:t>
            </w:r>
            <w:r>
              <w:rPr>
                <w:rFonts w:hint="eastAsia" w:ascii="宋体" w:hAnsi="宋体" w:eastAsia="宋体" w:cs="宋体"/>
                <w:color w:val="333333"/>
                <w:sz w:val="24"/>
                <w:szCs w:val="24"/>
                <w:u w:val="single" w:color="auto"/>
                <w:lang w:eastAsia="zh-CN"/>
              </w:rPr>
              <w:t>架桥剂</w:t>
            </w:r>
            <w:r>
              <w:rPr>
                <w:rFonts w:hint="eastAsia" w:ascii="宋体" w:hAnsi="宋体" w:eastAsia="宋体" w:cs="宋体"/>
                <w:color w:val="333333"/>
                <w:sz w:val="24"/>
                <w:szCs w:val="24"/>
                <w:u w:val="single" w:color="auto"/>
              </w:rPr>
              <w:t>主要成分为</w:t>
            </w:r>
            <w:r>
              <w:rPr>
                <w:rFonts w:hint="eastAsia" w:ascii="宋体" w:hAnsi="宋体" w:eastAsia="宋体" w:cs="宋体"/>
                <w:color w:val="333333"/>
                <w:sz w:val="24"/>
                <w:szCs w:val="24"/>
                <w:u w:val="single" w:color="auto"/>
                <w:lang w:val="en-US" w:eastAsia="zh-CN"/>
              </w:rPr>
              <w:t>二</w:t>
            </w:r>
            <w:r>
              <w:rPr>
                <w:rFonts w:hint="eastAsia" w:ascii="宋体" w:hAnsi="宋体" w:eastAsia="宋体" w:cs="宋体"/>
                <w:color w:val="333333"/>
                <w:sz w:val="24"/>
                <w:szCs w:val="24"/>
                <w:u w:val="single" w:color="auto"/>
              </w:rPr>
              <w:t>叔丁基过氧</w:t>
            </w:r>
            <w:r>
              <w:rPr>
                <w:rFonts w:hint="eastAsia" w:ascii="宋体" w:hAnsi="宋体" w:eastAsia="宋体" w:cs="宋体"/>
                <w:color w:val="333333"/>
                <w:sz w:val="24"/>
                <w:szCs w:val="24"/>
                <w:u w:val="single" w:color="auto"/>
                <w:lang w:val="en-US" w:eastAsia="zh-CN"/>
              </w:rPr>
              <w:t>化物</w:t>
            </w:r>
            <w:r>
              <w:rPr>
                <w:rFonts w:hint="eastAsia" w:ascii="宋体" w:hAnsi="宋体" w:eastAsia="宋体" w:cs="宋体"/>
                <w:color w:val="333333"/>
                <w:sz w:val="24"/>
                <w:szCs w:val="24"/>
                <w:u w:val="single" w:color="auto"/>
              </w:rPr>
              <w:t>，由于加热升温，硅胶成型过程中会产生少量废气，以非甲烷总烃计。参考张芝兰的《橡胶制品生产过程中有机废气的排放系数》，混炼工艺排放的混炼废气中有机类有害废气污染物单位胶料产生系数为140mg/kg单位胶料（单位胶料指原料中的天然橡胶、合成橡胶、再生胶）；同时类比《惠州市恒通达硅胶制品有限公司硅胶制品生产项目》，该项目年生产硅胶制品1000万片，主要原辅材料为硅胶、</w:t>
            </w:r>
            <w:r>
              <w:rPr>
                <w:rFonts w:hint="eastAsia" w:ascii="宋体" w:hAnsi="宋体" w:eastAsia="宋体" w:cs="宋体"/>
                <w:color w:val="333333"/>
                <w:sz w:val="24"/>
                <w:szCs w:val="24"/>
                <w:u w:val="single" w:color="auto"/>
                <w:lang w:eastAsia="zh-CN"/>
              </w:rPr>
              <w:t>架桥剂</w:t>
            </w:r>
            <w:r>
              <w:rPr>
                <w:rFonts w:hint="eastAsia" w:ascii="宋体" w:hAnsi="宋体" w:eastAsia="宋体" w:cs="宋体"/>
                <w:color w:val="333333"/>
                <w:sz w:val="24"/>
                <w:szCs w:val="24"/>
                <w:u w:val="single" w:color="auto"/>
              </w:rPr>
              <w:t>。生产工艺为“原料-混料搅拌-切条-成型硫化-丝印-烘干-冲压-包装”，前端工艺与本项目完全一致，具有可类比性，其</w:t>
            </w:r>
            <w:r>
              <w:rPr>
                <w:rFonts w:hint="eastAsia" w:ascii="宋体" w:hAnsi="宋体" w:cs="宋体"/>
                <w:color w:val="333333"/>
                <w:sz w:val="24"/>
                <w:szCs w:val="24"/>
                <w:u w:val="single" w:color="auto"/>
                <w:lang w:val="en-US" w:eastAsia="zh-CN"/>
              </w:rPr>
              <w:t>模压</w:t>
            </w:r>
            <w:r>
              <w:rPr>
                <w:rFonts w:hint="eastAsia" w:ascii="宋体" w:hAnsi="宋体" w:eastAsia="宋体" w:cs="宋体"/>
                <w:color w:val="333333"/>
                <w:sz w:val="24"/>
                <w:szCs w:val="24"/>
                <w:u w:val="single" w:color="auto"/>
              </w:rPr>
              <w:t>成型工序有机废气产生系数为140mg/kg单位胶料</w:t>
            </w:r>
            <w:r>
              <w:rPr>
                <w:rFonts w:hint="eastAsia" w:ascii="宋体" w:hAnsi="宋体" w:eastAsia="宋体" w:cs="宋体"/>
                <w:color w:val="333333"/>
                <w:sz w:val="24"/>
                <w:szCs w:val="24"/>
                <w:u w:val="single" w:color="auto"/>
                <w:lang w:eastAsia="zh-CN"/>
              </w:rPr>
              <w:t>，</w:t>
            </w:r>
          </w:p>
          <w:p>
            <w:pPr>
              <w:spacing w:line="360" w:lineRule="auto"/>
              <w:ind w:firstLine="466" w:firstLineChars="200"/>
              <w:rPr>
                <w:rFonts w:hint="eastAsia"/>
                <w:color w:val="auto"/>
                <w:sz w:val="24"/>
                <w:szCs w:val="24"/>
                <w:u w:val="single" w:color="auto"/>
              </w:rPr>
            </w:pPr>
            <w:r>
              <w:rPr>
                <w:rFonts w:hint="default" w:ascii="Times New Roman" w:hAnsi="Times New Roman" w:eastAsia="宋体" w:cs="Times New Roman"/>
                <w:color w:val="333333"/>
                <w:sz w:val="24"/>
                <w:szCs w:val="24"/>
                <w:u w:val="single" w:color="auto"/>
              </w:rPr>
              <w:t>综上，本项目</w:t>
            </w:r>
            <w:r>
              <w:rPr>
                <w:rFonts w:hint="default" w:ascii="Times New Roman" w:hAnsi="Times New Roman" w:eastAsia="宋体" w:cs="Times New Roman"/>
                <w:color w:val="333333"/>
                <w:sz w:val="24"/>
                <w:szCs w:val="24"/>
                <w:u w:val="single" w:color="auto"/>
                <w:lang w:val="en-US" w:eastAsia="zh-CN"/>
              </w:rPr>
              <w:t>模压</w:t>
            </w:r>
            <w:r>
              <w:rPr>
                <w:rFonts w:hint="default" w:ascii="Times New Roman" w:hAnsi="Times New Roman" w:eastAsia="宋体" w:cs="Times New Roman"/>
                <w:color w:val="333333"/>
                <w:sz w:val="24"/>
                <w:szCs w:val="24"/>
                <w:u w:val="single" w:color="auto"/>
              </w:rPr>
              <w:t>成型有机废气产生系数取140mg/kg单位胶料，项目硅胶+</w:t>
            </w:r>
            <w:r>
              <w:rPr>
                <w:rFonts w:hint="default" w:ascii="Times New Roman" w:hAnsi="Times New Roman" w:eastAsia="宋体" w:cs="Times New Roman"/>
                <w:color w:val="333333"/>
                <w:sz w:val="24"/>
                <w:szCs w:val="24"/>
                <w:u w:val="single" w:color="auto"/>
                <w:lang w:val="en-US" w:eastAsia="zh-CN"/>
              </w:rPr>
              <w:t>架桥</w:t>
            </w:r>
            <w:r>
              <w:rPr>
                <w:rFonts w:hint="default" w:ascii="Times New Roman" w:hAnsi="Times New Roman" w:eastAsia="宋体" w:cs="Times New Roman"/>
                <w:color w:val="333333"/>
                <w:sz w:val="24"/>
                <w:szCs w:val="24"/>
                <w:u w:val="single" w:color="auto"/>
              </w:rPr>
              <w:t>剂用量为100</w:t>
            </w:r>
            <w:r>
              <w:rPr>
                <w:rFonts w:hint="default" w:ascii="Times New Roman" w:hAnsi="Times New Roman" w:eastAsia="宋体" w:cs="Times New Roman"/>
                <w:color w:val="333333"/>
                <w:sz w:val="24"/>
                <w:szCs w:val="24"/>
                <w:u w:val="single" w:color="auto"/>
                <w:lang w:val="en-US" w:eastAsia="zh-CN"/>
              </w:rPr>
              <w:t>.5</w:t>
            </w:r>
            <w:r>
              <w:rPr>
                <w:rFonts w:hint="default" w:ascii="Times New Roman" w:hAnsi="Times New Roman" w:eastAsia="宋体" w:cs="Times New Roman"/>
                <w:color w:val="333333"/>
                <w:sz w:val="24"/>
                <w:szCs w:val="24"/>
                <w:u w:val="single" w:color="auto"/>
              </w:rPr>
              <w:t>t/a，则非甲烷总烃产生量为14</w:t>
            </w:r>
            <w:r>
              <w:rPr>
                <w:rFonts w:hint="eastAsia" w:ascii="Times New Roman" w:hAnsi="Times New Roman" w:eastAsia="宋体" w:cs="Times New Roman"/>
                <w:color w:val="333333"/>
                <w:sz w:val="24"/>
                <w:szCs w:val="24"/>
                <w:u w:val="single" w:color="auto"/>
                <w:lang w:val="en-US" w:eastAsia="zh-CN"/>
              </w:rPr>
              <w:t>.07</w:t>
            </w:r>
            <w:r>
              <w:rPr>
                <w:rFonts w:hint="default" w:ascii="Times New Roman" w:hAnsi="Times New Roman" w:eastAsia="宋体" w:cs="Times New Roman"/>
                <w:color w:val="333333"/>
                <w:sz w:val="24"/>
                <w:szCs w:val="24"/>
                <w:u w:val="single" w:color="auto"/>
              </w:rPr>
              <w:t>kg/a</w:t>
            </w:r>
            <w:r>
              <w:rPr>
                <w:rFonts w:hint="eastAsia" w:ascii="Times New Roman" w:hAnsi="Times New Roman" w:eastAsia="宋体" w:cs="Times New Roman"/>
                <w:color w:val="333333"/>
                <w:sz w:val="24"/>
                <w:szCs w:val="24"/>
                <w:u w:val="single" w:color="auto"/>
                <w:lang w:eastAsia="zh-CN"/>
              </w:rPr>
              <w:t>（</w:t>
            </w:r>
            <w:r>
              <w:rPr>
                <w:rFonts w:hint="eastAsia" w:ascii="Times New Roman" w:hAnsi="Times New Roman" w:eastAsia="宋体" w:cs="Times New Roman"/>
                <w:color w:val="333333"/>
                <w:sz w:val="24"/>
                <w:szCs w:val="24"/>
                <w:u w:val="single" w:color="auto"/>
                <w:lang w:val="en-US" w:eastAsia="zh-CN"/>
              </w:rPr>
              <w:t>0.01407t/a</w:t>
            </w:r>
            <w:r>
              <w:rPr>
                <w:rFonts w:hint="eastAsia" w:ascii="Times New Roman" w:hAnsi="Times New Roman" w:eastAsia="宋体" w:cs="Times New Roman"/>
                <w:color w:val="333333"/>
                <w:sz w:val="24"/>
                <w:szCs w:val="24"/>
                <w:u w:val="single" w:color="auto"/>
                <w:lang w:eastAsia="zh-CN"/>
              </w:rPr>
              <w:t>）</w:t>
            </w:r>
            <w:r>
              <w:rPr>
                <w:rFonts w:hint="default" w:ascii="Times New Roman" w:hAnsi="Times New Roman" w:eastAsia="宋体" w:cs="Times New Roman"/>
                <w:color w:val="333333"/>
                <w:sz w:val="24"/>
                <w:szCs w:val="24"/>
                <w:u w:val="single" w:color="auto"/>
              </w:rPr>
              <w:t>。</w:t>
            </w:r>
            <w:r>
              <w:rPr>
                <w:rFonts w:hint="default" w:ascii="Times New Roman" w:hAnsi="Times New Roman" w:eastAsia="宋体" w:cs="Times New Roman"/>
                <w:color w:val="auto"/>
                <w:sz w:val="24"/>
                <w:szCs w:val="24"/>
                <w:u w:val="single" w:color="auto"/>
              </w:rPr>
              <w:t>项目拟在</w:t>
            </w:r>
            <w:r>
              <w:rPr>
                <w:rFonts w:hint="eastAsia" w:ascii="Times New Roman" w:hAnsi="Times New Roman" w:eastAsia="宋体" w:cs="Times New Roman"/>
                <w:color w:val="auto"/>
                <w:sz w:val="24"/>
                <w:szCs w:val="24"/>
                <w:u w:val="single" w:color="auto"/>
                <w:lang w:eastAsia="zh-CN"/>
              </w:rPr>
              <w:t>模压成型</w:t>
            </w:r>
            <w:r>
              <w:rPr>
                <w:rFonts w:hint="default" w:ascii="Times New Roman" w:hAnsi="Times New Roman" w:eastAsia="宋体" w:cs="Times New Roman"/>
                <w:color w:val="auto"/>
                <w:sz w:val="24"/>
                <w:szCs w:val="24"/>
                <w:u w:val="single" w:color="auto"/>
              </w:rPr>
              <w:t>工序配置废气收集装置，用“</w:t>
            </w:r>
            <w:r>
              <w:rPr>
                <w:rFonts w:hint="eastAsia" w:ascii="Times New Roman" w:hAnsi="Times New Roman" w:eastAsia="宋体" w:cs="Times New Roman"/>
                <w:color w:val="auto"/>
                <w:sz w:val="24"/>
                <w:szCs w:val="24"/>
                <w:u w:val="single" w:color="auto"/>
                <w:lang w:val="en-US" w:eastAsia="zh-CN"/>
              </w:rPr>
              <w:t>活性炭吸附</w:t>
            </w:r>
            <w:r>
              <w:rPr>
                <w:rFonts w:hint="default" w:ascii="Times New Roman" w:hAnsi="Times New Roman" w:eastAsia="宋体" w:cs="Times New Roman"/>
                <w:color w:val="auto"/>
                <w:sz w:val="24"/>
                <w:szCs w:val="24"/>
                <w:u w:val="single" w:color="auto"/>
              </w:rPr>
              <w:t>"工艺废气处理设施对有机废气进行处理后经</w:t>
            </w:r>
            <w:r>
              <w:rPr>
                <w:rFonts w:hint="eastAsia" w:ascii="Times New Roman" w:hAnsi="Times New Roman" w:eastAsia="宋体" w:cs="Times New Roman"/>
                <w:color w:val="auto"/>
                <w:sz w:val="24"/>
                <w:szCs w:val="24"/>
                <w:u w:val="single" w:color="auto"/>
                <w:lang w:val="en-US" w:eastAsia="zh-CN"/>
              </w:rPr>
              <w:t>24</w:t>
            </w:r>
            <w:r>
              <w:rPr>
                <w:rFonts w:hint="default" w:ascii="Times New Roman" w:hAnsi="Times New Roman" w:eastAsia="宋体" w:cs="Times New Roman"/>
                <w:color w:val="auto"/>
                <w:sz w:val="24"/>
                <w:szCs w:val="24"/>
                <w:u w:val="single" w:color="auto"/>
              </w:rPr>
              <w:t>m排气筒高空排放。集气罩收集效率按</w:t>
            </w:r>
            <w:r>
              <w:rPr>
                <w:rFonts w:hint="eastAsia" w:ascii="Times New Roman" w:hAnsi="Times New Roman" w:eastAsia="宋体" w:cs="Times New Roman"/>
                <w:color w:val="auto"/>
                <w:sz w:val="24"/>
                <w:szCs w:val="24"/>
                <w:u w:val="single" w:color="auto"/>
                <w:lang w:val="en-US" w:eastAsia="zh-CN"/>
              </w:rPr>
              <w:t>90</w:t>
            </w:r>
            <w:r>
              <w:rPr>
                <w:rFonts w:hint="default" w:ascii="Times New Roman" w:hAnsi="Times New Roman" w:eastAsia="宋体" w:cs="Times New Roman"/>
                <w:color w:val="auto"/>
                <w:sz w:val="24"/>
                <w:szCs w:val="24"/>
                <w:u w:val="single" w:color="auto"/>
              </w:rPr>
              <w:t>%计，废气处理装置效率按</w:t>
            </w:r>
            <w:r>
              <w:rPr>
                <w:rFonts w:hint="eastAsia" w:ascii="Times New Roman" w:hAnsi="Times New Roman" w:eastAsia="宋体" w:cs="Times New Roman"/>
                <w:color w:val="auto"/>
                <w:sz w:val="24"/>
                <w:szCs w:val="24"/>
                <w:u w:val="single" w:color="auto"/>
                <w:lang w:val="en-US" w:eastAsia="zh-CN"/>
              </w:rPr>
              <w:t>8</w:t>
            </w:r>
            <w:r>
              <w:rPr>
                <w:rFonts w:hint="default" w:ascii="Times New Roman" w:hAnsi="Times New Roman" w:eastAsia="宋体" w:cs="Times New Roman"/>
                <w:color w:val="auto"/>
                <w:sz w:val="24"/>
                <w:szCs w:val="24"/>
                <w:u w:val="single" w:color="auto"/>
              </w:rPr>
              <w:t>0%计，项目风机风量拟为</w:t>
            </w:r>
            <w:r>
              <w:rPr>
                <w:rFonts w:hint="eastAsia" w:cs="Times New Roman"/>
                <w:color w:val="auto"/>
                <w:sz w:val="24"/>
                <w:szCs w:val="24"/>
                <w:u w:val="single" w:color="auto"/>
                <w:lang w:val="en-US" w:eastAsia="zh-CN"/>
              </w:rPr>
              <w:t>3</w:t>
            </w:r>
            <w:r>
              <w:rPr>
                <w:rFonts w:hint="eastAsia" w:ascii="Times New Roman" w:hAnsi="Times New Roman" w:eastAsia="宋体" w:cs="Times New Roman"/>
                <w:color w:val="auto"/>
                <w:sz w:val="24"/>
                <w:szCs w:val="24"/>
                <w:u w:val="single" w:color="auto"/>
                <w:lang w:val="en-US" w:eastAsia="zh-CN"/>
              </w:rPr>
              <w:t>0</w:t>
            </w:r>
            <w:r>
              <w:rPr>
                <w:rFonts w:hint="default" w:ascii="Times New Roman" w:hAnsi="Times New Roman" w:eastAsia="宋体" w:cs="Times New Roman"/>
                <w:color w:val="auto"/>
                <w:sz w:val="24"/>
                <w:szCs w:val="24"/>
                <w:u w:val="single" w:color="auto"/>
              </w:rPr>
              <w:t>00m</w:t>
            </w:r>
            <w:r>
              <w:rPr>
                <w:rFonts w:hint="eastAsia" w:ascii="Times New Roman" w:hAnsi="Times New Roman" w:eastAsia="宋体" w:cs="Times New Roman"/>
                <w:color w:val="auto"/>
                <w:sz w:val="24"/>
                <w:szCs w:val="24"/>
                <w:u w:val="single" w:color="auto"/>
                <w:vertAlign w:val="superscript"/>
                <w:lang w:val="en-US" w:eastAsia="zh-CN"/>
              </w:rPr>
              <w:t>3</w:t>
            </w:r>
            <w:r>
              <w:rPr>
                <w:rFonts w:hint="default" w:ascii="Times New Roman" w:hAnsi="Times New Roman" w:eastAsia="宋体" w:cs="Times New Roman"/>
                <w:color w:val="auto"/>
                <w:sz w:val="24"/>
                <w:szCs w:val="24"/>
                <w:u w:val="single" w:color="auto"/>
              </w:rPr>
              <w:t>/</w:t>
            </w:r>
            <w:r>
              <w:rPr>
                <w:rFonts w:hint="eastAsia" w:ascii="Times New Roman" w:hAnsi="Times New Roman" w:eastAsia="宋体" w:cs="Times New Roman"/>
                <w:color w:val="auto"/>
                <w:sz w:val="24"/>
                <w:szCs w:val="24"/>
                <w:u w:val="single" w:color="auto"/>
                <w:lang w:val="en-US" w:eastAsia="zh-CN"/>
              </w:rPr>
              <w:t>h</w:t>
            </w:r>
            <w:r>
              <w:rPr>
                <w:rFonts w:hint="default" w:ascii="Times New Roman" w:hAnsi="Times New Roman" w:eastAsia="宋体" w:cs="Times New Roman"/>
                <w:color w:val="auto"/>
                <w:sz w:val="24"/>
                <w:szCs w:val="24"/>
                <w:u w:val="single" w:color="auto"/>
              </w:rPr>
              <w:t>。</w:t>
            </w:r>
            <w:r>
              <w:rPr>
                <w:rFonts w:hint="eastAsia" w:ascii="Times New Roman" w:hAnsi="Times New Roman" w:eastAsia="宋体" w:cs="Times New Roman"/>
                <w:color w:val="auto"/>
                <w:sz w:val="24"/>
                <w:szCs w:val="24"/>
                <w:u w:val="single" w:color="auto"/>
                <w:lang w:eastAsia="zh-CN"/>
              </w:rPr>
              <w:t>则项目有机废气收集量为</w:t>
            </w:r>
            <w:r>
              <w:rPr>
                <w:rFonts w:hint="eastAsia" w:cs="Times New Roman"/>
                <w:color w:val="auto"/>
                <w:sz w:val="24"/>
                <w:szCs w:val="24"/>
                <w:u w:val="single" w:color="auto"/>
                <w:lang w:val="en-US" w:eastAsia="zh-CN"/>
              </w:rPr>
              <w:t>0.01266</w:t>
            </w:r>
            <w:r>
              <w:rPr>
                <w:rFonts w:hint="eastAsia" w:ascii="Times New Roman" w:hAnsi="Times New Roman" w:eastAsia="宋体" w:cs="Times New Roman"/>
                <w:color w:val="auto"/>
                <w:sz w:val="24"/>
                <w:szCs w:val="24"/>
                <w:u w:val="single" w:color="auto"/>
                <w:lang w:val="en-US" w:eastAsia="zh-CN"/>
              </w:rPr>
              <w:t>t/a，经处理后，其有组织排放量为0.00</w:t>
            </w:r>
            <w:r>
              <w:rPr>
                <w:rFonts w:hint="eastAsia" w:cs="Times New Roman"/>
                <w:color w:val="auto"/>
                <w:sz w:val="24"/>
                <w:szCs w:val="24"/>
                <w:u w:val="single" w:color="auto"/>
                <w:lang w:val="en-US" w:eastAsia="zh-CN"/>
              </w:rPr>
              <w:t>25</w:t>
            </w:r>
            <w:r>
              <w:rPr>
                <w:rFonts w:hint="eastAsia" w:ascii="Times New Roman" w:hAnsi="Times New Roman" w:eastAsia="宋体" w:cs="Times New Roman"/>
                <w:color w:val="auto"/>
                <w:sz w:val="24"/>
                <w:szCs w:val="24"/>
                <w:u w:val="single" w:color="auto"/>
                <w:lang w:val="en-US" w:eastAsia="zh-CN"/>
              </w:rPr>
              <w:t>t/a，排放速率为0.00</w:t>
            </w:r>
            <w:r>
              <w:rPr>
                <w:rFonts w:hint="eastAsia" w:cs="Times New Roman"/>
                <w:color w:val="auto"/>
                <w:sz w:val="24"/>
                <w:szCs w:val="24"/>
                <w:u w:val="single" w:color="auto"/>
                <w:lang w:val="en-US" w:eastAsia="zh-CN"/>
              </w:rPr>
              <w:t>10</w:t>
            </w:r>
            <w:r>
              <w:rPr>
                <w:rFonts w:hint="eastAsia" w:ascii="Times New Roman" w:hAnsi="Times New Roman" w:eastAsia="宋体" w:cs="Times New Roman"/>
                <w:color w:val="auto"/>
                <w:sz w:val="24"/>
                <w:szCs w:val="24"/>
                <w:u w:val="single" w:color="auto"/>
                <w:lang w:val="en-US" w:eastAsia="zh-CN"/>
              </w:rPr>
              <w:t>kg/h，排放浓度为</w:t>
            </w:r>
            <w:r>
              <w:rPr>
                <w:rFonts w:hint="eastAsia" w:cs="Times New Roman"/>
                <w:color w:val="auto"/>
                <w:sz w:val="24"/>
                <w:szCs w:val="24"/>
                <w:u w:val="single" w:color="auto"/>
                <w:lang w:val="en-US" w:eastAsia="zh-CN"/>
              </w:rPr>
              <w:t>0.33</w:t>
            </w:r>
            <w:r>
              <w:rPr>
                <w:rFonts w:hint="eastAsia" w:ascii="Times New Roman" w:hAnsi="Times New Roman" w:eastAsia="宋体" w:cs="Times New Roman"/>
                <w:color w:val="auto"/>
                <w:sz w:val="24"/>
                <w:szCs w:val="24"/>
                <w:u w:val="single" w:color="auto"/>
                <w:lang w:val="en-US" w:eastAsia="zh-CN"/>
              </w:rPr>
              <w:t>mg/m</w:t>
            </w:r>
            <w:r>
              <w:rPr>
                <w:rFonts w:hint="eastAsia" w:ascii="Times New Roman" w:hAnsi="Times New Roman" w:eastAsia="宋体" w:cs="Times New Roman"/>
                <w:color w:val="auto"/>
                <w:sz w:val="24"/>
                <w:szCs w:val="24"/>
                <w:u w:val="single" w:color="auto"/>
                <w:vertAlign w:val="superscript"/>
                <w:lang w:val="en-US" w:eastAsia="zh-CN"/>
              </w:rPr>
              <w:t>3</w:t>
            </w:r>
            <w:r>
              <w:rPr>
                <w:rFonts w:hint="default" w:ascii="Times New Roman" w:hAnsi="Times New Roman" w:cs="Times New Roman"/>
                <w:color w:val="auto"/>
                <w:sz w:val="24"/>
                <w:szCs w:val="24"/>
                <w:u w:val="single" w:color="auto"/>
              </w:rPr>
              <w:t>。</w:t>
            </w:r>
            <w:r>
              <w:rPr>
                <w:rFonts w:hint="eastAsia" w:ascii="Times New Roman" w:hAnsi="Times New Roman" w:cs="Times New Roman"/>
                <w:color w:val="auto"/>
                <w:sz w:val="24"/>
                <w:szCs w:val="24"/>
                <w:u w:val="single" w:color="auto"/>
                <w:lang w:eastAsia="zh-CN"/>
              </w:rPr>
              <w:t>项目无组织排放量为</w:t>
            </w:r>
            <w:r>
              <w:rPr>
                <w:rFonts w:hint="eastAsia" w:ascii="Times New Roman" w:hAnsi="Times New Roman" w:cs="Times New Roman"/>
                <w:color w:val="auto"/>
                <w:sz w:val="24"/>
                <w:szCs w:val="24"/>
                <w:u w:val="single" w:color="auto"/>
                <w:lang w:val="en-US" w:eastAsia="zh-CN"/>
              </w:rPr>
              <w:t>0.00</w:t>
            </w:r>
            <w:r>
              <w:rPr>
                <w:rFonts w:hint="eastAsia" w:cs="Times New Roman"/>
                <w:color w:val="auto"/>
                <w:sz w:val="24"/>
                <w:szCs w:val="24"/>
                <w:u w:val="single" w:color="auto"/>
                <w:lang w:val="en-US" w:eastAsia="zh-CN"/>
              </w:rPr>
              <w:t>141</w:t>
            </w:r>
            <w:r>
              <w:rPr>
                <w:rFonts w:hint="eastAsia" w:ascii="Times New Roman" w:hAnsi="Times New Roman" w:cs="Times New Roman"/>
                <w:color w:val="auto"/>
                <w:sz w:val="24"/>
                <w:szCs w:val="24"/>
                <w:u w:val="single" w:color="auto"/>
                <w:lang w:val="en-US" w:eastAsia="zh-CN"/>
              </w:rPr>
              <w:t>t/a，排放速率为0.00</w:t>
            </w:r>
            <w:r>
              <w:rPr>
                <w:rFonts w:hint="eastAsia" w:cs="Times New Roman"/>
                <w:color w:val="auto"/>
                <w:sz w:val="24"/>
                <w:szCs w:val="24"/>
                <w:u w:val="single" w:color="auto"/>
                <w:lang w:val="en-US" w:eastAsia="zh-CN"/>
              </w:rPr>
              <w:t>059</w:t>
            </w:r>
            <w:r>
              <w:rPr>
                <w:rFonts w:hint="eastAsia" w:ascii="Times New Roman" w:hAnsi="Times New Roman" w:cs="Times New Roman"/>
                <w:color w:val="auto"/>
                <w:sz w:val="24"/>
                <w:szCs w:val="24"/>
                <w:u w:val="single" w:color="auto"/>
                <w:lang w:val="en-US" w:eastAsia="zh-CN"/>
              </w:rPr>
              <w:t>kg/h，能够满足（</w:t>
            </w:r>
            <w:r>
              <w:rPr>
                <w:rFonts w:hint="eastAsia" w:ascii="Times New Roman" w:hAnsi="Times New Roman" w:cs="Times New Roman"/>
                <w:color w:val="auto"/>
                <w:sz w:val="24"/>
                <w:u w:val="single" w:color="auto"/>
                <w:lang w:val="en-US" w:eastAsia="zh-CN"/>
              </w:rPr>
              <w:t>参照</w:t>
            </w:r>
            <w:r>
              <w:rPr>
                <w:rFonts w:hint="eastAsia" w:ascii="Times New Roman" w:hAnsi="Times New Roman" w:cs="Times New Roman"/>
                <w:color w:val="auto"/>
                <w:sz w:val="24"/>
                <w:u w:val="single" w:color="auto"/>
                <w:lang w:eastAsia="zh-CN"/>
              </w:rPr>
              <w:t>执行</w:t>
            </w:r>
            <w:r>
              <w:rPr>
                <w:rFonts w:hint="eastAsia" w:ascii="Times New Roman" w:hAnsi="Times New Roman" w:cs="Times New Roman"/>
                <w:color w:val="auto"/>
                <w:sz w:val="24"/>
                <w:szCs w:val="24"/>
                <w:u w:val="single" w:color="auto"/>
                <w:lang w:val="en-US" w:eastAsia="zh-CN"/>
              </w:rPr>
              <w:t>）</w:t>
            </w:r>
            <w:r>
              <w:rPr>
                <w:rFonts w:hint="default" w:ascii="Times New Roman" w:hAnsi="Times New Roman" w:cs="Times New Roman"/>
                <w:color w:val="auto"/>
                <w:sz w:val="24"/>
                <w:szCs w:val="28"/>
                <w:u w:val="single" w:color="auto"/>
                <w:lang w:eastAsia="zh-CN"/>
              </w:rPr>
              <w:t>《</w:t>
            </w:r>
            <w:r>
              <w:rPr>
                <w:rFonts w:hint="eastAsia" w:ascii="Times New Roman" w:hAnsi="Times New Roman" w:cs="Times New Roman"/>
                <w:color w:val="auto"/>
                <w:sz w:val="24"/>
                <w:szCs w:val="28"/>
                <w:u w:val="single" w:color="auto"/>
                <w:lang w:eastAsia="zh-CN"/>
              </w:rPr>
              <w:t>合成树脂工业污染物排放标准</w:t>
            </w:r>
            <w:r>
              <w:rPr>
                <w:rFonts w:hint="default" w:ascii="Times New Roman" w:hAnsi="Times New Roman" w:cs="Times New Roman"/>
                <w:color w:val="auto"/>
                <w:sz w:val="24"/>
                <w:szCs w:val="28"/>
                <w:u w:val="single" w:color="auto"/>
                <w:lang w:eastAsia="zh-CN"/>
              </w:rPr>
              <w:t>》（</w:t>
            </w:r>
            <w:r>
              <w:rPr>
                <w:rFonts w:hint="eastAsia" w:ascii="Times New Roman" w:hAnsi="Times New Roman" w:cs="Times New Roman"/>
                <w:color w:val="auto"/>
                <w:sz w:val="24"/>
                <w:szCs w:val="28"/>
                <w:u w:val="single" w:color="auto"/>
                <w:lang w:val="en-US" w:eastAsia="zh-CN"/>
              </w:rPr>
              <w:t>G</w:t>
            </w:r>
            <w:r>
              <w:rPr>
                <w:rFonts w:hint="default" w:ascii="Times New Roman" w:hAnsi="Times New Roman" w:cs="Times New Roman"/>
                <w:color w:val="auto"/>
                <w:sz w:val="24"/>
                <w:szCs w:val="28"/>
                <w:u w:val="single" w:color="auto"/>
                <w:lang w:eastAsia="zh-CN"/>
              </w:rPr>
              <w:t>B</w:t>
            </w:r>
            <w:r>
              <w:rPr>
                <w:rFonts w:hint="eastAsia" w:ascii="Times New Roman" w:hAnsi="Times New Roman" w:cs="Times New Roman"/>
                <w:color w:val="auto"/>
                <w:sz w:val="24"/>
                <w:szCs w:val="28"/>
                <w:u w:val="single" w:color="auto"/>
                <w:lang w:val="en-US" w:eastAsia="zh-CN"/>
              </w:rPr>
              <w:t>31572-2015</w:t>
            </w:r>
            <w:r>
              <w:rPr>
                <w:rFonts w:hint="default" w:ascii="Times New Roman" w:hAnsi="Times New Roman" w:cs="Times New Roman"/>
                <w:color w:val="auto"/>
                <w:sz w:val="24"/>
                <w:szCs w:val="28"/>
                <w:u w:val="single" w:color="auto"/>
                <w:lang w:eastAsia="zh-CN"/>
              </w:rPr>
              <w:t>）</w:t>
            </w:r>
            <w:r>
              <w:rPr>
                <w:rFonts w:hint="eastAsia" w:ascii="Times New Roman" w:hAnsi="Times New Roman" w:cs="Times New Roman"/>
                <w:color w:val="auto"/>
                <w:sz w:val="24"/>
                <w:szCs w:val="28"/>
                <w:u w:val="single" w:color="auto"/>
                <w:lang w:eastAsia="zh-CN"/>
              </w:rPr>
              <w:t>中排放标准</w:t>
            </w:r>
            <w:r>
              <w:rPr>
                <w:rFonts w:hint="eastAsia"/>
                <w:color w:val="auto"/>
                <w:sz w:val="24"/>
                <w:szCs w:val="24"/>
                <w:u w:val="single" w:color="auto"/>
              </w:rPr>
              <w:t>。</w:t>
            </w:r>
          </w:p>
          <w:p>
            <w:pPr>
              <w:snapToGrid w:val="0"/>
              <w:spacing w:line="360" w:lineRule="auto"/>
              <w:ind w:firstLine="466" w:firstLineChars="200"/>
              <w:rPr>
                <w:color w:val="auto"/>
                <w:sz w:val="24"/>
                <w:u w:val="none" w:color="auto"/>
              </w:rPr>
            </w:pPr>
            <w:r>
              <w:rPr>
                <w:color w:val="auto"/>
                <w:sz w:val="24"/>
                <w:u w:val="none" w:color="auto"/>
              </w:rPr>
              <w:t>3、噪声</w:t>
            </w:r>
            <w:r>
              <w:rPr>
                <w:rFonts w:hint="eastAsia"/>
                <w:color w:val="auto"/>
                <w:sz w:val="24"/>
                <w:u w:val="none" w:color="auto"/>
              </w:rPr>
              <w:t xml:space="preserve"> </w:t>
            </w:r>
          </w:p>
          <w:p>
            <w:pPr>
              <w:snapToGrid w:val="0"/>
              <w:spacing w:line="360" w:lineRule="auto"/>
              <w:ind w:firstLine="470"/>
              <w:rPr>
                <w:sz w:val="24"/>
                <w:u w:val="none" w:color="auto"/>
              </w:rPr>
            </w:pPr>
            <w:r>
              <w:rPr>
                <w:sz w:val="24"/>
                <w:u w:val="none" w:color="auto"/>
              </w:rPr>
              <w:t>本项目营运期主要噪声源为车间中的生产设备，主要为</w:t>
            </w:r>
            <w:r>
              <w:rPr>
                <w:rFonts w:hint="eastAsia"/>
                <w:sz w:val="24"/>
                <w:u w:val="none" w:color="auto"/>
                <w:lang w:eastAsia="zh-CN"/>
              </w:rPr>
              <w:t>混料机、模压成型机、切条机、空压机</w:t>
            </w:r>
            <w:r>
              <w:rPr>
                <w:sz w:val="24"/>
                <w:u w:val="none" w:color="auto"/>
              </w:rPr>
              <w:t>等运行过程所产生的噪声，噪声值为</w:t>
            </w:r>
            <w:r>
              <w:rPr>
                <w:rFonts w:hint="eastAsia"/>
                <w:sz w:val="24"/>
                <w:u w:val="none" w:color="auto"/>
                <w:lang w:val="en-US" w:eastAsia="zh-CN"/>
              </w:rPr>
              <w:t>6</w:t>
            </w:r>
            <w:r>
              <w:rPr>
                <w:sz w:val="24"/>
                <w:u w:val="none" w:color="auto"/>
              </w:rPr>
              <w:t>5~8</w:t>
            </w:r>
            <w:r>
              <w:rPr>
                <w:rFonts w:hint="eastAsia"/>
                <w:sz w:val="24"/>
                <w:u w:val="none" w:color="auto"/>
                <w:lang w:val="en-US" w:eastAsia="zh-CN"/>
              </w:rPr>
              <w:t>0</w:t>
            </w:r>
            <w:r>
              <w:rPr>
                <w:b/>
                <w:szCs w:val="21"/>
                <w:u w:val="none" w:color="auto"/>
              </w:rPr>
              <w:t xml:space="preserve"> </w:t>
            </w:r>
            <w:r>
              <w:rPr>
                <w:szCs w:val="21"/>
                <w:u w:val="none" w:color="auto"/>
              </w:rPr>
              <w:t>dB(A)。</w:t>
            </w:r>
          </w:p>
          <w:p>
            <w:pPr>
              <w:snapToGrid w:val="0"/>
              <w:spacing w:line="360" w:lineRule="auto"/>
              <w:ind w:firstLine="470"/>
              <w:rPr>
                <w:b/>
                <w:sz w:val="24"/>
                <w:szCs w:val="24"/>
                <w:u w:val="none" w:color="auto"/>
              </w:rPr>
            </w:pPr>
            <w:r>
              <w:rPr>
                <w:sz w:val="24"/>
                <w:u w:val="none" w:color="auto"/>
              </w:rPr>
              <w:t>本项目营运期噪声源及其噪声值见表5-</w:t>
            </w:r>
            <w:r>
              <w:rPr>
                <w:rFonts w:hint="eastAsia"/>
                <w:sz w:val="24"/>
                <w:u w:val="none" w:color="auto"/>
                <w:lang w:val="en-US" w:eastAsia="zh-CN"/>
              </w:rPr>
              <w:t>2</w:t>
            </w:r>
            <w:r>
              <w:rPr>
                <w:sz w:val="24"/>
                <w:u w:val="none" w:color="auto"/>
              </w:rPr>
              <w:t>示</w:t>
            </w:r>
            <w:r>
              <w:rPr>
                <w:rFonts w:hint="eastAsia"/>
                <w:sz w:val="24"/>
                <w:u w:val="none" w:color="auto"/>
              </w:rPr>
              <w:t>：</w:t>
            </w:r>
          </w:p>
          <w:p>
            <w:pPr>
              <w:adjustRightInd w:val="0"/>
              <w:snapToGrid w:val="0"/>
              <w:jc w:val="center"/>
              <w:rPr>
                <w:b/>
                <w:szCs w:val="21"/>
                <w:u w:val="none" w:color="auto"/>
              </w:rPr>
            </w:pPr>
            <w:r>
              <w:rPr>
                <w:b/>
                <w:sz w:val="24"/>
                <w:szCs w:val="24"/>
                <w:u w:val="none" w:color="auto"/>
              </w:rPr>
              <w:t>表5-</w:t>
            </w:r>
            <w:r>
              <w:rPr>
                <w:rFonts w:hint="eastAsia"/>
                <w:b/>
                <w:sz w:val="24"/>
                <w:szCs w:val="24"/>
                <w:u w:val="none" w:color="auto"/>
                <w:lang w:val="en-US" w:eastAsia="zh-CN"/>
              </w:rPr>
              <w:t>2</w:t>
            </w:r>
            <w:r>
              <w:rPr>
                <w:b/>
                <w:sz w:val="24"/>
                <w:szCs w:val="24"/>
                <w:u w:val="none" w:color="auto"/>
              </w:rPr>
              <w:t xml:space="preserve">  本项目营运期噪声源及噪声声级值一览表  </w:t>
            </w:r>
            <w:r>
              <w:rPr>
                <w:b/>
                <w:szCs w:val="21"/>
                <w:u w:val="none" w:color="auto"/>
              </w:rPr>
              <w:t>单位：dB(A)</w:t>
            </w:r>
          </w:p>
          <w:tbl>
            <w:tblPr>
              <w:tblStyle w:val="40"/>
              <w:tblW w:w="906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80"/>
              <w:gridCol w:w="3570"/>
              <w:gridCol w:w="361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880" w:type="dxa"/>
                  <w:vAlign w:val="center"/>
                </w:tcPr>
                <w:p>
                  <w:pPr>
                    <w:jc w:val="center"/>
                    <w:rPr>
                      <w:b/>
                      <w:szCs w:val="24"/>
                      <w:u w:val="none" w:color="auto"/>
                    </w:rPr>
                  </w:pPr>
                  <w:r>
                    <w:rPr>
                      <w:b/>
                      <w:szCs w:val="24"/>
                      <w:u w:val="none" w:color="auto"/>
                    </w:rPr>
                    <w:t>序号</w:t>
                  </w:r>
                </w:p>
              </w:tc>
              <w:tc>
                <w:tcPr>
                  <w:tcW w:w="3570" w:type="dxa"/>
                  <w:vAlign w:val="center"/>
                </w:tcPr>
                <w:p>
                  <w:pPr>
                    <w:jc w:val="center"/>
                    <w:rPr>
                      <w:b/>
                      <w:szCs w:val="24"/>
                      <w:u w:val="none" w:color="auto"/>
                    </w:rPr>
                  </w:pPr>
                  <w:r>
                    <w:rPr>
                      <w:b/>
                      <w:szCs w:val="24"/>
                      <w:u w:val="none" w:color="auto"/>
                    </w:rPr>
                    <w:t>主要产噪设备</w:t>
                  </w:r>
                </w:p>
              </w:tc>
              <w:tc>
                <w:tcPr>
                  <w:tcW w:w="3618" w:type="dxa"/>
                  <w:vAlign w:val="center"/>
                </w:tcPr>
                <w:p>
                  <w:pPr>
                    <w:jc w:val="center"/>
                    <w:rPr>
                      <w:b/>
                      <w:szCs w:val="24"/>
                      <w:u w:val="none" w:color="auto"/>
                    </w:rPr>
                  </w:pPr>
                  <w:r>
                    <w:rPr>
                      <w:b/>
                      <w:szCs w:val="24"/>
                      <w:u w:val="none" w:color="auto"/>
                    </w:rPr>
                    <w:t>噪声值dB(A)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1880" w:type="dxa"/>
                  <w:vAlign w:val="center"/>
                </w:tcPr>
                <w:p>
                  <w:pPr>
                    <w:jc w:val="center"/>
                    <w:rPr>
                      <w:rFonts w:hint="default" w:eastAsia="宋体"/>
                      <w:szCs w:val="21"/>
                      <w:u w:val="none" w:color="auto"/>
                      <w:lang w:val="en-US" w:eastAsia="zh-CN"/>
                    </w:rPr>
                  </w:pPr>
                  <w:r>
                    <w:rPr>
                      <w:rFonts w:hint="eastAsia"/>
                      <w:szCs w:val="21"/>
                      <w:u w:val="none" w:color="auto"/>
                      <w:lang w:val="en-US" w:eastAsia="zh-CN"/>
                    </w:rPr>
                    <w:t>1</w:t>
                  </w:r>
                </w:p>
              </w:tc>
              <w:tc>
                <w:tcPr>
                  <w:tcW w:w="3570" w:type="dxa"/>
                  <w:vAlign w:val="center"/>
                </w:tcPr>
                <w:p>
                  <w:pPr>
                    <w:jc w:val="center"/>
                    <w:rPr>
                      <w:rFonts w:hint="eastAsia" w:eastAsia="宋体"/>
                      <w:szCs w:val="21"/>
                      <w:u w:val="none" w:color="auto"/>
                      <w:lang w:eastAsia="zh-CN"/>
                    </w:rPr>
                  </w:pPr>
                  <w:r>
                    <w:rPr>
                      <w:rFonts w:hint="eastAsia"/>
                      <w:szCs w:val="21"/>
                      <w:u w:val="none" w:color="auto"/>
                      <w:lang w:eastAsia="zh-CN"/>
                    </w:rPr>
                    <w:t>混料机</w:t>
                  </w:r>
                </w:p>
              </w:tc>
              <w:tc>
                <w:tcPr>
                  <w:tcW w:w="3618" w:type="dxa"/>
                  <w:vAlign w:val="center"/>
                </w:tcPr>
                <w:p>
                  <w:pPr>
                    <w:jc w:val="center"/>
                    <w:rPr>
                      <w:rFonts w:hint="default" w:eastAsia="宋体"/>
                      <w:szCs w:val="24"/>
                      <w:u w:val="none" w:color="auto"/>
                      <w:lang w:val="en-US" w:eastAsia="zh-CN"/>
                    </w:rPr>
                  </w:pPr>
                  <w:r>
                    <w:rPr>
                      <w:rFonts w:hint="eastAsia"/>
                      <w:szCs w:val="24"/>
                      <w:u w:val="none" w:color="auto"/>
                      <w:lang w:val="en-US" w:eastAsia="zh-CN"/>
                    </w:rPr>
                    <w: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880" w:type="dxa"/>
                  <w:vAlign w:val="center"/>
                </w:tcPr>
                <w:p>
                  <w:pPr>
                    <w:jc w:val="center"/>
                    <w:rPr>
                      <w:rFonts w:hint="default" w:eastAsia="宋体"/>
                      <w:szCs w:val="21"/>
                      <w:u w:val="none" w:color="auto"/>
                      <w:lang w:val="en-US" w:eastAsia="zh-CN"/>
                    </w:rPr>
                  </w:pPr>
                  <w:r>
                    <w:rPr>
                      <w:rFonts w:hint="eastAsia"/>
                      <w:szCs w:val="21"/>
                      <w:u w:val="none" w:color="auto"/>
                      <w:lang w:val="en-US" w:eastAsia="zh-CN"/>
                    </w:rPr>
                    <w:t>2</w:t>
                  </w:r>
                </w:p>
              </w:tc>
              <w:tc>
                <w:tcPr>
                  <w:tcW w:w="3570" w:type="dxa"/>
                  <w:vAlign w:val="center"/>
                </w:tcPr>
                <w:p>
                  <w:pPr>
                    <w:jc w:val="center"/>
                    <w:rPr>
                      <w:rFonts w:hint="eastAsia" w:eastAsia="宋体"/>
                      <w:szCs w:val="21"/>
                      <w:u w:val="none" w:color="auto"/>
                      <w:lang w:eastAsia="zh-CN"/>
                    </w:rPr>
                  </w:pPr>
                  <w:r>
                    <w:rPr>
                      <w:rFonts w:hint="eastAsia"/>
                      <w:szCs w:val="21"/>
                      <w:u w:val="none" w:color="auto"/>
                      <w:lang w:eastAsia="zh-CN"/>
                    </w:rPr>
                    <w:t>模压成型机</w:t>
                  </w:r>
                </w:p>
              </w:tc>
              <w:tc>
                <w:tcPr>
                  <w:tcW w:w="3618" w:type="dxa"/>
                  <w:vAlign w:val="center"/>
                </w:tcPr>
                <w:p>
                  <w:pPr>
                    <w:jc w:val="center"/>
                    <w:rPr>
                      <w:rFonts w:hint="default" w:eastAsia="宋体"/>
                      <w:szCs w:val="24"/>
                      <w:u w:val="none" w:color="auto"/>
                      <w:lang w:val="en-US" w:eastAsia="zh-CN"/>
                    </w:rPr>
                  </w:pPr>
                  <w:r>
                    <w:rPr>
                      <w:rFonts w:hint="eastAsia"/>
                      <w:szCs w:val="24"/>
                      <w:u w:val="none" w:color="auto"/>
                      <w:lang w:val="en-US" w:eastAsia="zh-CN"/>
                    </w:rPr>
                    <w:t>75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255" w:hRule="atLeast"/>
                <w:jc w:val="center"/>
              </w:trPr>
              <w:tc>
                <w:tcPr>
                  <w:tcW w:w="1880" w:type="dxa"/>
                  <w:vAlign w:val="center"/>
                </w:tcPr>
                <w:p>
                  <w:pPr>
                    <w:jc w:val="center"/>
                    <w:rPr>
                      <w:rFonts w:hint="default" w:eastAsia="宋体"/>
                      <w:szCs w:val="21"/>
                      <w:u w:val="none" w:color="auto"/>
                      <w:lang w:val="en-US" w:eastAsia="zh-CN"/>
                    </w:rPr>
                  </w:pPr>
                  <w:r>
                    <w:rPr>
                      <w:rFonts w:hint="eastAsia"/>
                      <w:szCs w:val="21"/>
                      <w:u w:val="none" w:color="auto"/>
                      <w:lang w:val="en-US" w:eastAsia="zh-CN"/>
                    </w:rPr>
                    <w:t>3</w:t>
                  </w:r>
                </w:p>
              </w:tc>
              <w:tc>
                <w:tcPr>
                  <w:tcW w:w="3570" w:type="dxa"/>
                  <w:vAlign w:val="center"/>
                </w:tcPr>
                <w:p>
                  <w:pPr>
                    <w:jc w:val="center"/>
                    <w:rPr>
                      <w:rFonts w:hint="eastAsia" w:eastAsia="宋体"/>
                      <w:szCs w:val="21"/>
                      <w:u w:val="none" w:color="auto"/>
                      <w:lang w:eastAsia="zh-CN"/>
                    </w:rPr>
                  </w:pPr>
                  <w:r>
                    <w:rPr>
                      <w:rFonts w:hint="eastAsia"/>
                      <w:szCs w:val="21"/>
                      <w:u w:val="none" w:color="auto"/>
                      <w:lang w:eastAsia="zh-CN"/>
                    </w:rPr>
                    <w:t>切条机</w:t>
                  </w:r>
                </w:p>
              </w:tc>
              <w:tc>
                <w:tcPr>
                  <w:tcW w:w="3618" w:type="dxa"/>
                  <w:vAlign w:val="center"/>
                </w:tcPr>
                <w:p>
                  <w:pPr>
                    <w:jc w:val="center"/>
                    <w:rPr>
                      <w:rFonts w:hint="default" w:eastAsia="宋体"/>
                      <w:szCs w:val="24"/>
                      <w:u w:val="none" w:color="auto"/>
                      <w:lang w:val="en-US" w:eastAsia="zh-CN"/>
                    </w:rPr>
                  </w:pPr>
                  <w:r>
                    <w:rPr>
                      <w:rFonts w:hint="eastAsia"/>
                      <w:szCs w:val="24"/>
                      <w:u w:val="none" w:color="auto"/>
                      <w:lang w:val="en-US" w:eastAsia="zh-CN"/>
                    </w:rPr>
                    <w:t>78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60" w:hRule="atLeast"/>
                <w:jc w:val="center"/>
              </w:trPr>
              <w:tc>
                <w:tcPr>
                  <w:tcW w:w="1880" w:type="dxa"/>
                  <w:vAlign w:val="center"/>
                </w:tcPr>
                <w:p>
                  <w:pPr>
                    <w:jc w:val="center"/>
                    <w:rPr>
                      <w:rFonts w:hint="default"/>
                      <w:szCs w:val="21"/>
                      <w:u w:val="none" w:color="auto"/>
                      <w:lang w:val="en-US" w:eastAsia="zh-CN"/>
                    </w:rPr>
                  </w:pPr>
                  <w:r>
                    <w:rPr>
                      <w:rFonts w:hint="eastAsia"/>
                      <w:szCs w:val="21"/>
                      <w:u w:val="none" w:color="auto"/>
                      <w:lang w:val="en-US" w:eastAsia="zh-CN"/>
                    </w:rPr>
                    <w:t>4</w:t>
                  </w:r>
                </w:p>
              </w:tc>
              <w:tc>
                <w:tcPr>
                  <w:tcW w:w="3570" w:type="dxa"/>
                  <w:vAlign w:val="center"/>
                </w:tcPr>
                <w:p>
                  <w:pPr>
                    <w:jc w:val="center"/>
                    <w:rPr>
                      <w:rFonts w:hint="eastAsia" w:eastAsia="宋体"/>
                      <w:szCs w:val="21"/>
                      <w:u w:val="none" w:color="auto"/>
                      <w:lang w:eastAsia="zh-CN"/>
                    </w:rPr>
                  </w:pPr>
                  <w:r>
                    <w:rPr>
                      <w:rFonts w:hint="eastAsia"/>
                      <w:szCs w:val="21"/>
                      <w:u w:val="none" w:color="auto"/>
                      <w:lang w:eastAsia="zh-CN"/>
                    </w:rPr>
                    <w:t>空压机</w:t>
                  </w:r>
                </w:p>
              </w:tc>
              <w:tc>
                <w:tcPr>
                  <w:tcW w:w="3618" w:type="dxa"/>
                  <w:vAlign w:val="center"/>
                </w:tcPr>
                <w:p>
                  <w:pPr>
                    <w:jc w:val="center"/>
                    <w:rPr>
                      <w:rFonts w:hint="default" w:eastAsia="宋体"/>
                      <w:szCs w:val="24"/>
                      <w:u w:val="none" w:color="auto"/>
                      <w:lang w:val="en-US" w:eastAsia="zh-CN"/>
                    </w:rPr>
                  </w:pPr>
                  <w:r>
                    <w:rPr>
                      <w:rFonts w:hint="eastAsia"/>
                      <w:szCs w:val="24"/>
                      <w:u w:val="none" w:color="auto"/>
                      <w:lang w:val="en-US" w:eastAsia="zh-CN"/>
                    </w:rPr>
                    <w:t>80</w:t>
                  </w:r>
                </w:p>
              </w:tc>
            </w:tr>
          </w:tbl>
          <w:p>
            <w:pPr>
              <w:rPr>
                <w:sz w:val="24"/>
                <w:szCs w:val="24"/>
                <w:u w:val="none" w:color="auto"/>
              </w:rPr>
            </w:pPr>
            <w:r>
              <w:rPr>
                <w:rFonts w:hint="eastAsia"/>
                <w:u w:val="none" w:color="auto"/>
              </w:rPr>
              <w:t xml:space="preserve"> </w:t>
            </w:r>
            <w:r>
              <w:rPr>
                <w:u w:val="none" w:color="auto"/>
              </w:rPr>
              <w:t xml:space="preserve">  </w:t>
            </w:r>
            <w:r>
              <w:rPr>
                <w:sz w:val="24"/>
                <w:szCs w:val="24"/>
                <w:u w:val="none" w:color="auto"/>
              </w:rPr>
              <w:t>4、固废</w:t>
            </w:r>
          </w:p>
          <w:p>
            <w:pPr>
              <w:pStyle w:val="34"/>
              <w:spacing w:line="360" w:lineRule="auto"/>
              <w:ind w:left="0" w:leftChars="0" w:firstLine="466" w:firstLineChars="200"/>
              <w:rPr>
                <w:rFonts w:ascii="宋体" w:hAnsi="宋体"/>
                <w:sz w:val="24"/>
                <w:szCs w:val="32"/>
                <w:u w:val="none" w:color="auto"/>
              </w:rPr>
            </w:pPr>
            <w:r>
              <w:rPr>
                <w:rFonts w:hint="eastAsia" w:ascii="宋体" w:hAnsi="宋体"/>
                <w:sz w:val="24"/>
                <w:szCs w:val="32"/>
                <w:u w:val="none" w:color="auto"/>
              </w:rPr>
              <w:t>本项目产生的固体废物有废</w:t>
            </w:r>
            <w:r>
              <w:rPr>
                <w:rFonts w:hint="eastAsia" w:ascii="宋体" w:hAnsi="宋体"/>
                <w:sz w:val="24"/>
                <w:szCs w:val="32"/>
                <w:u w:val="none" w:color="auto"/>
                <w:lang w:eastAsia="zh-CN"/>
              </w:rPr>
              <w:t>边角料</w:t>
            </w:r>
            <w:r>
              <w:rPr>
                <w:rFonts w:hint="eastAsia" w:ascii="宋体" w:hAnsi="宋体"/>
                <w:sz w:val="24"/>
                <w:szCs w:val="32"/>
                <w:u w:val="none" w:color="auto"/>
              </w:rPr>
              <w:t>、生活垃圾</w:t>
            </w:r>
            <w:r>
              <w:rPr>
                <w:rFonts w:hint="eastAsia" w:ascii="宋体" w:hAnsi="宋体"/>
                <w:sz w:val="24"/>
                <w:szCs w:val="32"/>
                <w:u w:val="none" w:color="auto"/>
                <w:lang w:eastAsia="zh-CN"/>
              </w:rPr>
              <w:t>、废油墨桶、废活性炭</w:t>
            </w:r>
            <w:r>
              <w:rPr>
                <w:rFonts w:hint="eastAsia" w:ascii="宋体" w:hAnsi="宋体"/>
                <w:sz w:val="24"/>
                <w:szCs w:val="32"/>
                <w:u w:val="none" w:color="auto"/>
              </w:rPr>
              <w:t>等。</w:t>
            </w:r>
          </w:p>
          <w:p>
            <w:pPr>
              <w:pStyle w:val="34"/>
              <w:spacing w:line="360" w:lineRule="auto"/>
              <w:ind w:left="400"/>
              <w:rPr>
                <w:rFonts w:hint="eastAsia" w:ascii="Times New Roman" w:hAnsi="Times New Roman" w:eastAsia="宋体" w:cs="Times New Roman"/>
                <w:sz w:val="24"/>
                <w:szCs w:val="32"/>
                <w:u w:val="none" w:color="auto"/>
                <w:lang w:eastAsia="zh-CN"/>
              </w:rPr>
            </w:pPr>
            <w:r>
              <w:rPr>
                <w:rFonts w:hint="eastAsia" w:ascii="宋体" w:hAnsi="宋体"/>
                <w:sz w:val="24"/>
                <w:szCs w:val="32"/>
                <w:u w:val="none" w:color="auto"/>
              </w:rPr>
              <w:t>（1）</w:t>
            </w:r>
            <w:r>
              <w:rPr>
                <w:rFonts w:hint="eastAsia" w:ascii="宋体" w:hAnsi="宋体"/>
                <w:sz w:val="24"/>
                <w:szCs w:val="32"/>
                <w:u w:val="none" w:color="auto"/>
                <w:lang w:eastAsia="zh-CN"/>
              </w:rPr>
              <w:t>废边角料</w:t>
            </w:r>
          </w:p>
          <w:p>
            <w:pPr>
              <w:pStyle w:val="34"/>
              <w:spacing w:line="360" w:lineRule="auto"/>
              <w:ind w:left="0" w:leftChars="0" w:firstLine="466" w:firstLineChars="200"/>
              <w:jc w:val="left"/>
              <w:rPr>
                <w:rFonts w:hint="default" w:ascii="Times New Roman" w:hAnsi="Times New Roman" w:cs="Times New Roman"/>
                <w:sz w:val="24"/>
                <w:szCs w:val="32"/>
                <w:u w:val="none" w:color="auto"/>
              </w:rPr>
            </w:pPr>
            <w:r>
              <w:rPr>
                <w:rFonts w:hint="default" w:ascii="Times New Roman" w:hAnsi="Times New Roman" w:cs="Times New Roman"/>
                <w:sz w:val="24"/>
                <w:szCs w:val="32"/>
                <w:u w:val="none" w:color="auto"/>
              </w:rPr>
              <w:t>据</w:t>
            </w:r>
            <w:r>
              <w:rPr>
                <w:rFonts w:hint="default" w:ascii="Times New Roman" w:hAnsi="Times New Roman" w:cs="Times New Roman"/>
                <w:sz w:val="24"/>
                <w:szCs w:val="32"/>
                <w:u w:val="none" w:color="auto"/>
                <w:lang w:eastAsia="zh-CN"/>
              </w:rPr>
              <w:t>业主提供的相关资料</w:t>
            </w:r>
            <w:r>
              <w:rPr>
                <w:rFonts w:hint="default" w:ascii="Times New Roman" w:hAnsi="Times New Roman" w:cs="Times New Roman"/>
                <w:sz w:val="24"/>
                <w:szCs w:val="32"/>
                <w:u w:val="none" w:color="auto"/>
              </w:rPr>
              <w:t>，本项目产品加工过程中产生的废</w:t>
            </w:r>
            <w:r>
              <w:rPr>
                <w:rFonts w:hint="eastAsia" w:cs="Times New Roman"/>
                <w:sz w:val="24"/>
                <w:szCs w:val="32"/>
                <w:u w:val="none" w:color="auto"/>
                <w:lang w:eastAsia="zh-CN"/>
              </w:rPr>
              <w:t>边角料</w:t>
            </w:r>
            <w:r>
              <w:rPr>
                <w:rFonts w:hint="default" w:ascii="Times New Roman" w:hAnsi="Times New Roman" w:cs="Times New Roman"/>
                <w:sz w:val="24"/>
                <w:szCs w:val="32"/>
                <w:u w:val="none" w:color="auto"/>
              </w:rPr>
              <w:t>的产生量约</w:t>
            </w:r>
            <w:r>
              <w:rPr>
                <w:rFonts w:hint="default" w:ascii="Times New Roman" w:hAnsi="Times New Roman" w:cs="Times New Roman"/>
                <w:sz w:val="24"/>
                <w:szCs w:val="32"/>
                <w:u w:val="none" w:color="auto"/>
                <w:lang w:val="en-US" w:eastAsia="zh-CN"/>
              </w:rPr>
              <w:t>0.</w:t>
            </w:r>
            <w:r>
              <w:rPr>
                <w:rFonts w:hint="eastAsia" w:cs="Times New Roman"/>
                <w:sz w:val="24"/>
                <w:szCs w:val="32"/>
                <w:u w:val="none" w:color="auto"/>
                <w:lang w:val="en-US" w:eastAsia="zh-CN"/>
              </w:rPr>
              <w:t>2</w:t>
            </w:r>
            <w:r>
              <w:rPr>
                <w:rFonts w:hint="default" w:ascii="Times New Roman" w:hAnsi="Times New Roman" w:cs="Times New Roman"/>
                <w:sz w:val="24"/>
                <w:szCs w:val="32"/>
                <w:u w:val="none" w:color="auto"/>
              </w:rPr>
              <w:t>t/a，</w:t>
            </w:r>
            <w:r>
              <w:rPr>
                <w:rFonts w:hint="default" w:ascii="Times New Roman" w:hAnsi="Times New Roman" w:cs="Times New Roman"/>
                <w:sz w:val="24"/>
                <w:u w:val="none" w:color="auto"/>
              </w:rPr>
              <w:t>收集后均</w:t>
            </w:r>
            <w:r>
              <w:rPr>
                <w:rFonts w:hint="eastAsia" w:cs="Times New Roman"/>
                <w:sz w:val="24"/>
                <w:u w:val="none" w:color="auto"/>
                <w:lang w:eastAsia="zh-CN"/>
              </w:rPr>
              <w:t>交由环卫部门进行收集处置</w:t>
            </w:r>
            <w:r>
              <w:rPr>
                <w:rFonts w:hint="default" w:ascii="Times New Roman" w:hAnsi="Times New Roman" w:cs="Times New Roman"/>
                <w:sz w:val="24"/>
                <w:u w:val="none" w:color="auto"/>
              </w:rPr>
              <w:t>。</w:t>
            </w:r>
          </w:p>
          <w:p>
            <w:pPr>
              <w:pStyle w:val="34"/>
              <w:spacing w:line="360" w:lineRule="auto"/>
              <w:ind w:left="0" w:leftChars="0" w:firstLine="466" w:firstLineChars="200"/>
              <w:jc w:val="left"/>
              <w:rPr>
                <w:rFonts w:hint="default" w:ascii="Times New Roman" w:hAnsi="Times New Roman" w:cs="Times New Roman"/>
                <w:sz w:val="24"/>
                <w:u w:val="none" w:color="auto"/>
              </w:rPr>
            </w:pPr>
            <w:r>
              <w:rPr>
                <w:rFonts w:hint="default" w:ascii="Times New Roman" w:hAnsi="Times New Roman" w:cs="Times New Roman"/>
                <w:sz w:val="24"/>
                <w:u w:val="none" w:color="auto"/>
              </w:rPr>
              <w:t>（2）生活垃圾</w:t>
            </w:r>
          </w:p>
          <w:p>
            <w:pPr>
              <w:spacing w:line="360" w:lineRule="auto"/>
              <w:ind w:firstLine="466" w:firstLineChars="200"/>
              <w:jc w:val="left"/>
              <w:rPr>
                <w:rFonts w:hint="default" w:ascii="Times New Roman" w:hAnsi="Times New Roman" w:cs="Times New Roman"/>
                <w:sz w:val="24"/>
                <w:szCs w:val="24"/>
                <w:u w:val="none" w:color="auto"/>
              </w:rPr>
            </w:pPr>
            <w:r>
              <w:rPr>
                <w:sz w:val="24"/>
                <w:szCs w:val="24"/>
                <w:u w:val="none" w:color="auto"/>
              </w:rPr>
              <w:t>本项目生活垃圾按</w:t>
            </w:r>
            <w:r>
              <w:rPr>
                <w:rFonts w:hint="default" w:ascii="Times New Roman" w:hAnsi="Times New Roman" w:cs="Times New Roman"/>
                <w:sz w:val="24"/>
                <w:szCs w:val="24"/>
                <w:u w:val="none" w:color="auto"/>
              </w:rPr>
              <w:t>0.5kg/d计算，该项目工作人员</w:t>
            </w:r>
            <w:r>
              <w:rPr>
                <w:rFonts w:hint="eastAsia" w:cs="Times New Roman"/>
                <w:sz w:val="24"/>
                <w:szCs w:val="24"/>
                <w:u w:val="none" w:color="auto"/>
                <w:lang w:val="en-US" w:eastAsia="zh-CN"/>
              </w:rPr>
              <w:t>25</w:t>
            </w:r>
            <w:r>
              <w:rPr>
                <w:rFonts w:hint="default" w:ascii="Times New Roman" w:hAnsi="Times New Roman" w:cs="Times New Roman"/>
                <w:sz w:val="24"/>
                <w:szCs w:val="24"/>
                <w:u w:val="none" w:color="auto"/>
              </w:rPr>
              <w:t>人，年工作300天，生活垃圾产生量为0.</w:t>
            </w:r>
            <w:r>
              <w:rPr>
                <w:rFonts w:hint="eastAsia" w:cs="Times New Roman"/>
                <w:sz w:val="24"/>
                <w:szCs w:val="24"/>
                <w:u w:val="none" w:color="auto"/>
                <w:lang w:val="en-US" w:eastAsia="zh-CN"/>
              </w:rPr>
              <w:t>0125</w:t>
            </w:r>
            <w:r>
              <w:rPr>
                <w:rFonts w:hint="default" w:ascii="Times New Roman" w:hAnsi="Times New Roman" w:cs="Times New Roman"/>
                <w:sz w:val="24"/>
                <w:szCs w:val="24"/>
                <w:u w:val="none" w:color="auto"/>
              </w:rPr>
              <w:t>t/d（</w:t>
            </w:r>
            <w:r>
              <w:rPr>
                <w:rFonts w:hint="eastAsia" w:cs="Times New Roman"/>
                <w:sz w:val="24"/>
                <w:szCs w:val="24"/>
                <w:u w:val="none" w:color="auto"/>
                <w:lang w:val="en-US" w:eastAsia="zh-CN"/>
              </w:rPr>
              <w:t>3.75</w:t>
            </w:r>
            <w:r>
              <w:rPr>
                <w:rFonts w:hint="default" w:ascii="Times New Roman" w:hAnsi="Times New Roman" w:cs="Times New Roman"/>
                <w:sz w:val="24"/>
                <w:szCs w:val="24"/>
                <w:u w:val="none" w:color="auto"/>
              </w:rPr>
              <w:t>t/a），生活垃圾集中收集后交环卫部门统一清运处理。</w:t>
            </w:r>
          </w:p>
          <w:p>
            <w:pPr>
              <w:pStyle w:val="34"/>
              <w:spacing w:line="360" w:lineRule="auto"/>
              <w:ind w:left="0" w:leftChars="0" w:firstLine="466" w:firstLineChars="200"/>
              <w:rPr>
                <w:rFonts w:hint="eastAsia" w:cs="Times New Roman"/>
                <w:sz w:val="24"/>
                <w:szCs w:val="24"/>
                <w:u w:val="none" w:color="auto"/>
                <w:lang w:val="en-US" w:eastAsia="zh-CN"/>
              </w:rPr>
            </w:pPr>
            <w:r>
              <w:rPr>
                <w:rFonts w:hint="default" w:ascii="Times New Roman" w:hAnsi="Times New Roman" w:cs="Times New Roman"/>
                <w:sz w:val="24"/>
                <w:u w:val="none" w:color="auto"/>
                <w:lang w:eastAsia="zh-CN"/>
              </w:rPr>
              <w:t>（</w:t>
            </w:r>
            <w:r>
              <w:rPr>
                <w:rFonts w:hint="default" w:ascii="Times New Roman" w:hAnsi="Times New Roman" w:cs="Times New Roman"/>
                <w:sz w:val="24"/>
                <w:u w:val="none" w:color="auto"/>
                <w:lang w:val="en-US" w:eastAsia="zh-CN"/>
              </w:rPr>
              <w:t>3</w:t>
            </w:r>
            <w:r>
              <w:rPr>
                <w:rFonts w:hint="default" w:ascii="Times New Roman" w:hAnsi="Times New Roman" w:cs="Times New Roman"/>
                <w:sz w:val="24"/>
                <w:u w:val="none" w:color="auto"/>
                <w:lang w:eastAsia="zh-CN"/>
              </w:rPr>
              <w:t>）</w:t>
            </w:r>
            <w:r>
              <w:rPr>
                <w:rFonts w:hint="eastAsia"/>
                <w:sz w:val="24"/>
                <w:szCs w:val="24"/>
                <w:u w:val="none" w:color="auto"/>
                <w:lang w:eastAsia="zh-CN"/>
              </w:rPr>
              <w:t>危险废物</w:t>
            </w:r>
          </w:p>
          <w:p>
            <w:pPr>
              <w:spacing w:line="360" w:lineRule="auto"/>
              <w:ind w:firstLine="466" w:firstLineChars="200"/>
              <w:jc w:val="left"/>
              <w:rPr>
                <w:rFonts w:hint="default"/>
                <w:sz w:val="24"/>
                <w:szCs w:val="24"/>
                <w:u w:val="none" w:color="auto"/>
                <w:lang w:val="en-US" w:eastAsia="zh-CN"/>
              </w:rPr>
            </w:pPr>
            <w:r>
              <w:rPr>
                <w:rFonts w:hint="eastAsia" w:hAnsi="宋体"/>
                <w:sz w:val="24"/>
                <w:u w:val="none" w:color="auto"/>
              </w:rPr>
              <w:t>项目在有机废气治理过程中，活性炭在有机废气饱和后，需要进行更换，</w:t>
            </w:r>
            <w:r>
              <w:rPr>
                <w:rFonts w:hint="eastAsia" w:hAnsi="宋体"/>
                <w:sz w:val="24"/>
                <w:u w:val="none" w:color="auto"/>
                <w:lang w:eastAsia="zh-CN"/>
              </w:rPr>
              <w:t>建议每</w:t>
            </w:r>
            <w:r>
              <w:rPr>
                <w:rFonts w:hint="eastAsia" w:hAnsi="宋体"/>
                <w:sz w:val="24"/>
                <w:u w:val="none" w:color="auto"/>
                <w:lang w:val="en-US" w:eastAsia="zh-CN"/>
              </w:rPr>
              <w:t>2个月进行更换一次，每次更换量为0.02t</w:t>
            </w:r>
            <w:r>
              <w:rPr>
                <w:rFonts w:hint="eastAsia" w:hAnsi="宋体"/>
                <w:sz w:val="24"/>
                <w:u w:val="none" w:color="auto"/>
              </w:rPr>
              <w:t>，</w:t>
            </w:r>
            <w:r>
              <w:rPr>
                <w:rFonts w:hint="eastAsia" w:hAnsi="宋体"/>
                <w:sz w:val="24"/>
                <w:u w:val="none" w:color="auto"/>
                <w:lang w:eastAsia="zh-CN"/>
              </w:rPr>
              <w:t>故废</w:t>
            </w:r>
            <w:r>
              <w:rPr>
                <w:rFonts w:hint="eastAsia" w:hAnsi="宋体"/>
                <w:sz w:val="24"/>
                <w:u w:val="none" w:color="auto"/>
              </w:rPr>
              <w:t>活性炭</w:t>
            </w:r>
            <w:r>
              <w:rPr>
                <w:rFonts w:hint="eastAsia" w:hAnsi="宋体"/>
                <w:sz w:val="24"/>
                <w:u w:val="none" w:color="auto"/>
                <w:lang w:eastAsia="zh-CN"/>
              </w:rPr>
              <w:t>产生量</w:t>
            </w:r>
            <w:r>
              <w:rPr>
                <w:rFonts w:hint="eastAsia" w:hAnsi="宋体"/>
                <w:sz w:val="24"/>
                <w:u w:val="none" w:color="auto"/>
              </w:rPr>
              <w:t>约为</w:t>
            </w:r>
            <w:r>
              <w:rPr>
                <w:rFonts w:hint="eastAsia" w:hAnsi="宋体"/>
                <w:sz w:val="24"/>
                <w:u w:val="none" w:color="auto"/>
                <w:lang w:val="en-US" w:eastAsia="zh-CN"/>
              </w:rPr>
              <w:t>0.12</w:t>
            </w:r>
            <w:r>
              <w:rPr>
                <w:rFonts w:hAnsi="宋体"/>
                <w:sz w:val="24"/>
                <w:u w:val="none" w:color="auto"/>
              </w:rPr>
              <w:t>t/a</w:t>
            </w:r>
            <w:r>
              <w:rPr>
                <w:rFonts w:hint="eastAsia" w:hAnsi="宋体"/>
                <w:sz w:val="24"/>
                <w:u w:val="none" w:color="auto"/>
              </w:rPr>
              <w:t>，废活性炭</w:t>
            </w:r>
            <w:r>
              <w:rPr>
                <w:rFonts w:hint="eastAsia" w:hAnsi="宋体"/>
                <w:sz w:val="24"/>
                <w:u w:val="none" w:color="auto"/>
                <w:lang w:eastAsia="zh-CN"/>
              </w:rPr>
              <w:t>（</w:t>
            </w:r>
            <w:r>
              <w:rPr>
                <w:rFonts w:hint="eastAsia" w:hAnsi="宋体"/>
                <w:sz w:val="24"/>
                <w:u w:val="none" w:color="auto"/>
                <w:lang w:val="en-US" w:eastAsia="zh-CN"/>
              </w:rPr>
              <w:t xml:space="preserve">根据《国家危险废物名录》可知，项目废活性炭属于危险废物（代码：HW49  900-039-49 </w:t>
            </w:r>
            <w:r>
              <w:rPr>
                <w:rFonts w:hint="eastAsia" w:hAnsi="宋体"/>
                <w:sz w:val="24"/>
                <w:u w:val="none" w:color="auto"/>
                <w:lang w:eastAsia="zh-CN"/>
              </w:rPr>
              <w:t>），收集于危险废物储存间内，再交由有资质单位进行处理</w:t>
            </w:r>
            <w:r>
              <w:rPr>
                <w:rFonts w:hint="eastAsia"/>
                <w:sz w:val="24"/>
                <w:szCs w:val="24"/>
                <w:u w:val="none" w:color="auto"/>
                <w:lang w:val="en-US" w:eastAsia="zh-CN"/>
              </w:rPr>
              <w:t>。</w:t>
            </w:r>
          </w:p>
          <w:p>
            <w:pPr>
              <w:snapToGrid w:val="0"/>
              <w:spacing w:line="360" w:lineRule="auto"/>
              <w:ind w:firstLine="466" w:firstLineChars="200"/>
              <w:rPr>
                <w:rFonts w:hint="eastAsia" w:hAnsi="宋体"/>
                <w:sz w:val="24"/>
                <w:u w:val="none" w:color="auto"/>
              </w:rPr>
            </w:pPr>
            <w:r>
              <w:rPr>
                <w:rFonts w:hint="eastAsia" w:hAnsi="宋体"/>
                <w:sz w:val="24"/>
                <w:u w:val="none" w:color="auto"/>
                <w:lang w:eastAsia="zh-CN"/>
              </w:rPr>
              <w:t>项目有时会需要进行印刷标签，故会产生少量废油墨桶，根据业主提供的资料，废油墨桶产生量约为</w:t>
            </w:r>
            <w:r>
              <w:rPr>
                <w:rFonts w:hint="eastAsia" w:hAnsi="宋体"/>
                <w:sz w:val="24"/>
                <w:u w:val="none" w:color="auto"/>
                <w:lang w:val="en-US" w:eastAsia="zh-CN"/>
              </w:rPr>
              <w:t>0.001t/a，根据《国家危险废物名录》可知，项目废油墨桶属于危险废物（代码：HW12  264-013-12），需收集于危险废物储存间，再交由生产厂家回收或交由有资质单位进行处置。</w:t>
            </w:r>
          </w:p>
          <w:p>
            <w:pPr>
              <w:widowControl/>
              <w:rPr>
                <w:rFonts w:hint="eastAsia"/>
                <w:u w:val="none" w:color="auto"/>
              </w:rPr>
            </w:pPr>
          </w:p>
        </w:tc>
      </w:tr>
    </w:tbl>
    <w:p>
      <w:pPr>
        <w:snapToGrid w:val="0"/>
        <w:outlineLvl w:val="0"/>
        <w:rPr>
          <w:rFonts w:ascii="黑体" w:hAnsi="黑体" w:eastAsia="黑体"/>
          <w:sz w:val="32"/>
          <w:szCs w:val="32"/>
          <w:u w:val="none" w:color="auto"/>
        </w:rPr>
      </w:pPr>
      <w:r>
        <w:rPr>
          <w:u w:val="none" w:color="auto"/>
        </w:rPr>
        <w:br w:type="page"/>
      </w:r>
      <w:bookmarkStart w:id="5" w:name="_Toc498"/>
      <w:r>
        <w:rPr>
          <w:rFonts w:hint="eastAsia" w:ascii="黑体" w:hAnsi="黑体" w:eastAsia="黑体"/>
          <w:sz w:val="32"/>
          <w:szCs w:val="32"/>
          <w:u w:val="none" w:color="auto"/>
        </w:rPr>
        <w:t>六、</w:t>
      </w:r>
      <w:r>
        <w:rPr>
          <w:rFonts w:ascii="黑体" w:hAnsi="黑体" w:eastAsia="黑体"/>
          <w:sz w:val="32"/>
          <w:szCs w:val="32"/>
          <w:u w:val="none" w:color="auto"/>
        </w:rPr>
        <w:t>项目主要污染物产生及预计排放情况</w:t>
      </w:r>
      <w:bookmarkEnd w:id="5"/>
    </w:p>
    <w:tbl>
      <w:tblPr>
        <w:tblStyle w:val="40"/>
        <w:tblW w:w="94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15"/>
        <w:gridCol w:w="1341"/>
        <w:gridCol w:w="1516"/>
        <w:gridCol w:w="2126"/>
        <w:gridCol w:w="3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4" w:type="dxa"/>
            <w:tcBorders>
              <w:tl2br w:val="nil"/>
              <w:tr2bl w:val="nil"/>
            </w:tcBorders>
          </w:tcPr>
          <w:p>
            <w:pPr>
              <w:spacing w:line="360" w:lineRule="auto"/>
              <w:rPr>
                <w:b/>
                <w:bCs/>
                <w:sz w:val="22"/>
                <w:szCs w:val="22"/>
                <w:u w:val="none" w:color="auto"/>
              </w:rPr>
            </w:pPr>
          </w:p>
        </w:tc>
        <w:tc>
          <w:tcPr>
            <w:tcW w:w="1956" w:type="dxa"/>
            <w:gridSpan w:val="2"/>
            <w:tcBorders>
              <w:tl2br w:val="nil"/>
              <w:tr2bl w:val="nil"/>
            </w:tcBorders>
            <w:vAlign w:val="center"/>
          </w:tcPr>
          <w:p>
            <w:pPr>
              <w:spacing w:line="360" w:lineRule="auto"/>
              <w:ind w:firstLine="426" w:firstLineChars="200"/>
              <w:jc w:val="center"/>
              <w:rPr>
                <w:b/>
                <w:bCs/>
                <w:sz w:val="22"/>
                <w:szCs w:val="22"/>
                <w:u w:val="none" w:color="auto"/>
              </w:rPr>
            </w:pPr>
            <w:r>
              <w:rPr>
                <w:b/>
                <w:bCs/>
                <w:sz w:val="22"/>
                <w:szCs w:val="22"/>
                <w:u w:val="none" w:color="auto"/>
              </w:rPr>
              <w:t>排放源</w:t>
            </w:r>
          </w:p>
          <w:p>
            <w:pPr>
              <w:spacing w:line="360" w:lineRule="auto"/>
              <w:ind w:firstLine="426" w:firstLineChars="200"/>
              <w:jc w:val="center"/>
              <w:rPr>
                <w:b/>
                <w:bCs/>
                <w:sz w:val="22"/>
                <w:szCs w:val="22"/>
                <w:u w:val="none" w:color="auto"/>
              </w:rPr>
            </w:pPr>
            <w:r>
              <w:rPr>
                <w:b/>
                <w:bCs/>
                <w:sz w:val="22"/>
                <w:szCs w:val="22"/>
                <w:u w:val="none" w:color="auto"/>
              </w:rPr>
              <w:t>（编号）</w:t>
            </w:r>
          </w:p>
        </w:tc>
        <w:tc>
          <w:tcPr>
            <w:tcW w:w="1516" w:type="dxa"/>
            <w:tcBorders>
              <w:tl2br w:val="nil"/>
              <w:tr2bl w:val="nil"/>
            </w:tcBorders>
            <w:vAlign w:val="center"/>
          </w:tcPr>
          <w:p>
            <w:pPr>
              <w:spacing w:line="360" w:lineRule="auto"/>
              <w:jc w:val="center"/>
              <w:rPr>
                <w:b/>
                <w:bCs/>
                <w:sz w:val="22"/>
                <w:szCs w:val="22"/>
                <w:u w:val="none" w:color="auto"/>
              </w:rPr>
            </w:pPr>
            <w:r>
              <w:rPr>
                <w:b/>
                <w:bCs/>
                <w:sz w:val="22"/>
                <w:szCs w:val="22"/>
                <w:u w:val="none" w:color="auto"/>
              </w:rPr>
              <w:t>污染物</w:t>
            </w:r>
          </w:p>
          <w:p>
            <w:pPr>
              <w:spacing w:line="360" w:lineRule="auto"/>
              <w:jc w:val="center"/>
              <w:rPr>
                <w:b/>
                <w:bCs/>
                <w:sz w:val="22"/>
                <w:szCs w:val="22"/>
                <w:u w:val="none" w:color="auto"/>
              </w:rPr>
            </w:pPr>
            <w:r>
              <w:rPr>
                <w:b/>
                <w:bCs/>
                <w:sz w:val="22"/>
                <w:szCs w:val="22"/>
                <w:u w:val="none" w:color="auto"/>
              </w:rPr>
              <w:t>名称</w:t>
            </w:r>
          </w:p>
        </w:tc>
        <w:tc>
          <w:tcPr>
            <w:tcW w:w="2126" w:type="dxa"/>
            <w:tcBorders>
              <w:tl2br w:val="nil"/>
              <w:tr2bl w:val="nil"/>
            </w:tcBorders>
            <w:vAlign w:val="center"/>
          </w:tcPr>
          <w:p>
            <w:pPr>
              <w:spacing w:line="360" w:lineRule="auto"/>
              <w:jc w:val="center"/>
              <w:rPr>
                <w:b/>
                <w:bCs/>
                <w:sz w:val="22"/>
                <w:szCs w:val="22"/>
                <w:u w:val="none" w:color="auto"/>
              </w:rPr>
            </w:pPr>
            <w:r>
              <w:rPr>
                <w:b/>
                <w:bCs/>
                <w:sz w:val="22"/>
                <w:szCs w:val="22"/>
                <w:u w:val="none" w:color="auto"/>
              </w:rPr>
              <w:t>处理前产生浓度及产生量（单位）</w:t>
            </w:r>
          </w:p>
        </w:tc>
        <w:tc>
          <w:tcPr>
            <w:tcW w:w="3210" w:type="dxa"/>
            <w:tcBorders>
              <w:tl2br w:val="nil"/>
              <w:tr2bl w:val="nil"/>
            </w:tcBorders>
            <w:vAlign w:val="center"/>
          </w:tcPr>
          <w:p>
            <w:pPr>
              <w:spacing w:line="360" w:lineRule="auto"/>
              <w:ind w:firstLine="426" w:firstLineChars="200"/>
              <w:jc w:val="center"/>
              <w:rPr>
                <w:b/>
                <w:bCs/>
                <w:sz w:val="22"/>
                <w:szCs w:val="22"/>
                <w:u w:val="none" w:color="auto"/>
              </w:rPr>
            </w:pPr>
            <w:r>
              <w:rPr>
                <w:b/>
                <w:bCs/>
                <w:sz w:val="22"/>
                <w:szCs w:val="22"/>
                <w:u w:val="none" w:color="auto"/>
              </w:rPr>
              <w:t>排放浓度及排放量（单位）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24" w:type="dxa"/>
            <w:vMerge w:val="restart"/>
            <w:tcBorders>
              <w:tl2br w:val="nil"/>
              <w:tr2bl w:val="nil"/>
            </w:tcBorders>
            <w:vAlign w:val="center"/>
          </w:tcPr>
          <w:p>
            <w:pPr>
              <w:spacing w:line="360" w:lineRule="auto"/>
              <w:jc w:val="center"/>
              <w:rPr>
                <w:b/>
                <w:bCs/>
                <w:sz w:val="22"/>
                <w:szCs w:val="22"/>
                <w:u w:val="none" w:color="auto"/>
              </w:rPr>
            </w:pPr>
            <w:r>
              <w:rPr>
                <w:rFonts w:hint="eastAsia"/>
                <w:b/>
                <w:bCs/>
                <w:sz w:val="22"/>
                <w:szCs w:val="22"/>
                <w:u w:val="none" w:color="auto"/>
              </w:rPr>
              <w:t>大气污染物</w:t>
            </w:r>
          </w:p>
        </w:tc>
        <w:tc>
          <w:tcPr>
            <w:tcW w:w="615" w:type="dxa"/>
            <w:vMerge w:val="restart"/>
            <w:tcBorders>
              <w:tl2br w:val="nil"/>
              <w:tr2bl w:val="nil"/>
            </w:tcBorders>
            <w:vAlign w:val="center"/>
          </w:tcPr>
          <w:p>
            <w:pPr>
              <w:spacing w:line="360" w:lineRule="auto"/>
              <w:jc w:val="center"/>
              <w:rPr>
                <w:sz w:val="22"/>
                <w:szCs w:val="22"/>
                <w:u w:val="none" w:color="auto"/>
              </w:rPr>
            </w:pPr>
            <w:r>
              <w:rPr>
                <w:rFonts w:hint="eastAsia"/>
                <w:sz w:val="22"/>
                <w:szCs w:val="22"/>
                <w:u w:val="none" w:color="auto"/>
              </w:rPr>
              <w:t>运营期</w:t>
            </w:r>
          </w:p>
        </w:tc>
        <w:tc>
          <w:tcPr>
            <w:tcW w:w="1341"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印刷废气</w:t>
            </w:r>
          </w:p>
        </w:tc>
        <w:tc>
          <w:tcPr>
            <w:tcW w:w="1516"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有机废气</w:t>
            </w:r>
          </w:p>
        </w:tc>
        <w:tc>
          <w:tcPr>
            <w:tcW w:w="2126"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少量</w:t>
            </w:r>
          </w:p>
        </w:tc>
        <w:tc>
          <w:tcPr>
            <w:tcW w:w="3210"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少量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spacing w:line="360" w:lineRule="auto"/>
              <w:jc w:val="center"/>
              <w:rPr>
                <w:b/>
                <w:bCs/>
                <w:sz w:val="22"/>
                <w:szCs w:val="22"/>
                <w:u w:val="none" w:color="auto"/>
              </w:rPr>
            </w:pPr>
          </w:p>
        </w:tc>
        <w:tc>
          <w:tcPr>
            <w:tcW w:w="1341" w:type="dxa"/>
            <w:vMerge w:val="restart"/>
            <w:tcBorders>
              <w:tl2br w:val="nil"/>
              <w:tr2bl w:val="nil"/>
            </w:tcBorders>
            <w:vAlign w:val="center"/>
          </w:tcPr>
          <w:p>
            <w:pPr>
              <w:spacing w:line="360" w:lineRule="auto"/>
              <w:jc w:val="center"/>
              <w:rPr>
                <w:rFonts w:hint="eastAsia"/>
                <w:sz w:val="22"/>
                <w:szCs w:val="22"/>
                <w:u w:val="none" w:color="auto"/>
                <w:lang w:eastAsia="zh-CN"/>
              </w:rPr>
            </w:pPr>
            <w:r>
              <w:rPr>
                <w:rFonts w:hint="eastAsia"/>
                <w:sz w:val="22"/>
                <w:szCs w:val="22"/>
                <w:u w:val="none" w:color="auto"/>
                <w:lang w:eastAsia="zh-CN"/>
              </w:rPr>
              <w:t>模压成型</w:t>
            </w:r>
          </w:p>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工序</w:t>
            </w:r>
          </w:p>
        </w:tc>
        <w:tc>
          <w:tcPr>
            <w:tcW w:w="1516" w:type="dxa"/>
            <w:vMerge w:val="restart"/>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非甲烷总烃</w:t>
            </w:r>
          </w:p>
        </w:tc>
        <w:tc>
          <w:tcPr>
            <w:tcW w:w="2126" w:type="dxa"/>
            <w:vMerge w:val="restart"/>
            <w:tcBorders>
              <w:tl2br w:val="nil"/>
              <w:tr2bl w:val="nil"/>
            </w:tcBorders>
            <w:vAlign w:val="center"/>
          </w:tcPr>
          <w:p>
            <w:pPr>
              <w:spacing w:line="360" w:lineRule="auto"/>
              <w:jc w:val="center"/>
              <w:rPr>
                <w:sz w:val="22"/>
                <w:szCs w:val="22"/>
                <w:u w:val="none" w:color="auto"/>
              </w:rPr>
            </w:pPr>
            <w:r>
              <w:rPr>
                <w:rFonts w:hint="eastAsia"/>
                <w:sz w:val="22"/>
                <w:szCs w:val="22"/>
                <w:u w:val="none" w:color="auto"/>
                <w:lang w:val="en-US" w:eastAsia="zh-CN"/>
              </w:rPr>
              <w:t>0.01407</w:t>
            </w:r>
            <w:r>
              <w:rPr>
                <w:sz w:val="22"/>
                <w:szCs w:val="22"/>
                <w:u w:val="none" w:color="auto"/>
              </w:rPr>
              <w:t>t/a</w:t>
            </w:r>
            <w:r>
              <w:rPr>
                <w:rFonts w:hint="eastAsia"/>
                <w:sz w:val="22"/>
                <w:szCs w:val="22"/>
                <w:u w:val="none" w:color="auto"/>
              </w:rPr>
              <w:t>，</w:t>
            </w:r>
            <w:r>
              <w:rPr>
                <w:rFonts w:hint="eastAsia"/>
                <w:sz w:val="22"/>
                <w:szCs w:val="22"/>
                <w:u w:val="none" w:color="auto"/>
                <w:lang w:val="en-US" w:eastAsia="zh-CN"/>
              </w:rPr>
              <w:t>0.0059</w:t>
            </w:r>
            <w:r>
              <w:rPr>
                <w:sz w:val="22"/>
                <w:szCs w:val="22"/>
                <w:u w:val="none" w:color="auto"/>
              </w:rPr>
              <w:t>kg/h</w:t>
            </w:r>
          </w:p>
        </w:tc>
        <w:tc>
          <w:tcPr>
            <w:tcW w:w="3210" w:type="dxa"/>
            <w:tcBorders>
              <w:tl2br w:val="nil"/>
              <w:tr2bl w:val="nil"/>
            </w:tcBorders>
            <w:vAlign w:val="center"/>
          </w:tcPr>
          <w:p>
            <w:pPr>
              <w:spacing w:line="360" w:lineRule="auto"/>
              <w:jc w:val="center"/>
              <w:rPr>
                <w:sz w:val="22"/>
                <w:szCs w:val="22"/>
                <w:u w:val="none" w:color="auto"/>
              </w:rPr>
            </w:pPr>
            <w:r>
              <w:rPr>
                <w:rFonts w:hint="eastAsia"/>
                <w:sz w:val="22"/>
                <w:szCs w:val="22"/>
                <w:u w:val="none" w:color="auto"/>
                <w:lang w:val="en-US" w:eastAsia="zh-CN"/>
              </w:rPr>
              <w:t>0.0025</w:t>
            </w:r>
            <w:r>
              <w:rPr>
                <w:sz w:val="22"/>
                <w:szCs w:val="22"/>
                <w:u w:val="none" w:color="auto"/>
              </w:rPr>
              <w:t>t/a</w:t>
            </w:r>
            <w:r>
              <w:rPr>
                <w:rFonts w:hint="eastAsia"/>
                <w:sz w:val="22"/>
                <w:szCs w:val="22"/>
                <w:u w:val="none" w:color="auto"/>
              </w:rPr>
              <w:t>，</w:t>
            </w:r>
            <w:r>
              <w:rPr>
                <w:rFonts w:hint="eastAsia"/>
                <w:sz w:val="22"/>
                <w:szCs w:val="22"/>
                <w:u w:val="none" w:color="auto"/>
                <w:lang w:val="en-US" w:eastAsia="zh-CN"/>
              </w:rPr>
              <w:t>0.33</w:t>
            </w:r>
            <w:r>
              <w:rPr>
                <w:sz w:val="22"/>
                <w:szCs w:val="22"/>
                <w:u w:val="none" w:color="auto"/>
              </w:rPr>
              <w:t>mg/m</w:t>
            </w:r>
            <w:r>
              <w:rPr>
                <w:sz w:val="22"/>
                <w:szCs w:val="22"/>
                <w:u w:val="none" w:color="auto"/>
                <w:vertAlign w:val="superscript"/>
              </w:rPr>
              <w:t>3</w:t>
            </w:r>
            <w:r>
              <w:rPr>
                <w:rFonts w:hint="eastAsia"/>
                <w:sz w:val="22"/>
                <w:szCs w:val="22"/>
                <w:u w:val="none" w:color="auto"/>
                <w:lang w:eastAsia="zh-CN"/>
              </w:rPr>
              <w:t>（有组织）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spacing w:line="360" w:lineRule="auto"/>
              <w:jc w:val="center"/>
              <w:rPr>
                <w:b/>
                <w:bCs/>
                <w:sz w:val="22"/>
                <w:szCs w:val="22"/>
                <w:u w:val="none" w:color="auto"/>
              </w:rPr>
            </w:pPr>
          </w:p>
        </w:tc>
        <w:tc>
          <w:tcPr>
            <w:tcW w:w="1341" w:type="dxa"/>
            <w:vMerge w:val="continue"/>
            <w:tcBorders>
              <w:tl2br w:val="nil"/>
              <w:tr2bl w:val="nil"/>
            </w:tcBorders>
            <w:vAlign w:val="center"/>
          </w:tcPr>
          <w:p>
            <w:pPr>
              <w:spacing w:line="360" w:lineRule="auto"/>
              <w:jc w:val="center"/>
              <w:rPr>
                <w:sz w:val="22"/>
                <w:szCs w:val="22"/>
                <w:u w:val="none" w:color="auto"/>
              </w:rPr>
            </w:pPr>
          </w:p>
        </w:tc>
        <w:tc>
          <w:tcPr>
            <w:tcW w:w="1516" w:type="dxa"/>
            <w:vMerge w:val="continue"/>
            <w:tcBorders>
              <w:tl2br w:val="nil"/>
              <w:tr2bl w:val="nil"/>
            </w:tcBorders>
            <w:vAlign w:val="center"/>
          </w:tcPr>
          <w:p>
            <w:pPr>
              <w:spacing w:line="360" w:lineRule="auto"/>
              <w:jc w:val="center"/>
              <w:rPr>
                <w:sz w:val="22"/>
                <w:szCs w:val="22"/>
                <w:u w:val="none" w:color="auto"/>
              </w:rPr>
            </w:pPr>
          </w:p>
        </w:tc>
        <w:tc>
          <w:tcPr>
            <w:tcW w:w="2126" w:type="dxa"/>
            <w:vMerge w:val="continue"/>
            <w:tcBorders>
              <w:tl2br w:val="nil"/>
              <w:tr2bl w:val="nil"/>
            </w:tcBorders>
            <w:vAlign w:val="center"/>
          </w:tcPr>
          <w:p>
            <w:pPr>
              <w:spacing w:line="360" w:lineRule="auto"/>
              <w:jc w:val="center"/>
              <w:rPr>
                <w:sz w:val="22"/>
                <w:szCs w:val="22"/>
                <w:u w:val="none" w:color="auto"/>
              </w:rPr>
            </w:pPr>
          </w:p>
        </w:tc>
        <w:tc>
          <w:tcPr>
            <w:tcW w:w="3210" w:type="dxa"/>
            <w:tcBorders>
              <w:tl2br w:val="nil"/>
              <w:tr2bl w:val="nil"/>
            </w:tcBorders>
            <w:vAlign w:val="center"/>
          </w:tcPr>
          <w:p>
            <w:pPr>
              <w:spacing w:line="360" w:lineRule="auto"/>
              <w:jc w:val="both"/>
              <w:rPr>
                <w:rFonts w:hint="eastAsia" w:eastAsia="宋体"/>
                <w:sz w:val="22"/>
                <w:szCs w:val="22"/>
                <w:u w:val="none" w:color="auto"/>
                <w:lang w:eastAsia="zh-CN"/>
              </w:rPr>
            </w:pPr>
            <w:r>
              <w:rPr>
                <w:rFonts w:hint="eastAsia"/>
                <w:sz w:val="22"/>
                <w:szCs w:val="22"/>
                <w:u w:val="none" w:color="auto"/>
                <w:lang w:val="en-US" w:eastAsia="zh-CN"/>
              </w:rPr>
              <w:t>0.00141</w:t>
            </w:r>
            <w:r>
              <w:rPr>
                <w:sz w:val="22"/>
                <w:szCs w:val="22"/>
                <w:u w:val="none" w:color="auto"/>
              </w:rPr>
              <w:t>t/a</w:t>
            </w:r>
            <w:r>
              <w:rPr>
                <w:rFonts w:hint="eastAsia"/>
                <w:sz w:val="22"/>
                <w:szCs w:val="22"/>
                <w:u w:val="none" w:color="auto"/>
              </w:rPr>
              <w:t>，</w:t>
            </w:r>
            <w:r>
              <w:rPr>
                <w:rFonts w:hint="eastAsia"/>
                <w:sz w:val="22"/>
                <w:szCs w:val="22"/>
                <w:u w:val="none" w:color="auto"/>
                <w:lang w:val="en-US" w:eastAsia="zh-CN"/>
              </w:rPr>
              <w:t>0.00059</w:t>
            </w:r>
            <w:r>
              <w:rPr>
                <w:sz w:val="22"/>
                <w:szCs w:val="22"/>
                <w:u w:val="none" w:color="auto"/>
              </w:rPr>
              <w:t>kg/h</w:t>
            </w:r>
            <w:r>
              <w:rPr>
                <w:rFonts w:hint="eastAsia"/>
                <w:sz w:val="22"/>
                <w:szCs w:val="22"/>
                <w:u w:val="none" w:color="auto"/>
                <w:lang w:eastAsia="zh-CN"/>
              </w:rPr>
              <w:t>（无组织）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24" w:type="dxa"/>
            <w:vMerge w:val="restart"/>
            <w:tcBorders>
              <w:tl2br w:val="nil"/>
              <w:tr2bl w:val="nil"/>
            </w:tcBorders>
            <w:vAlign w:val="center"/>
          </w:tcPr>
          <w:p>
            <w:pPr>
              <w:spacing w:line="360" w:lineRule="auto"/>
              <w:jc w:val="center"/>
              <w:rPr>
                <w:b/>
                <w:bCs/>
                <w:sz w:val="22"/>
                <w:szCs w:val="22"/>
                <w:u w:val="none" w:color="auto"/>
              </w:rPr>
            </w:pPr>
            <w:r>
              <w:rPr>
                <w:b/>
                <w:bCs/>
                <w:sz w:val="22"/>
                <w:szCs w:val="22"/>
                <w:u w:val="none" w:color="auto"/>
              </w:rPr>
              <w:t>水污</w:t>
            </w:r>
          </w:p>
          <w:p>
            <w:pPr>
              <w:spacing w:line="360" w:lineRule="auto"/>
              <w:jc w:val="center"/>
              <w:rPr>
                <w:b/>
                <w:bCs/>
                <w:sz w:val="22"/>
                <w:szCs w:val="22"/>
                <w:u w:val="none" w:color="auto"/>
              </w:rPr>
            </w:pPr>
            <w:r>
              <w:rPr>
                <w:b/>
                <w:bCs/>
                <w:sz w:val="22"/>
                <w:szCs w:val="22"/>
                <w:u w:val="none" w:color="auto"/>
              </w:rPr>
              <w:t>染物</w:t>
            </w:r>
          </w:p>
        </w:tc>
        <w:tc>
          <w:tcPr>
            <w:tcW w:w="615" w:type="dxa"/>
            <w:vMerge w:val="restart"/>
            <w:tcBorders>
              <w:tl2br w:val="nil"/>
              <w:tr2bl w:val="nil"/>
            </w:tcBorders>
            <w:vAlign w:val="center"/>
          </w:tcPr>
          <w:p>
            <w:pPr>
              <w:tabs>
                <w:tab w:val="left" w:pos="4425"/>
              </w:tabs>
              <w:adjustRightInd w:val="0"/>
              <w:snapToGrid w:val="0"/>
              <w:spacing w:line="360" w:lineRule="auto"/>
              <w:jc w:val="center"/>
              <w:rPr>
                <w:sz w:val="22"/>
                <w:szCs w:val="22"/>
                <w:u w:val="none" w:color="auto"/>
              </w:rPr>
            </w:pPr>
            <w:r>
              <w:rPr>
                <w:rFonts w:hint="eastAsia"/>
                <w:sz w:val="22"/>
                <w:szCs w:val="22"/>
                <w:u w:val="none" w:color="auto"/>
              </w:rPr>
              <w:t>营</w:t>
            </w:r>
          </w:p>
          <w:p>
            <w:pPr>
              <w:tabs>
                <w:tab w:val="left" w:pos="4425"/>
              </w:tabs>
              <w:adjustRightInd w:val="0"/>
              <w:snapToGrid w:val="0"/>
              <w:spacing w:line="360" w:lineRule="auto"/>
              <w:jc w:val="center"/>
              <w:rPr>
                <w:sz w:val="22"/>
                <w:szCs w:val="22"/>
                <w:u w:val="none" w:color="auto"/>
              </w:rPr>
            </w:pPr>
            <w:r>
              <w:rPr>
                <w:rFonts w:hint="eastAsia"/>
                <w:sz w:val="22"/>
                <w:szCs w:val="22"/>
                <w:u w:val="none" w:color="auto"/>
              </w:rPr>
              <w:t>运</w:t>
            </w:r>
          </w:p>
          <w:p>
            <w:pPr>
              <w:tabs>
                <w:tab w:val="left" w:pos="4425"/>
              </w:tabs>
              <w:adjustRightInd w:val="0"/>
              <w:snapToGrid w:val="0"/>
              <w:spacing w:line="360" w:lineRule="auto"/>
              <w:jc w:val="center"/>
              <w:rPr>
                <w:sz w:val="22"/>
                <w:szCs w:val="22"/>
                <w:u w:val="none" w:color="auto"/>
              </w:rPr>
            </w:pPr>
            <w:r>
              <w:rPr>
                <w:rFonts w:hint="eastAsia"/>
                <w:sz w:val="22"/>
                <w:szCs w:val="22"/>
                <w:u w:val="none" w:color="auto"/>
              </w:rPr>
              <w:t>期</w:t>
            </w:r>
          </w:p>
        </w:tc>
        <w:tc>
          <w:tcPr>
            <w:tcW w:w="1341" w:type="dxa"/>
            <w:vMerge w:val="restart"/>
            <w:tcBorders>
              <w:tl2br w:val="nil"/>
              <w:tr2bl w:val="nil"/>
            </w:tcBorders>
            <w:vAlign w:val="center"/>
          </w:tcPr>
          <w:p>
            <w:pPr>
              <w:tabs>
                <w:tab w:val="left" w:pos="4425"/>
              </w:tabs>
              <w:adjustRightInd w:val="0"/>
              <w:snapToGrid w:val="0"/>
              <w:spacing w:line="360" w:lineRule="auto"/>
              <w:jc w:val="center"/>
              <w:rPr>
                <w:sz w:val="22"/>
                <w:szCs w:val="22"/>
                <w:u w:val="none" w:color="auto"/>
              </w:rPr>
            </w:pPr>
            <w:r>
              <w:rPr>
                <w:sz w:val="22"/>
                <w:szCs w:val="22"/>
                <w:u w:val="none" w:color="auto"/>
              </w:rPr>
              <w:t>生活污</w:t>
            </w:r>
            <w:r>
              <w:rPr>
                <w:rFonts w:hint="eastAsia"/>
                <w:sz w:val="22"/>
                <w:szCs w:val="22"/>
                <w:u w:val="none" w:color="auto"/>
              </w:rPr>
              <w:t>水</w:t>
            </w:r>
            <w:r>
              <w:rPr>
                <w:rFonts w:hint="eastAsia"/>
                <w:sz w:val="22"/>
                <w:szCs w:val="22"/>
                <w:u w:val="none" w:color="auto"/>
                <w:lang w:val="en-US" w:eastAsia="zh-CN"/>
              </w:rPr>
              <w:t>300</w:t>
            </w:r>
            <w:r>
              <w:rPr>
                <w:sz w:val="22"/>
                <w:szCs w:val="22"/>
                <w:u w:val="none" w:color="auto"/>
              </w:rPr>
              <w:t>m</w:t>
            </w:r>
            <w:r>
              <w:rPr>
                <w:sz w:val="22"/>
                <w:szCs w:val="22"/>
                <w:u w:val="none" w:color="auto"/>
                <w:vertAlign w:val="superscript"/>
              </w:rPr>
              <w:t>3</w:t>
            </w:r>
            <w:r>
              <w:rPr>
                <w:sz w:val="22"/>
                <w:szCs w:val="22"/>
                <w:u w:val="none" w:color="auto"/>
              </w:rPr>
              <w:t>/a</w:t>
            </w:r>
          </w:p>
          <w:p>
            <w:pPr>
              <w:spacing w:line="360" w:lineRule="auto"/>
              <w:jc w:val="center"/>
              <w:rPr>
                <w:sz w:val="22"/>
                <w:szCs w:val="22"/>
                <w:u w:val="none" w:color="auto"/>
              </w:rPr>
            </w:pPr>
          </w:p>
        </w:tc>
        <w:tc>
          <w:tcPr>
            <w:tcW w:w="1516" w:type="dxa"/>
            <w:tcBorders>
              <w:tl2br w:val="nil"/>
              <w:tr2bl w:val="nil"/>
            </w:tcBorders>
            <w:vAlign w:val="center"/>
          </w:tcPr>
          <w:p>
            <w:pPr>
              <w:tabs>
                <w:tab w:val="left" w:pos="4425"/>
              </w:tabs>
              <w:adjustRightInd w:val="0"/>
              <w:snapToGrid w:val="0"/>
              <w:spacing w:line="360" w:lineRule="auto"/>
              <w:jc w:val="center"/>
              <w:rPr>
                <w:sz w:val="22"/>
                <w:szCs w:val="22"/>
                <w:u w:val="none" w:color="auto"/>
              </w:rPr>
            </w:pPr>
            <w:r>
              <w:rPr>
                <w:sz w:val="22"/>
                <w:szCs w:val="22"/>
                <w:u w:val="none" w:color="auto"/>
              </w:rPr>
              <w:t>COD</w:t>
            </w:r>
          </w:p>
        </w:tc>
        <w:tc>
          <w:tcPr>
            <w:tcW w:w="2126" w:type="dxa"/>
            <w:tcBorders>
              <w:tl2br w:val="nil"/>
              <w:tr2bl w:val="nil"/>
            </w:tcBorders>
            <w:vAlign w:val="center"/>
          </w:tcPr>
          <w:p>
            <w:pPr>
              <w:adjustRightInd w:val="0"/>
              <w:snapToGrid w:val="0"/>
              <w:spacing w:line="360" w:lineRule="auto"/>
              <w:jc w:val="center"/>
              <w:rPr>
                <w:sz w:val="22"/>
                <w:szCs w:val="22"/>
                <w:u w:val="none" w:color="auto"/>
              </w:rPr>
            </w:pPr>
            <w:r>
              <w:rPr>
                <w:sz w:val="22"/>
                <w:szCs w:val="22"/>
                <w:u w:val="none" w:color="auto"/>
              </w:rPr>
              <w:t>300mg/L，</w:t>
            </w:r>
            <w:r>
              <w:rPr>
                <w:rFonts w:hint="eastAsia"/>
                <w:sz w:val="22"/>
                <w:szCs w:val="22"/>
                <w:u w:val="none" w:color="auto"/>
                <w:lang w:val="en-US" w:eastAsia="zh-CN"/>
              </w:rPr>
              <w:t>0.09</w:t>
            </w:r>
            <w:r>
              <w:rPr>
                <w:sz w:val="22"/>
                <w:szCs w:val="22"/>
                <w:u w:val="none" w:color="auto"/>
              </w:rPr>
              <w:t xml:space="preserve"> t/a</w:t>
            </w:r>
          </w:p>
        </w:tc>
        <w:tc>
          <w:tcPr>
            <w:tcW w:w="3210" w:type="dxa"/>
            <w:tcBorders>
              <w:tl2br w:val="nil"/>
              <w:tr2bl w:val="nil"/>
            </w:tcBorders>
            <w:vAlign w:val="center"/>
          </w:tcPr>
          <w:p>
            <w:pPr>
              <w:adjustRightInd w:val="0"/>
              <w:snapToGrid w:val="0"/>
              <w:spacing w:line="360" w:lineRule="auto"/>
              <w:jc w:val="center"/>
              <w:rPr>
                <w:sz w:val="22"/>
                <w:szCs w:val="22"/>
                <w:u w:val="none" w:color="auto"/>
              </w:rPr>
            </w:pPr>
            <w:r>
              <w:rPr>
                <w:sz w:val="22"/>
                <w:szCs w:val="22"/>
                <w:u w:val="none" w:color="auto"/>
              </w:rPr>
              <w:t>50mg/L，0.0</w:t>
            </w:r>
            <w:r>
              <w:rPr>
                <w:rFonts w:hint="eastAsia"/>
                <w:sz w:val="22"/>
                <w:szCs w:val="22"/>
                <w:u w:val="none" w:color="auto"/>
                <w:lang w:val="en-US" w:eastAsia="zh-CN"/>
              </w:rPr>
              <w:t>15</w:t>
            </w:r>
            <w:r>
              <w:rPr>
                <w:sz w:val="22"/>
                <w:szCs w:val="22"/>
                <w:u w:val="none" w:color="auto"/>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tabs>
                <w:tab w:val="left" w:pos="4425"/>
              </w:tabs>
              <w:adjustRightInd w:val="0"/>
              <w:snapToGrid w:val="0"/>
              <w:spacing w:line="360" w:lineRule="auto"/>
              <w:jc w:val="center"/>
              <w:rPr>
                <w:sz w:val="22"/>
                <w:szCs w:val="22"/>
                <w:u w:val="none" w:color="auto"/>
              </w:rPr>
            </w:pPr>
          </w:p>
        </w:tc>
        <w:tc>
          <w:tcPr>
            <w:tcW w:w="1341" w:type="dxa"/>
            <w:vMerge w:val="continue"/>
            <w:tcBorders>
              <w:tl2br w:val="nil"/>
              <w:tr2bl w:val="nil"/>
            </w:tcBorders>
            <w:vAlign w:val="center"/>
          </w:tcPr>
          <w:p>
            <w:pPr>
              <w:spacing w:line="360" w:lineRule="auto"/>
              <w:jc w:val="center"/>
              <w:rPr>
                <w:sz w:val="22"/>
                <w:szCs w:val="22"/>
                <w:u w:val="none" w:color="auto"/>
              </w:rPr>
            </w:pPr>
          </w:p>
        </w:tc>
        <w:tc>
          <w:tcPr>
            <w:tcW w:w="1516" w:type="dxa"/>
            <w:tcBorders>
              <w:tl2br w:val="nil"/>
              <w:tr2bl w:val="nil"/>
            </w:tcBorders>
            <w:vAlign w:val="center"/>
          </w:tcPr>
          <w:p>
            <w:pPr>
              <w:tabs>
                <w:tab w:val="left" w:pos="4425"/>
              </w:tabs>
              <w:adjustRightInd w:val="0"/>
              <w:snapToGrid w:val="0"/>
              <w:spacing w:line="360" w:lineRule="auto"/>
              <w:jc w:val="center"/>
              <w:rPr>
                <w:sz w:val="22"/>
                <w:szCs w:val="22"/>
                <w:u w:val="none" w:color="auto"/>
              </w:rPr>
            </w:pPr>
            <w:r>
              <w:rPr>
                <w:sz w:val="22"/>
                <w:szCs w:val="22"/>
                <w:u w:val="none" w:color="auto"/>
              </w:rPr>
              <w:t>BOD</w:t>
            </w:r>
            <w:r>
              <w:rPr>
                <w:sz w:val="22"/>
                <w:szCs w:val="22"/>
                <w:u w:val="none" w:color="auto"/>
                <w:vertAlign w:val="subscript"/>
              </w:rPr>
              <w:t>5</w:t>
            </w:r>
          </w:p>
        </w:tc>
        <w:tc>
          <w:tcPr>
            <w:tcW w:w="2126" w:type="dxa"/>
            <w:tcBorders>
              <w:tl2br w:val="nil"/>
              <w:tr2bl w:val="nil"/>
            </w:tcBorders>
            <w:vAlign w:val="center"/>
          </w:tcPr>
          <w:p>
            <w:pPr>
              <w:adjustRightInd w:val="0"/>
              <w:snapToGrid w:val="0"/>
              <w:spacing w:line="360" w:lineRule="auto"/>
              <w:jc w:val="center"/>
              <w:rPr>
                <w:sz w:val="22"/>
                <w:szCs w:val="22"/>
                <w:u w:val="none" w:color="auto"/>
              </w:rPr>
            </w:pPr>
            <w:r>
              <w:rPr>
                <w:sz w:val="22"/>
                <w:szCs w:val="22"/>
                <w:u w:val="none" w:color="auto"/>
              </w:rPr>
              <w:t>200mg/L，</w:t>
            </w:r>
            <w:r>
              <w:rPr>
                <w:rFonts w:hint="eastAsia"/>
                <w:sz w:val="22"/>
                <w:szCs w:val="22"/>
                <w:u w:val="none" w:color="auto"/>
                <w:lang w:val="en-US" w:eastAsia="zh-CN"/>
              </w:rPr>
              <w:t>0.06</w:t>
            </w:r>
            <w:r>
              <w:rPr>
                <w:sz w:val="22"/>
                <w:szCs w:val="22"/>
                <w:u w:val="none" w:color="auto"/>
              </w:rPr>
              <w:t xml:space="preserve"> t/a</w:t>
            </w:r>
          </w:p>
        </w:tc>
        <w:tc>
          <w:tcPr>
            <w:tcW w:w="3210" w:type="dxa"/>
            <w:tcBorders>
              <w:tl2br w:val="nil"/>
              <w:tr2bl w:val="nil"/>
            </w:tcBorders>
            <w:vAlign w:val="center"/>
          </w:tcPr>
          <w:p>
            <w:pPr>
              <w:adjustRightInd w:val="0"/>
              <w:snapToGrid w:val="0"/>
              <w:spacing w:line="360" w:lineRule="auto"/>
              <w:jc w:val="center"/>
              <w:rPr>
                <w:sz w:val="22"/>
                <w:szCs w:val="22"/>
                <w:u w:val="none" w:color="auto"/>
              </w:rPr>
            </w:pPr>
            <w:r>
              <w:rPr>
                <w:sz w:val="22"/>
                <w:szCs w:val="22"/>
                <w:u w:val="none" w:color="auto"/>
              </w:rPr>
              <w:t>10mg/L，0.00</w:t>
            </w:r>
            <w:r>
              <w:rPr>
                <w:rFonts w:hint="eastAsia"/>
                <w:sz w:val="22"/>
                <w:szCs w:val="22"/>
                <w:u w:val="none" w:color="auto"/>
                <w:lang w:val="en-US" w:eastAsia="zh-CN"/>
              </w:rPr>
              <w:t>3</w:t>
            </w:r>
            <w:r>
              <w:rPr>
                <w:sz w:val="22"/>
                <w:szCs w:val="22"/>
                <w:u w:val="none" w:color="auto"/>
              </w:rPr>
              <w:t xml:space="preserve"> 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tabs>
                <w:tab w:val="left" w:pos="4425"/>
              </w:tabs>
              <w:adjustRightInd w:val="0"/>
              <w:snapToGrid w:val="0"/>
              <w:spacing w:line="360" w:lineRule="auto"/>
              <w:jc w:val="center"/>
              <w:rPr>
                <w:sz w:val="22"/>
                <w:szCs w:val="22"/>
                <w:u w:val="none" w:color="auto"/>
              </w:rPr>
            </w:pPr>
          </w:p>
        </w:tc>
        <w:tc>
          <w:tcPr>
            <w:tcW w:w="1341" w:type="dxa"/>
            <w:vMerge w:val="continue"/>
            <w:tcBorders>
              <w:tl2br w:val="nil"/>
              <w:tr2bl w:val="nil"/>
            </w:tcBorders>
            <w:vAlign w:val="center"/>
          </w:tcPr>
          <w:p>
            <w:pPr>
              <w:spacing w:line="360" w:lineRule="auto"/>
              <w:jc w:val="center"/>
              <w:rPr>
                <w:sz w:val="22"/>
                <w:szCs w:val="22"/>
                <w:u w:val="none" w:color="auto"/>
              </w:rPr>
            </w:pPr>
          </w:p>
        </w:tc>
        <w:tc>
          <w:tcPr>
            <w:tcW w:w="1516" w:type="dxa"/>
            <w:tcBorders>
              <w:tl2br w:val="nil"/>
              <w:tr2bl w:val="nil"/>
            </w:tcBorders>
            <w:vAlign w:val="center"/>
          </w:tcPr>
          <w:p>
            <w:pPr>
              <w:tabs>
                <w:tab w:val="left" w:pos="4425"/>
              </w:tabs>
              <w:adjustRightInd w:val="0"/>
              <w:snapToGrid w:val="0"/>
              <w:spacing w:line="360" w:lineRule="auto"/>
              <w:jc w:val="center"/>
              <w:rPr>
                <w:sz w:val="22"/>
                <w:szCs w:val="22"/>
                <w:u w:val="none" w:color="auto"/>
              </w:rPr>
            </w:pPr>
            <w:r>
              <w:rPr>
                <w:sz w:val="22"/>
                <w:szCs w:val="22"/>
                <w:u w:val="none" w:color="auto"/>
              </w:rPr>
              <w:t>SS</w:t>
            </w:r>
          </w:p>
        </w:tc>
        <w:tc>
          <w:tcPr>
            <w:tcW w:w="2126" w:type="dxa"/>
            <w:tcBorders>
              <w:tl2br w:val="nil"/>
              <w:tr2bl w:val="nil"/>
            </w:tcBorders>
            <w:vAlign w:val="center"/>
          </w:tcPr>
          <w:p>
            <w:pPr>
              <w:adjustRightInd w:val="0"/>
              <w:snapToGrid w:val="0"/>
              <w:spacing w:line="360" w:lineRule="auto"/>
              <w:jc w:val="center"/>
              <w:rPr>
                <w:sz w:val="22"/>
                <w:szCs w:val="22"/>
                <w:u w:val="none" w:color="auto"/>
              </w:rPr>
            </w:pPr>
            <w:r>
              <w:rPr>
                <w:sz w:val="22"/>
                <w:szCs w:val="22"/>
                <w:u w:val="none" w:color="auto"/>
              </w:rPr>
              <w:t>2</w:t>
            </w:r>
            <w:r>
              <w:rPr>
                <w:rFonts w:hint="eastAsia"/>
                <w:sz w:val="22"/>
                <w:szCs w:val="22"/>
                <w:u w:val="none" w:color="auto"/>
                <w:lang w:val="en-US" w:eastAsia="zh-CN"/>
              </w:rPr>
              <w:t>0</w:t>
            </w:r>
            <w:r>
              <w:rPr>
                <w:sz w:val="22"/>
                <w:szCs w:val="22"/>
                <w:u w:val="none" w:color="auto"/>
              </w:rPr>
              <w:t>0mg/L，0.0</w:t>
            </w:r>
            <w:r>
              <w:rPr>
                <w:rFonts w:hint="eastAsia"/>
                <w:sz w:val="22"/>
                <w:szCs w:val="22"/>
                <w:u w:val="none" w:color="auto"/>
                <w:lang w:val="en-US" w:eastAsia="zh-CN"/>
              </w:rPr>
              <w:t>6</w:t>
            </w:r>
            <w:r>
              <w:rPr>
                <w:sz w:val="22"/>
                <w:szCs w:val="22"/>
                <w:u w:val="none" w:color="auto"/>
              </w:rPr>
              <w:t xml:space="preserve"> t/a</w:t>
            </w:r>
          </w:p>
        </w:tc>
        <w:tc>
          <w:tcPr>
            <w:tcW w:w="3210" w:type="dxa"/>
            <w:tcBorders>
              <w:tl2br w:val="nil"/>
              <w:tr2bl w:val="nil"/>
            </w:tcBorders>
            <w:vAlign w:val="center"/>
          </w:tcPr>
          <w:p>
            <w:pPr>
              <w:adjustRightInd w:val="0"/>
              <w:snapToGrid w:val="0"/>
              <w:spacing w:line="360" w:lineRule="auto"/>
              <w:jc w:val="center"/>
              <w:rPr>
                <w:sz w:val="22"/>
                <w:szCs w:val="22"/>
                <w:u w:val="none" w:color="auto"/>
              </w:rPr>
            </w:pPr>
            <w:r>
              <w:rPr>
                <w:sz w:val="22"/>
                <w:szCs w:val="22"/>
                <w:u w:val="none" w:color="auto"/>
              </w:rPr>
              <w:t>10mg/L，0.00</w:t>
            </w:r>
            <w:r>
              <w:rPr>
                <w:rFonts w:hint="eastAsia"/>
                <w:sz w:val="22"/>
                <w:szCs w:val="22"/>
                <w:u w:val="none" w:color="auto"/>
                <w:lang w:val="en-US" w:eastAsia="zh-CN"/>
              </w:rPr>
              <w:t>3</w:t>
            </w:r>
            <w:r>
              <w:rPr>
                <w:sz w:val="22"/>
                <w:szCs w:val="22"/>
                <w:u w:val="none" w:color="auto"/>
              </w:rPr>
              <w:t xml:space="preserve"> 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tabs>
                <w:tab w:val="left" w:pos="4425"/>
              </w:tabs>
              <w:adjustRightInd w:val="0"/>
              <w:snapToGrid w:val="0"/>
              <w:spacing w:line="360" w:lineRule="auto"/>
              <w:jc w:val="center"/>
              <w:rPr>
                <w:sz w:val="22"/>
                <w:szCs w:val="22"/>
                <w:u w:val="none" w:color="auto"/>
              </w:rPr>
            </w:pPr>
          </w:p>
        </w:tc>
        <w:tc>
          <w:tcPr>
            <w:tcW w:w="1341" w:type="dxa"/>
            <w:vMerge w:val="continue"/>
            <w:tcBorders>
              <w:tl2br w:val="nil"/>
              <w:tr2bl w:val="nil"/>
            </w:tcBorders>
            <w:vAlign w:val="center"/>
          </w:tcPr>
          <w:p>
            <w:pPr>
              <w:spacing w:line="360" w:lineRule="auto"/>
              <w:jc w:val="center"/>
              <w:rPr>
                <w:sz w:val="22"/>
                <w:szCs w:val="22"/>
                <w:u w:val="none" w:color="auto"/>
              </w:rPr>
            </w:pPr>
          </w:p>
        </w:tc>
        <w:tc>
          <w:tcPr>
            <w:tcW w:w="1516" w:type="dxa"/>
            <w:tcBorders>
              <w:tl2br w:val="nil"/>
              <w:tr2bl w:val="nil"/>
            </w:tcBorders>
            <w:vAlign w:val="center"/>
          </w:tcPr>
          <w:p>
            <w:pPr>
              <w:tabs>
                <w:tab w:val="left" w:pos="4425"/>
              </w:tabs>
              <w:adjustRightInd w:val="0"/>
              <w:snapToGrid w:val="0"/>
              <w:spacing w:line="360" w:lineRule="auto"/>
              <w:jc w:val="center"/>
              <w:rPr>
                <w:sz w:val="22"/>
                <w:szCs w:val="22"/>
                <w:u w:val="none" w:color="auto"/>
              </w:rPr>
            </w:pPr>
            <w:r>
              <w:rPr>
                <w:sz w:val="22"/>
                <w:szCs w:val="22"/>
                <w:u w:val="none" w:color="auto"/>
              </w:rPr>
              <w:t>NH</w:t>
            </w:r>
            <w:r>
              <w:rPr>
                <w:sz w:val="22"/>
                <w:szCs w:val="22"/>
                <w:u w:val="none" w:color="auto"/>
                <w:vertAlign w:val="subscript"/>
              </w:rPr>
              <w:t>3</w:t>
            </w:r>
            <w:r>
              <w:rPr>
                <w:sz w:val="22"/>
                <w:szCs w:val="22"/>
                <w:u w:val="none" w:color="auto"/>
              </w:rPr>
              <w:t>-N</w:t>
            </w:r>
          </w:p>
        </w:tc>
        <w:tc>
          <w:tcPr>
            <w:tcW w:w="2126" w:type="dxa"/>
            <w:tcBorders>
              <w:tl2br w:val="nil"/>
              <w:tr2bl w:val="nil"/>
            </w:tcBorders>
            <w:vAlign w:val="center"/>
          </w:tcPr>
          <w:p>
            <w:pPr>
              <w:spacing w:line="360" w:lineRule="auto"/>
              <w:jc w:val="center"/>
              <w:rPr>
                <w:sz w:val="22"/>
                <w:szCs w:val="22"/>
                <w:u w:val="none" w:color="auto"/>
              </w:rPr>
            </w:pPr>
            <w:r>
              <w:rPr>
                <w:sz w:val="22"/>
                <w:szCs w:val="22"/>
                <w:u w:val="none" w:color="auto"/>
              </w:rPr>
              <w:t>30mg/L，0.00</w:t>
            </w:r>
            <w:r>
              <w:rPr>
                <w:rFonts w:hint="eastAsia"/>
                <w:sz w:val="22"/>
                <w:szCs w:val="22"/>
                <w:u w:val="none" w:color="auto"/>
                <w:lang w:val="en-US" w:eastAsia="zh-CN"/>
              </w:rPr>
              <w:t>9</w:t>
            </w:r>
            <w:r>
              <w:rPr>
                <w:sz w:val="22"/>
                <w:szCs w:val="22"/>
                <w:u w:val="none" w:color="auto"/>
              </w:rPr>
              <w:t>t/a</w:t>
            </w:r>
          </w:p>
        </w:tc>
        <w:tc>
          <w:tcPr>
            <w:tcW w:w="3210" w:type="dxa"/>
            <w:tcBorders>
              <w:tl2br w:val="nil"/>
              <w:tr2bl w:val="nil"/>
            </w:tcBorders>
            <w:vAlign w:val="center"/>
          </w:tcPr>
          <w:p>
            <w:pPr>
              <w:adjustRightInd w:val="0"/>
              <w:snapToGrid w:val="0"/>
              <w:spacing w:line="360" w:lineRule="auto"/>
              <w:jc w:val="center"/>
              <w:rPr>
                <w:sz w:val="22"/>
                <w:szCs w:val="22"/>
                <w:u w:val="none" w:color="auto"/>
              </w:rPr>
            </w:pPr>
            <w:r>
              <w:rPr>
                <w:sz w:val="22"/>
                <w:szCs w:val="22"/>
                <w:u w:val="none" w:color="auto"/>
              </w:rPr>
              <w:t>5mg/L，0.00</w:t>
            </w:r>
            <w:r>
              <w:rPr>
                <w:rFonts w:hint="eastAsia"/>
                <w:sz w:val="22"/>
                <w:szCs w:val="22"/>
                <w:u w:val="none" w:color="auto"/>
                <w:lang w:val="en-US" w:eastAsia="zh-CN"/>
              </w:rPr>
              <w:t>15</w:t>
            </w:r>
            <w:r>
              <w:rPr>
                <w:sz w:val="22"/>
                <w:szCs w:val="22"/>
                <w:u w:val="none" w:color="auto"/>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tabs>
                <w:tab w:val="left" w:pos="4425"/>
              </w:tabs>
              <w:adjustRightInd w:val="0"/>
              <w:snapToGrid w:val="0"/>
              <w:spacing w:line="360" w:lineRule="auto"/>
              <w:jc w:val="center"/>
              <w:rPr>
                <w:sz w:val="22"/>
                <w:szCs w:val="22"/>
                <w:u w:val="none" w:color="auto"/>
              </w:rPr>
            </w:pPr>
          </w:p>
        </w:tc>
        <w:tc>
          <w:tcPr>
            <w:tcW w:w="1341"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冷却水</w:t>
            </w:r>
          </w:p>
        </w:tc>
        <w:tc>
          <w:tcPr>
            <w:tcW w:w="6852" w:type="dxa"/>
            <w:gridSpan w:val="3"/>
            <w:tcBorders>
              <w:tl2br w:val="nil"/>
              <w:tr2bl w:val="nil"/>
            </w:tcBorders>
            <w:vAlign w:val="center"/>
          </w:tcPr>
          <w:p>
            <w:pPr>
              <w:adjustRightInd w:val="0"/>
              <w:snapToGrid w:val="0"/>
              <w:spacing w:line="360" w:lineRule="auto"/>
              <w:jc w:val="center"/>
              <w:rPr>
                <w:rFonts w:hint="eastAsia" w:eastAsia="宋体"/>
                <w:sz w:val="22"/>
                <w:szCs w:val="22"/>
                <w:u w:val="none" w:color="auto"/>
                <w:lang w:eastAsia="zh-CN"/>
              </w:rPr>
            </w:pPr>
            <w:r>
              <w:rPr>
                <w:rFonts w:hint="eastAsia"/>
                <w:sz w:val="22"/>
                <w:szCs w:val="22"/>
                <w:u w:val="none" w:color="auto"/>
                <w:lang w:eastAsia="zh-CN"/>
              </w:rPr>
              <w:t>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24" w:type="dxa"/>
            <w:vMerge w:val="restart"/>
            <w:tcBorders>
              <w:tl2br w:val="nil"/>
              <w:tr2bl w:val="nil"/>
            </w:tcBorders>
            <w:vAlign w:val="center"/>
          </w:tcPr>
          <w:p>
            <w:pPr>
              <w:spacing w:line="360" w:lineRule="auto"/>
              <w:jc w:val="center"/>
              <w:rPr>
                <w:b/>
                <w:bCs/>
                <w:sz w:val="22"/>
                <w:szCs w:val="22"/>
                <w:u w:val="none" w:color="auto"/>
              </w:rPr>
            </w:pPr>
            <w:r>
              <w:rPr>
                <w:b/>
                <w:bCs/>
                <w:sz w:val="22"/>
                <w:szCs w:val="22"/>
                <w:u w:val="none" w:color="auto"/>
              </w:rPr>
              <w:t>固体</w:t>
            </w:r>
          </w:p>
          <w:p>
            <w:pPr>
              <w:spacing w:line="360" w:lineRule="auto"/>
              <w:jc w:val="center"/>
              <w:rPr>
                <w:b/>
                <w:bCs/>
                <w:sz w:val="22"/>
                <w:szCs w:val="22"/>
                <w:u w:val="none" w:color="auto"/>
              </w:rPr>
            </w:pPr>
            <w:r>
              <w:rPr>
                <w:b/>
                <w:bCs/>
                <w:sz w:val="22"/>
                <w:szCs w:val="22"/>
                <w:u w:val="none" w:color="auto"/>
              </w:rPr>
              <w:t>废物</w:t>
            </w:r>
          </w:p>
        </w:tc>
        <w:tc>
          <w:tcPr>
            <w:tcW w:w="615" w:type="dxa"/>
            <w:vMerge w:val="restart"/>
            <w:tcBorders>
              <w:tl2br w:val="nil"/>
              <w:tr2bl w:val="nil"/>
            </w:tcBorders>
            <w:vAlign w:val="center"/>
          </w:tcPr>
          <w:p>
            <w:pPr>
              <w:spacing w:line="360" w:lineRule="auto"/>
              <w:jc w:val="center"/>
              <w:rPr>
                <w:sz w:val="22"/>
                <w:szCs w:val="22"/>
                <w:u w:val="none" w:color="auto"/>
              </w:rPr>
            </w:pPr>
            <w:r>
              <w:rPr>
                <w:rFonts w:hint="eastAsia"/>
                <w:sz w:val="22"/>
                <w:szCs w:val="22"/>
                <w:u w:val="none" w:color="auto"/>
              </w:rPr>
              <w:t>营运期</w:t>
            </w:r>
          </w:p>
        </w:tc>
        <w:tc>
          <w:tcPr>
            <w:tcW w:w="1341" w:type="dxa"/>
            <w:vMerge w:val="restart"/>
            <w:tcBorders>
              <w:tl2br w:val="nil"/>
              <w:tr2bl w:val="nil"/>
            </w:tcBorders>
            <w:vAlign w:val="center"/>
          </w:tcPr>
          <w:p>
            <w:pPr>
              <w:spacing w:line="360" w:lineRule="auto"/>
              <w:ind w:firstLine="213" w:firstLineChars="100"/>
              <w:rPr>
                <w:sz w:val="22"/>
                <w:szCs w:val="22"/>
                <w:u w:val="none" w:color="auto"/>
              </w:rPr>
            </w:pPr>
            <w:r>
              <w:rPr>
                <w:rFonts w:hint="eastAsia"/>
                <w:sz w:val="22"/>
                <w:szCs w:val="22"/>
                <w:u w:val="none" w:color="auto"/>
              </w:rPr>
              <w:t>加工车间</w:t>
            </w:r>
          </w:p>
        </w:tc>
        <w:tc>
          <w:tcPr>
            <w:tcW w:w="1516"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废边角料</w:t>
            </w:r>
          </w:p>
        </w:tc>
        <w:tc>
          <w:tcPr>
            <w:tcW w:w="2126" w:type="dxa"/>
            <w:tcBorders>
              <w:tl2br w:val="nil"/>
              <w:tr2bl w:val="nil"/>
            </w:tcBorders>
            <w:vAlign w:val="center"/>
          </w:tcPr>
          <w:p>
            <w:pPr>
              <w:spacing w:line="360" w:lineRule="auto"/>
              <w:jc w:val="center"/>
              <w:rPr>
                <w:rFonts w:hint="default" w:eastAsia="宋体"/>
                <w:sz w:val="22"/>
                <w:szCs w:val="22"/>
                <w:u w:val="none" w:color="auto"/>
                <w:lang w:val="en-US" w:eastAsia="zh-CN"/>
              </w:rPr>
            </w:pPr>
            <w:r>
              <w:rPr>
                <w:rFonts w:hint="eastAsia"/>
                <w:sz w:val="22"/>
                <w:szCs w:val="22"/>
                <w:u w:val="none" w:color="auto"/>
                <w:lang w:val="en-US" w:eastAsia="zh-CN"/>
              </w:rPr>
              <w:t>0.2t/a</w:t>
            </w:r>
          </w:p>
        </w:tc>
        <w:tc>
          <w:tcPr>
            <w:tcW w:w="3210"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收集后交由环卫部门进行处理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spacing w:line="360" w:lineRule="auto"/>
              <w:jc w:val="center"/>
              <w:rPr>
                <w:b/>
                <w:bCs/>
                <w:sz w:val="22"/>
                <w:szCs w:val="22"/>
                <w:u w:val="none" w:color="auto"/>
              </w:rPr>
            </w:pPr>
          </w:p>
        </w:tc>
        <w:tc>
          <w:tcPr>
            <w:tcW w:w="1341" w:type="dxa"/>
            <w:vMerge w:val="continue"/>
            <w:tcBorders>
              <w:tl2br w:val="nil"/>
              <w:tr2bl w:val="nil"/>
            </w:tcBorders>
            <w:vAlign w:val="center"/>
          </w:tcPr>
          <w:p>
            <w:pPr>
              <w:spacing w:line="360" w:lineRule="auto"/>
              <w:jc w:val="center"/>
              <w:rPr>
                <w:sz w:val="22"/>
                <w:szCs w:val="22"/>
                <w:u w:val="none" w:color="auto"/>
              </w:rPr>
            </w:pPr>
          </w:p>
        </w:tc>
        <w:tc>
          <w:tcPr>
            <w:tcW w:w="1516"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废油墨桶</w:t>
            </w:r>
          </w:p>
        </w:tc>
        <w:tc>
          <w:tcPr>
            <w:tcW w:w="2126" w:type="dxa"/>
            <w:tcBorders>
              <w:tl2br w:val="nil"/>
              <w:tr2bl w:val="nil"/>
            </w:tcBorders>
            <w:vAlign w:val="center"/>
          </w:tcPr>
          <w:p>
            <w:pPr>
              <w:spacing w:line="360" w:lineRule="auto"/>
              <w:jc w:val="center"/>
              <w:rPr>
                <w:sz w:val="22"/>
                <w:szCs w:val="22"/>
                <w:u w:val="none" w:color="auto"/>
              </w:rPr>
            </w:pPr>
            <w:r>
              <w:rPr>
                <w:rFonts w:hint="eastAsia"/>
                <w:sz w:val="22"/>
                <w:szCs w:val="22"/>
                <w:u w:val="none" w:color="auto"/>
                <w:lang w:val="en-US" w:eastAsia="zh-CN"/>
              </w:rPr>
              <w:t>0.001t/a</w:t>
            </w:r>
          </w:p>
        </w:tc>
        <w:tc>
          <w:tcPr>
            <w:tcW w:w="3210" w:type="dxa"/>
            <w:tcBorders>
              <w:tl2br w:val="nil"/>
              <w:tr2bl w:val="nil"/>
            </w:tcBorders>
            <w:vAlign w:val="center"/>
          </w:tcPr>
          <w:p>
            <w:pPr>
              <w:spacing w:line="360" w:lineRule="auto"/>
              <w:jc w:val="center"/>
              <w:rPr>
                <w:sz w:val="22"/>
                <w:szCs w:val="22"/>
                <w:u w:val="none" w:color="auto"/>
              </w:rPr>
            </w:pPr>
            <w:r>
              <w:rPr>
                <w:sz w:val="22"/>
                <w:szCs w:val="22"/>
                <w:u w:val="none" w:color="auto"/>
              </w:rPr>
              <w:t>暂存危废暂存间，定期交由</w:t>
            </w:r>
            <w:r>
              <w:rPr>
                <w:rFonts w:hint="eastAsia"/>
                <w:sz w:val="22"/>
                <w:szCs w:val="22"/>
                <w:u w:val="none" w:color="auto"/>
                <w:lang w:eastAsia="zh-CN"/>
              </w:rPr>
              <w:t>生产厂家回收或交由有资质单位进行处理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spacing w:line="360" w:lineRule="auto"/>
              <w:jc w:val="center"/>
              <w:rPr>
                <w:b/>
                <w:bCs/>
                <w:sz w:val="22"/>
                <w:szCs w:val="22"/>
                <w:u w:val="none" w:color="auto"/>
              </w:rPr>
            </w:pPr>
          </w:p>
        </w:tc>
        <w:tc>
          <w:tcPr>
            <w:tcW w:w="1341" w:type="dxa"/>
            <w:vMerge w:val="continue"/>
            <w:tcBorders>
              <w:tl2br w:val="nil"/>
              <w:tr2bl w:val="nil"/>
            </w:tcBorders>
            <w:vAlign w:val="center"/>
          </w:tcPr>
          <w:p>
            <w:pPr>
              <w:spacing w:line="360" w:lineRule="auto"/>
              <w:jc w:val="center"/>
              <w:rPr>
                <w:sz w:val="22"/>
                <w:szCs w:val="22"/>
                <w:u w:val="none" w:color="auto"/>
              </w:rPr>
            </w:pPr>
          </w:p>
        </w:tc>
        <w:tc>
          <w:tcPr>
            <w:tcW w:w="1516" w:type="dxa"/>
            <w:tcBorders>
              <w:tl2br w:val="nil"/>
              <w:tr2bl w:val="nil"/>
            </w:tcBorders>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废活性炭</w:t>
            </w:r>
          </w:p>
        </w:tc>
        <w:tc>
          <w:tcPr>
            <w:tcW w:w="2126" w:type="dxa"/>
            <w:tcBorders>
              <w:tl2br w:val="nil"/>
              <w:tr2bl w:val="nil"/>
            </w:tcBorders>
            <w:vAlign w:val="center"/>
          </w:tcPr>
          <w:p>
            <w:pPr>
              <w:spacing w:line="360" w:lineRule="auto"/>
              <w:jc w:val="center"/>
              <w:rPr>
                <w:rFonts w:hint="eastAsia" w:ascii="Times New Roman" w:hAnsi="Times New Roman" w:eastAsia="宋体" w:cs="Times New Roman"/>
                <w:sz w:val="22"/>
                <w:szCs w:val="22"/>
                <w:u w:val="none" w:color="auto"/>
                <w:lang w:val="en-US" w:eastAsia="zh-CN"/>
              </w:rPr>
            </w:pPr>
            <w:r>
              <w:rPr>
                <w:rFonts w:hint="eastAsia" w:cs="Times New Roman"/>
                <w:sz w:val="22"/>
                <w:szCs w:val="22"/>
                <w:u w:val="none" w:color="auto"/>
                <w:lang w:val="en-US" w:eastAsia="zh-CN"/>
              </w:rPr>
              <w:t>0.12</w:t>
            </w:r>
            <w:r>
              <w:rPr>
                <w:rFonts w:hint="eastAsia" w:ascii="Times New Roman" w:hAnsi="Times New Roman" w:eastAsia="宋体" w:cs="Times New Roman"/>
                <w:sz w:val="22"/>
                <w:szCs w:val="22"/>
                <w:u w:val="none" w:color="auto"/>
                <w:lang w:val="en-US" w:eastAsia="zh-CN"/>
              </w:rPr>
              <w:t>t/a</w:t>
            </w:r>
          </w:p>
        </w:tc>
        <w:tc>
          <w:tcPr>
            <w:tcW w:w="3210" w:type="dxa"/>
            <w:tcBorders>
              <w:tl2br w:val="nil"/>
              <w:tr2bl w:val="nil"/>
            </w:tcBorders>
            <w:vAlign w:val="center"/>
          </w:tcPr>
          <w:p>
            <w:pPr>
              <w:spacing w:line="360" w:lineRule="auto"/>
              <w:jc w:val="center"/>
              <w:rPr>
                <w:sz w:val="22"/>
                <w:szCs w:val="22"/>
                <w:u w:val="none" w:color="auto"/>
              </w:rPr>
            </w:pPr>
            <w:r>
              <w:rPr>
                <w:sz w:val="22"/>
                <w:szCs w:val="22"/>
                <w:u w:val="none" w:color="auto"/>
              </w:rPr>
              <w:t>暂存危废暂存间，定期交由</w:t>
            </w:r>
            <w:r>
              <w:rPr>
                <w:rFonts w:hint="eastAsia"/>
                <w:sz w:val="22"/>
                <w:szCs w:val="22"/>
                <w:u w:val="none" w:color="auto"/>
                <w:lang w:eastAsia="zh-CN"/>
              </w:rPr>
              <w:t>有资质单位进行处理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4" w:type="dxa"/>
            <w:vMerge w:val="continue"/>
            <w:tcBorders>
              <w:tl2br w:val="nil"/>
              <w:tr2bl w:val="nil"/>
            </w:tcBorders>
            <w:vAlign w:val="center"/>
          </w:tcPr>
          <w:p>
            <w:pPr>
              <w:spacing w:line="360" w:lineRule="auto"/>
              <w:jc w:val="center"/>
              <w:rPr>
                <w:b/>
                <w:bCs/>
                <w:sz w:val="22"/>
                <w:szCs w:val="22"/>
                <w:u w:val="none" w:color="auto"/>
              </w:rPr>
            </w:pPr>
          </w:p>
        </w:tc>
        <w:tc>
          <w:tcPr>
            <w:tcW w:w="615" w:type="dxa"/>
            <w:vMerge w:val="continue"/>
            <w:tcBorders>
              <w:tl2br w:val="nil"/>
              <w:tr2bl w:val="nil"/>
            </w:tcBorders>
            <w:vAlign w:val="center"/>
          </w:tcPr>
          <w:p>
            <w:pPr>
              <w:spacing w:line="360" w:lineRule="auto"/>
              <w:jc w:val="center"/>
              <w:rPr>
                <w:b/>
                <w:bCs/>
                <w:sz w:val="22"/>
                <w:szCs w:val="22"/>
                <w:u w:val="none" w:color="auto"/>
              </w:rPr>
            </w:pPr>
          </w:p>
        </w:tc>
        <w:tc>
          <w:tcPr>
            <w:tcW w:w="1341" w:type="dxa"/>
            <w:tcBorders>
              <w:tl2br w:val="nil"/>
              <w:tr2bl w:val="nil"/>
            </w:tcBorders>
            <w:vAlign w:val="center"/>
          </w:tcPr>
          <w:p>
            <w:pPr>
              <w:spacing w:line="360" w:lineRule="auto"/>
              <w:jc w:val="center"/>
              <w:rPr>
                <w:sz w:val="22"/>
                <w:szCs w:val="22"/>
                <w:u w:val="none" w:color="auto"/>
              </w:rPr>
            </w:pPr>
            <w:r>
              <w:rPr>
                <w:rFonts w:hint="eastAsia"/>
                <w:sz w:val="22"/>
                <w:szCs w:val="22"/>
                <w:u w:val="none" w:color="auto"/>
              </w:rPr>
              <w:t>职工</w:t>
            </w:r>
          </w:p>
        </w:tc>
        <w:tc>
          <w:tcPr>
            <w:tcW w:w="1516" w:type="dxa"/>
            <w:tcBorders>
              <w:tl2br w:val="nil"/>
              <w:tr2bl w:val="nil"/>
            </w:tcBorders>
            <w:vAlign w:val="center"/>
          </w:tcPr>
          <w:p>
            <w:pPr>
              <w:spacing w:line="360" w:lineRule="auto"/>
              <w:jc w:val="center"/>
              <w:rPr>
                <w:sz w:val="22"/>
                <w:szCs w:val="22"/>
                <w:u w:val="none" w:color="auto"/>
              </w:rPr>
            </w:pPr>
            <w:r>
              <w:rPr>
                <w:sz w:val="22"/>
                <w:szCs w:val="22"/>
                <w:u w:val="none" w:color="auto"/>
              </w:rPr>
              <w:t>生活垃圾</w:t>
            </w:r>
          </w:p>
        </w:tc>
        <w:tc>
          <w:tcPr>
            <w:tcW w:w="2126" w:type="dxa"/>
            <w:tcBorders>
              <w:tl2br w:val="nil"/>
              <w:tr2bl w:val="nil"/>
            </w:tcBorders>
            <w:vAlign w:val="center"/>
          </w:tcPr>
          <w:p>
            <w:pPr>
              <w:spacing w:line="360" w:lineRule="auto"/>
              <w:jc w:val="center"/>
              <w:rPr>
                <w:rFonts w:hint="eastAsia" w:ascii="Times New Roman" w:hAnsi="Times New Roman" w:eastAsia="宋体" w:cs="Times New Roman"/>
                <w:sz w:val="22"/>
                <w:szCs w:val="22"/>
                <w:u w:val="none" w:color="auto"/>
                <w:lang w:val="en-US" w:eastAsia="zh-CN"/>
              </w:rPr>
            </w:pPr>
            <w:r>
              <w:rPr>
                <w:rFonts w:hint="eastAsia" w:ascii="Times New Roman" w:hAnsi="Times New Roman" w:eastAsia="宋体" w:cs="Times New Roman"/>
                <w:sz w:val="22"/>
                <w:szCs w:val="22"/>
                <w:u w:val="none" w:color="auto"/>
                <w:lang w:val="en-US" w:eastAsia="zh-CN"/>
              </w:rPr>
              <w:t>3.7t/a</w:t>
            </w:r>
          </w:p>
        </w:tc>
        <w:tc>
          <w:tcPr>
            <w:tcW w:w="3210" w:type="dxa"/>
            <w:tcBorders>
              <w:tl2br w:val="nil"/>
              <w:tr2bl w:val="nil"/>
            </w:tcBorders>
            <w:vAlign w:val="center"/>
          </w:tcPr>
          <w:p>
            <w:pPr>
              <w:spacing w:line="360" w:lineRule="auto"/>
              <w:jc w:val="center"/>
              <w:rPr>
                <w:sz w:val="22"/>
                <w:szCs w:val="22"/>
                <w:u w:val="none" w:color="auto"/>
              </w:rPr>
            </w:pPr>
            <w:r>
              <w:rPr>
                <w:sz w:val="22"/>
                <w:szCs w:val="22"/>
                <w:u w:val="none" w:color="auto"/>
              </w:rPr>
              <w:t>收集后交环卫部门统一清运处理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24" w:type="dxa"/>
            <w:tcBorders>
              <w:tl2br w:val="nil"/>
              <w:tr2bl w:val="nil"/>
            </w:tcBorders>
            <w:vAlign w:val="center"/>
          </w:tcPr>
          <w:p>
            <w:pPr>
              <w:spacing w:line="360" w:lineRule="auto"/>
              <w:jc w:val="center"/>
              <w:rPr>
                <w:b/>
                <w:bCs/>
                <w:sz w:val="22"/>
                <w:szCs w:val="22"/>
                <w:u w:val="none" w:color="auto"/>
              </w:rPr>
            </w:pPr>
            <w:r>
              <w:rPr>
                <w:b/>
                <w:bCs/>
                <w:sz w:val="22"/>
                <w:szCs w:val="22"/>
                <w:u w:val="none" w:color="auto"/>
              </w:rPr>
              <w:t>噪声</w:t>
            </w:r>
          </w:p>
        </w:tc>
        <w:tc>
          <w:tcPr>
            <w:tcW w:w="615" w:type="dxa"/>
            <w:tcBorders>
              <w:tl2br w:val="nil"/>
              <w:tr2bl w:val="nil"/>
            </w:tcBorders>
            <w:vAlign w:val="center"/>
          </w:tcPr>
          <w:p>
            <w:pPr>
              <w:spacing w:line="360" w:lineRule="auto"/>
              <w:jc w:val="center"/>
              <w:rPr>
                <w:sz w:val="22"/>
                <w:szCs w:val="22"/>
                <w:u w:val="none" w:color="auto"/>
              </w:rPr>
            </w:pPr>
            <w:r>
              <w:rPr>
                <w:rFonts w:hint="eastAsia"/>
                <w:sz w:val="22"/>
                <w:szCs w:val="22"/>
                <w:u w:val="none" w:color="auto"/>
              </w:rPr>
              <w:t>营运期</w:t>
            </w:r>
          </w:p>
        </w:tc>
        <w:tc>
          <w:tcPr>
            <w:tcW w:w="1341" w:type="dxa"/>
            <w:tcBorders>
              <w:tl2br w:val="nil"/>
              <w:tr2bl w:val="nil"/>
            </w:tcBorders>
            <w:vAlign w:val="center"/>
          </w:tcPr>
          <w:p>
            <w:pPr>
              <w:spacing w:line="360" w:lineRule="auto"/>
              <w:jc w:val="center"/>
              <w:rPr>
                <w:sz w:val="22"/>
                <w:szCs w:val="22"/>
                <w:u w:val="none" w:color="auto"/>
              </w:rPr>
            </w:pPr>
            <w:r>
              <w:rPr>
                <w:rFonts w:hint="eastAsia"/>
                <w:sz w:val="22"/>
                <w:szCs w:val="22"/>
                <w:u w:val="none" w:color="auto"/>
              </w:rPr>
              <w:t>运营噪声</w:t>
            </w:r>
          </w:p>
        </w:tc>
        <w:tc>
          <w:tcPr>
            <w:tcW w:w="1516" w:type="dxa"/>
            <w:tcBorders>
              <w:tl2br w:val="nil"/>
              <w:tr2bl w:val="nil"/>
            </w:tcBorders>
            <w:vAlign w:val="center"/>
          </w:tcPr>
          <w:p>
            <w:pPr>
              <w:spacing w:line="360" w:lineRule="auto"/>
              <w:ind w:firstLine="213" w:firstLineChars="100"/>
              <w:rPr>
                <w:sz w:val="22"/>
                <w:szCs w:val="22"/>
                <w:u w:val="none" w:color="auto"/>
              </w:rPr>
            </w:pPr>
            <w:r>
              <w:rPr>
                <w:sz w:val="22"/>
                <w:szCs w:val="22"/>
                <w:u w:val="none" w:color="auto"/>
              </w:rPr>
              <w:t>设备噪声</w:t>
            </w:r>
          </w:p>
        </w:tc>
        <w:tc>
          <w:tcPr>
            <w:tcW w:w="2126" w:type="dxa"/>
            <w:tcBorders>
              <w:tl2br w:val="nil"/>
              <w:tr2bl w:val="nil"/>
            </w:tcBorders>
            <w:vAlign w:val="center"/>
          </w:tcPr>
          <w:p>
            <w:pPr>
              <w:spacing w:line="360" w:lineRule="auto"/>
              <w:jc w:val="center"/>
              <w:rPr>
                <w:sz w:val="22"/>
                <w:szCs w:val="22"/>
                <w:u w:val="none" w:color="auto"/>
              </w:rPr>
            </w:pPr>
            <w:r>
              <w:rPr>
                <w:rFonts w:hint="eastAsia"/>
                <w:sz w:val="22"/>
                <w:szCs w:val="22"/>
                <w:u w:val="none" w:color="auto"/>
                <w:lang w:val="en-US" w:eastAsia="zh-CN"/>
              </w:rPr>
              <w:t>65</w:t>
            </w:r>
            <w:r>
              <w:rPr>
                <w:sz w:val="22"/>
                <w:szCs w:val="22"/>
                <w:u w:val="none" w:color="auto"/>
              </w:rPr>
              <w:t>-8</w:t>
            </w:r>
            <w:r>
              <w:rPr>
                <w:rFonts w:hint="eastAsia"/>
                <w:sz w:val="22"/>
                <w:szCs w:val="22"/>
                <w:u w:val="none" w:color="auto"/>
                <w:lang w:val="en-US" w:eastAsia="zh-CN"/>
              </w:rPr>
              <w:t>0</w:t>
            </w:r>
            <w:r>
              <w:rPr>
                <w:sz w:val="22"/>
                <w:szCs w:val="22"/>
                <w:u w:val="none" w:color="auto"/>
              </w:rPr>
              <w:t>dB(A)</w:t>
            </w:r>
          </w:p>
        </w:tc>
        <w:tc>
          <w:tcPr>
            <w:tcW w:w="3210" w:type="dxa"/>
            <w:tcBorders>
              <w:tl2br w:val="nil"/>
              <w:tr2bl w:val="nil"/>
            </w:tcBorders>
            <w:vAlign w:val="center"/>
          </w:tcPr>
          <w:p>
            <w:pPr>
              <w:spacing w:line="360" w:lineRule="auto"/>
              <w:ind w:firstLine="426" w:firstLineChars="200"/>
              <w:jc w:val="center"/>
              <w:rPr>
                <w:sz w:val="22"/>
                <w:szCs w:val="22"/>
                <w:u w:val="none" w:color="auto"/>
              </w:rPr>
            </w:pPr>
            <w:r>
              <w:rPr>
                <w:sz w:val="22"/>
                <w:szCs w:val="22"/>
                <w:u w:val="none" w:color="auto"/>
              </w:rPr>
              <w:t>昼间≤6</w:t>
            </w:r>
            <w:r>
              <w:rPr>
                <w:rFonts w:hint="eastAsia"/>
                <w:sz w:val="22"/>
                <w:szCs w:val="22"/>
                <w:u w:val="none" w:color="auto"/>
                <w:lang w:val="en-US" w:eastAsia="zh-CN"/>
              </w:rPr>
              <w:t>5</w:t>
            </w:r>
            <w:r>
              <w:rPr>
                <w:sz w:val="22"/>
                <w:szCs w:val="22"/>
                <w:u w:val="none" w:color="auto"/>
              </w:rPr>
              <w:t>dB(A)</w:t>
            </w:r>
          </w:p>
          <w:p>
            <w:pPr>
              <w:spacing w:line="360" w:lineRule="auto"/>
              <w:ind w:firstLine="426" w:firstLineChars="200"/>
              <w:jc w:val="center"/>
              <w:rPr>
                <w:sz w:val="22"/>
                <w:szCs w:val="22"/>
                <w:u w:val="none" w:color="auto"/>
              </w:rPr>
            </w:pPr>
            <w:r>
              <w:rPr>
                <w:sz w:val="22"/>
                <w:szCs w:val="22"/>
                <w:u w:val="none" w:color="auto"/>
              </w:rPr>
              <w:t>夜间≤5</w:t>
            </w:r>
            <w:r>
              <w:rPr>
                <w:rFonts w:hint="eastAsia"/>
                <w:sz w:val="22"/>
                <w:szCs w:val="22"/>
                <w:u w:val="none" w:color="auto"/>
                <w:lang w:val="en-US" w:eastAsia="zh-CN"/>
              </w:rPr>
              <w:t>5</w:t>
            </w:r>
            <w:r>
              <w:rPr>
                <w:sz w:val="22"/>
                <w:szCs w:val="22"/>
                <w:u w:val="none" w:color="auto"/>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432" w:type="dxa"/>
            <w:gridSpan w:val="6"/>
            <w:tcBorders>
              <w:tl2br w:val="nil"/>
              <w:tr2bl w:val="nil"/>
            </w:tcBorders>
          </w:tcPr>
          <w:p>
            <w:pPr>
              <w:spacing w:line="360" w:lineRule="auto"/>
              <w:ind w:firstLine="458" w:firstLineChars="200"/>
              <w:rPr>
                <w:b/>
                <w:bCs/>
                <w:spacing w:val="8"/>
                <w:sz w:val="22"/>
                <w:szCs w:val="22"/>
                <w:u w:val="none" w:color="auto"/>
              </w:rPr>
            </w:pPr>
            <w:r>
              <w:rPr>
                <w:b/>
                <w:bCs/>
                <w:spacing w:val="8"/>
                <w:sz w:val="22"/>
                <w:szCs w:val="22"/>
                <w:u w:val="none" w:color="auto"/>
              </w:rPr>
              <w:t>主要生态影响</w:t>
            </w:r>
          </w:p>
          <w:p>
            <w:pPr>
              <w:adjustRightInd w:val="0"/>
              <w:snapToGrid w:val="0"/>
              <w:spacing w:line="360" w:lineRule="auto"/>
              <w:ind w:firstLine="466" w:firstLineChars="200"/>
              <w:rPr>
                <w:sz w:val="22"/>
                <w:szCs w:val="22"/>
                <w:u w:val="none" w:color="auto"/>
              </w:rPr>
            </w:pPr>
            <w:r>
              <w:rPr>
                <w:rFonts w:hint="eastAsia"/>
                <w:color w:val="auto"/>
                <w:sz w:val="24"/>
                <w:szCs w:val="24"/>
                <w:u w:val="none" w:color="auto"/>
              </w:rPr>
              <w:t>本项目所在地周边均为企业，周围无大面积自然植被群落及珍稀动植物资源等，营运期产生的“三废”经适当治理后，对周边生态环境影响较小</w:t>
            </w:r>
            <w:r>
              <w:rPr>
                <w:rFonts w:hint="eastAsia"/>
                <w:sz w:val="22"/>
                <w:szCs w:val="22"/>
                <w:u w:val="none" w:color="auto"/>
              </w:rPr>
              <w:t>。</w:t>
            </w:r>
          </w:p>
          <w:p>
            <w:pPr>
              <w:adjustRightInd w:val="0"/>
              <w:snapToGrid w:val="0"/>
              <w:spacing w:line="360" w:lineRule="auto"/>
              <w:ind w:firstLine="426" w:firstLineChars="200"/>
              <w:rPr>
                <w:sz w:val="22"/>
                <w:szCs w:val="22"/>
                <w:u w:val="none" w:color="auto"/>
              </w:rPr>
            </w:pPr>
          </w:p>
          <w:p>
            <w:pPr>
              <w:adjustRightInd w:val="0"/>
              <w:snapToGrid w:val="0"/>
              <w:spacing w:line="360" w:lineRule="auto"/>
              <w:rPr>
                <w:sz w:val="22"/>
                <w:szCs w:val="22"/>
                <w:u w:val="none" w:color="auto"/>
              </w:rPr>
            </w:pPr>
          </w:p>
        </w:tc>
      </w:tr>
    </w:tbl>
    <w:p>
      <w:pPr>
        <w:snapToGrid w:val="0"/>
        <w:outlineLvl w:val="0"/>
        <w:rPr>
          <w:rFonts w:eastAsia="黑体"/>
          <w:sz w:val="32"/>
          <w:u w:val="none" w:color="auto"/>
        </w:rPr>
      </w:pPr>
      <w:r>
        <w:rPr>
          <w:rFonts w:ascii="宋体" w:hAnsi="宋体"/>
          <w:sz w:val="24"/>
          <w:szCs w:val="24"/>
          <w:u w:val="none" w:color="auto"/>
        </w:rPr>
        <w:br w:type="page"/>
      </w:r>
      <w:bookmarkStart w:id="6" w:name="_Toc1231"/>
      <w:r>
        <w:rPr>
          <w:rFonts w:hint="eastAsia" w:ascii="黑体" w:hAnsi="黑体" w:eastAsia="黑体"/>
          <w:sz w:val="32"/>
          <w:szCs w:val="32"/>
          <w:u w:val="none" w:color="auto"/>
        </w:rPr>
        <w:t>七、环</w:t>
      </w:r>
      <w:r>
        <w:rPr>
          <w:rFonts w:ascii="黑体" w:hAnsi="黑体" w:eastAsia="黑体"/>
          <w:sz w:val="32"/>
          <w:szCs w:val="32"/>
          <w:u w:val="none" w:color="auto"/>
        </w:rPr>
        <w:t>境影响分析</w:t>
      </w:r>
      <w:bookmarkEnd w:id="6"/>
    </w:p>
    <w:tbl>
      <w:tblPr>
        <w:tblStyle w:val="40"/>
        <w:tblW w:w="926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6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76" w:hRule="atLeast"/>
          <w:jc w:val="center"/>
        </w:trPr>
        <w:tc>
          <w:tcPr>
            <w:tcW w:w="9268" w:type="dxa"/>
          </w:tcPr>
          <w:p>
            <w:pPr>
              <w:adjustRightInd w:val="0"/>
              <w:snapToGrid w:val="0"/>
              <w:spacing w:line="360" w:lineRule="auto"/>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（一）施工期环境影响分析：</w:t>
            </w:r>
          </w:p>
          <w:p>
            <w:pPr>
              <w:adjustRightInd w:val="0"/>
              <w:snapToGrid w:val="0"/>
              <w:spacing w:line="360" w:lineRule="auto"/>
              <w:ind w:firstLine="466" w:firstLineChars="200"/>
              <w:rPr>
                <w:rFonts w:hint="eastAsia"/>
                <w:color w:val="auto"/>
                <w:sz w:val="24"/>
                <w:szCs w:val="24"/>
                <w:u w:val="none" w:color="auto"/>
              </w:rPr>
            </w:pPr>
            <w:r>
              <w:rPr>
                <w:rFonts w:hint="eastAsia"/>
                <w:color w:val="auto"/>
                <w:sz w:val="24"/>
                <w:szCs w:val="24"/>
                <w:u w:val="none" w:color="auto"/>
                <w:lang w:val="en-US" w:eastAsia="zh-CN"/>
              </w:rPr>
              <w:t xml:space="preserve">施工期向周围环境排放的主要污染物是施工人员生活污水、作业粉尘、固体废弃物以及施工机械排放的烟尘和噪声等。 </w:t>
            </w:r>
          </w:p>
          <w:p>
            <w:pPr>
              <w:adjustRightInd w:val="0"/>
              <w:snapToGrid w:val="0"/>
              <w:spacing w:line="360" w:lineRule="auto"/>
              <w:ind w:firstLine="466" w:firstLineChars="200"/>
              <w:rPr>
                <w:rFonts w:hint="eastAsia"/>
                <w:color w:val="auto"/>
                <w:sz w:val="24"/>
                <w:szCs w:val="24"/>
                <w:u w:val="none" w:color="auto"/>
              </w:rPr>
            </w:pPr>
            <w:r>
              <w:rPr>
                <w:rFonts w:hint="eastAsia"/>
                <w:color w:val="auto"/>
                <w:sz w:val="24"/>
                <w:szCs w:val="24"/>
                <w:u w:val="none" w:color="auto"/>
                <w:lang w:val="en-US" w:eastAsia="zh-CN"/>
              </w:rPr>
              <w:t xml:space="preserve">1）大气环境影响分析 </w:t>
            </w:r>
          </w:p>
          <w:p>
            <w:pPr>
              <w:adjustRightInd w:val="0"/>
              <w:snapToGrid w:val="0"/>
              <w:spacing w:line="360" w:lineRule="auto"/>
              <w:ind w:firstLine="466" w:firstLineChars="200"/>
              <w:rPr>
                <w:rFonts w:hint="eastAsia"/>
                <w:color w:val="auto"/>
                <w:sz w:val="24"/>
                <w:szCs w:val="24"/>
                <w:u w:val="none" w:color="auto"/>
              </w:rPr>
            </w:pPr>
            <w:r>
              <w:rPr>
                <w:rFonts w:hint="eastAsia"/>
                <w:color w:val="auto"/>
                <w:sz w:val="24"/>
                <w:szCs w:val="24"/>
                <w:u w:val="none" w:color="auto"/>
                <w:lang w:val="en-US" w:eastAsia="zh-CN"/>
              </w:rPr>
              <w:t xml:space="preserve">项目施工过程中主要是进行分区建设、装修，项目采取以下降尘措施： </w:t>
            </w:r>
          </w:p>
          <w:p>
            <w:pPr>
              <w:adjustRightInd w:val="0"/>
              <w:snapToGrid w:val="0"/>
              <w:spacing w:line="360" w:lineRule="auto"/>
              <w:ind w:firstLine="466" w:firstLineChars="200"/>
              <w:rPr>
                <w:rFonts w:hint="eastAsia"/>
                <w:color w:val="auto"/>
                <w:sz w:val="24"/>
                <w:szCs w:val="24"/>
                <w:u w:val="none" w:color="auto"/>
              </w:rPr>
            </w:pPr>
            <w:r>
              <w:rPr>
                <w:rFonts w:hint="eastAsia"/>
                <w:color w:val="auto"/>
                <w:sz w:val="24"/>
                <w:szCs w:val="24"/>
                <w:u w:val="none" w:color="auto"/>
                <w:lang w:val="en-US" w:eastAsia="zh-CN"/>
              </w:rPr>
              <w:t xml:space="preserve">①施工中的物料、建筑垃圾等的堆放采取防尘网遮盖、洒水、喷洒剂或覆盖等措施，避免起尘原材料的露天堆放； </w:t>
            </w:r>
          </w:p>
          <w:p>
            <w:pPr>
              <w:adjustRightInd w:val="0"/>
              <w:snapToGrid w:val="0"/>
              <w:spacing w:line="360" w:lineRule="auto"/>
              <w:ind w:firstLine="466" w:firstLineChars="200"/>
              <w:rPr>
                <w:rFonts w:hint="eastAsia"/>
                <w:color w:val="auto"/>
                <w:sz w:val="24"/>
                <w:szCs w:val="24"/>
                <w:u w:val="none" w:color="auto"/>
              </w:rPr>
            </w:pPr>
            <w:r>
              <w:rPr>
                <w:rFonts w:hint="eastAsia"/>
                <w:color w:val="auto"/>
                <w:sz w:val="24"/>
                <w:szCs w:val="24"/>
                <w:u w:val="none" w:color="auto"/>
                <w:lang w:val="en-US" w:eastAsia="zh-CN"/>
              </w:rPr>
              <w:t xml:space="preserve">② 施工中的物料、建筑垃圾及时清运； </w:t>
            </w:r>
          </w:p>
          <w:p>
            <w:pPr>
              <w:adjustRightInd w:val="0"/>
              <w:snapToGrid w:val="0"/>
              <w:spacing w:line="360" w:lineRule="auto"/>
              <w:ind w:firstLine="466" w:firstLineChars="200"/>
              <w:rPr>
                <w:rFonts w:hint="eastAsia"/>
                <w:color w:val="auto"/>
                <w:sz w:val="24"/>
                <w:szCs w:val="24"/>
                <w:u w:val="none" w:color="auto"/>
              </w:rPr>
            </w:pPr>
            <w:r>
              <w:rPr>
                <w:rFonts w:hint="eastAsia"/>
                <w:color w:val="auto"/>
                <w:sz w:val="24"/>
                <w:szCs w:val="24"/>
                <w:u w:val="none" w:color="auto"/>
                <w:lang w:val="en-US" w:eastAsia="zh-CN"/>
              </w:rPr>
              <w:t xml:space="preserve">③ 对运输过程中散落在路面上的泥土要及时清扫，以减少运行过程中的扬尘；采取以上的降尘措施后，本项目施工期对区域大气环境影响较小。 </w:t>
            </w:r>
          </w:p>
          <w:p>
            <w:pPr>
              <w:adjustRightInd w:val="0"/>
              <w:snapToGrid w:val="0"/>
              <w:spacing w:line="360" w:lineRule="auto"/>
              <w:ind w:firstLine="466" w:firstLineChars="200"/>
              <w:rPr>
                <w:rFonts w:hint="eastAsia"/>
                <w:color w:val="auto"/>
                <w:sz w:val="24"/>
                <w:szCs w:val="24"/>
                <w:u w:val="none" w:color="auto"/>
              </w:rPr>
            </w:pPr>
            <w:r>
              <w:rPr>
                <w:rFonts w:hint="default"/>
                <w:color w:val="auto"/>
                <w:sz w:val="24"/>
                <w:szCs w:val="24"/>
                <w:u w:val="none" w:color="auto"/>
                <w:lang w:val="en-US" w:eastAsia="zh-CN"/>
              </w:rPr>
              <w:t>2</w:t>
            </w:r>
            <w:r>
              <w:rPr>
                <w:rFonts w:hint="eastAsia"/>
                <w:color w:val="auto"/>
                <w:sz w:val="24"/>
                <w:szCs w:val="24"/>
                <w:u w:val="none" w:color="auto"/>
                <w:lang w:val="en-US" w:eastAsia="zh-CN"/>
              </w:rPr>
              <w:t xml:space="preserve">）水环境影响分析 </w:t>
            </w:r>
          </w:p>
          <w:p>
            <w:pPr>
              <w:adjustRightInd w:val="0"/>
              <w:snapToGrid w:val="0"/>
              <w:spacing w:line="360" w:lineRule="auto"/>
              <w:ind w:firstLine="466" w:firstLineChars="200"/>
              <w:rPr>
                <w:rFonts w:hint="eastAsia"/>
                <w:color w:val="auto"/>
                <w:sz w:val="24"/>
                <w:szCs w:val="24"/>
                <w:u w:val="none" w:color="auto"/>
              </w:rPr>
            </w:pPr>
            <w:r>
              <w:rPr>
                <w:rFonts w:hint="eastAsia"/>
                <w:color w:val="auto"/>
                <w:sz w:val="24"/>
                <w:szCs w:val="24"/>
                <w:u w:val="none" w:color="auto"/>
                <w:lang w:val="en-US" w:eastAsia="zh-CN"/>
              </w:rPr>
              <w:t xml:space="preserve">施工过程产生的废水主要有：生活污水施工产生的生活污水依托现有化粪池处理后排入园区自建的污水处理站进行处理，随着施工期的结束，此类污染将不复存在。 </w:t>
            </w:r>
          </w:p>
          <w:p>
            <w:pPr>
              <w:adjustRightInd w:val="0"/>
              <w:snapToGrid w:val="0"/>
              <w:spacing w:line="360" w:lineRule="auto"/>
              <w:ind w:firstLine="466" w:firstLineChars="200"/>
              <w:rPr>
                <w:rFonts w:hint="eastAsia"/>
                <w:color w:val="auto"/>
                <w:sz w:val="24"/>
                <w:szCs w:val="24"/>
                <w:u w:val="none" w:color="auto"/>
              </w:rPr>
            </w:pPr>
            <w:r>
              <w:rPr>
                <w:rFonts w:hint="default"/>
                <w:color w:val="auto"/>
                <w:sz w:val="24"/>
                <w:szCs w:val="24"/>
                <w:u w:val="none" w:color="auto"/>
                <w:lang w:val="en-US" w:eastAsia="zh-CN"/>
              </w:rPr>
              <w:t>3</w:t>
            </w:r>
            <w:r>
              <w:rPr>
                <w:rFonts w:hint="eastAsia"/>
                <w:color w:val="auto"/>
                <w:sz w:val="24"/>
                <w:szCs w:val="24"/>
                <w:u w:val="none" w:color="auto"/>
                <w:lang w:val="en-US" w:eastAsia="zh-CN"/>
              </w:rPr>
              <w:t xml:space="preserve">）声环境影响分析 </w:t>
            </w:r>
          </w:p>
          <w:p>
            <w:pPr>
              <w:adjustRightInd w:val="0"/>
              <w:snapToGrid w:val="0"/>
              <w:spacing w:line="360" w:lineRule="auto"/>
              <w:ind w:firstLine="466" w:firstLineChars="200"/>
              <w:rPr>
                <w:rFonts w:hint="eastAsia"/>
                <w:color w:val="auto"/>
                <w:sz w:val="24"/>
                <w:szCs w:val="24"/>
                <w:u w:val="none" w:color="auto"/>
              </w:rPr>
            </w:pPr>
            <w:r>
              <w:rPr>
                <w:rFonts w:hint="eastAsia"/>
                <w:color w:val="auto"/>
                <w:sz w:val="24"/>
                <w:szCs w:val="24"/>
                <w:u w:val="none" w:color="auto"/>
                <w:lang w:val="en-US" w:eastAsia="zh-CN"/>
              </w:rPr>
              <w:t xml:space="preserve">噪声是施工期的主要污染因子，主要建设内容为分区建设，无大型土建施工，噪声源主要是空压机、电焊机和电锯电钻等施工设备以及运输建筑材料的车辆。其噪声源强约 </w:t>
            </w:r>
            <w:r>
              <w:rPr>
                <w:rFonts w:hint="default"/>
                <w:color w:val="auto"/>
                <w:sz w:val="24"/>
                <w:szCs w:val="24"/>
                <w:u w:val="none" w:color="auto"/>
                <w:lang w:val="en-US" w:eastAsia="zh-CN"/>
              </w:rPr>
              <w:t>84~90dB</w:t>
            </w:r>
            <w:r>
              <w:rPr>
                <w:rFonts w:hint="eastAsia"/>
                <w:color w:val="auto"/>
                <w:sz w:val="24"/>
                <w:szCs w:val="24"/>
                <w:u w:val="none" w:color="auto"/>
                <w:lang w:val="en-US" w:eastAsia="zh-CN"/>
              </w:rPr>
              <w:t>（</w:t>
            </w:r>
            <w:r>
              <w:rPr>
                <w:rFonts w:hint="default"/>
                <w:color w:val="auto"/>
                <w:sz w:val="24"/>
                <w:szCs w:val="24"/>
                <w:u w:val="none" w:color="auto"/>
                <w:lang w:val="en-US" w:eastAsia="zh-CN"/>
              </w:rPr>
              <w:t>A</w:t>
            </w:r>
            <w:r>
              <w:rPr>
                <w:rFonts w:hint="eastAsia"/>
                <w:color w:val="auto"/>
                <w:sz w:val="24"/>
                <w:szCs w:val="24"/>
                <w:u w:val="none" w:color="auto"/>
                <w:lang w:val="en-US" w:eastAsia="zh-CN"/>
              </w:rPr>
              <w:t xml:space="preserve">）之间，本项目在施工期间，合理选用了低噪声设备，经常对施工设备进行维修保养，夜间禁止施工，不会对周边造成影响，而施工期噪声的影响是暂时的，施工结束，噪声的影响也随之结束。 </w:t>
            </w:r>
          </w:p>
          <w:p>
            <w:pPr>
              <w:adjustRightInd w:val="0"/>
              <w:snapToGrid w:val="0"/>
              <w:spacing w:line="360" w:lineRule="auto"/>
              <w:ind w:firstLine="466" w:firstLineChars="200"/>
              <w:rPr>
                <w:rFonts w:hint="eastAsia"/>
                <w:color w:val="auto"/>
                <w:sz w:val="24"/>
                <w:szCs w:val="24"/>
                <w:u w:val="none" w:color="auto"/>
              </w:rPr>
            </w:pPr>
            <w:r>
              <w:rPr>
                <w:rFonts w:hint="default"/>
                <w:color w:val="auto"/>
                <w:sz w:val="24"/>
                <w:szCs w:val="24"/>
                <w:u w:val="none" w:color="auto"/>
                <w:lang w:val="en-US" w:eastAsia="zh-CN"/>
              </w:rPr>
              <w:t>4</w:t>
            </w:r>
            <w:r>
              <w:rPr>
                <w:rFonts w:hint="eastAsia"/>
                <w:color w:val="auto"/>
                <w:sz w:val="24"/>
                <w:szCs w:val="24"/>
                <w:u w:val="none" w:color="auto"/>
                <w:lang w:val="en-US" w:eastAsia="zh-CN"/>
              </w:rPr>
              <w:t xml:space="preserve">）固体废物影响分析 </w:t>
            </w:r>
          </w:p>
          <w:p>
            <w:pPr>
              <w:adjustRightInd w:val="0"/>
              <w:snapToGrid w:val="0"/>
              <w:spacing w:line="360" w:lineRule="auto"/>
              <w:ind w:firstLine="466" w:firstLineChars="200"/>
              <w:rPr>
                <w:rFonts w:hint="default" w:ascii="Times New Roman" w:hAnsi="Times New Roman" w:cs="Times New Roman"/>
                <w:sz w:val="24"/>
                <w:szCs w:val="24"/>
                <w:u w:val="none" w:color="auto"/>
              </w:rPr>
            </w:pPr>
            <w:r>
              <w:rPr>
                <w:rFonts w:hint="eastAsia"/>
                <w:color w:val="auto"/>
                <w:sz w:val="24"/>
                <w:szCs w:val="24"/>
                <w:u w:val="none" w:color="auto"/>
                <w:lang w:val="en-US" w:eastAsia="zh-CN"/>
              </w:rPr>
              <w:t>施工期固体废物主要来源于施工过程产生的建筑垃圾，以及施工人员的进驻产生的生活垃圾，均属一般固体废物。生活垃圾如不及时处理，在气温适宜的条件下则会孳生蚊虫、产生恶臭、传播疾病，对周围环境产生不利影响。因此，生活垃圾应及时运送至环卫部门指定地点进行处理，避免对周围环境产生影响。</w:t>
            </w:r>
          </w:p>
          <w:p>
            <w:pPr>
              <w:adjustRightInd w:val="0"/>
              <w:snapToGrid w:val="0"/>
              <w:spacing w:line="360" w:lineRule="auto"/>
              <w:rPr>
                <w:rFonts w:hint="default" w:ascii="Times New Roman" w:hAnsi="Times New Roman" w:cs="Times New Roman"/>
                <w:sz w:val="24"/>
                <w:szCs w:val="24"/>
                <w:u w:val="none" w:color="auto"/>
              </w:rPr>
            </w:pPr>
          </w:p>
          <w:p>
            <w:pPr>
              <w:adjustRightInd w:val="0"/>
              <w:snapToGrid w:val="0"/>
              <w:spacing w:line="360" w:lineRule="auto"/>
              <w:rPr>
                <w:rFonts w:hint="default" w:ascii="Times New Roman" w:hAnsi="Times New Roman" w:cs="Times New Roman"/>
                <w:sz w:val="24"/>
                <w:szCs w:val="24"/>
                <w:u w:val="none" w:color="auto"/>
              </w:rPr>
            </w:pPr>
          </w:p>
          <w:p>
            <w:pPr>
              <w:adjustRightInd w:val="0"/>
              <w:snapToGrid w:val="0"/>
              <w:spacing w:line="360" w:lineRule="auto"/>
              <w:rPr>
                <w:rFonts w:hint="default" w:ascii="Times New Roman" w:hAnsi="Times New Roman" w:cs="Times New Roman"/>
                <w:sz w:val="24"/>
                <w:szCs w:val="24"/>
                <w:u w:val="none" w:color="auto"/>
              </w:rPr>
            </w:pPr>
          </w:p>
          <w:p>
            <w:pPr>
              <w:adjustRightInd w:val="0"/>
              <w:snapToGrid w:val="0"/>
              <w:spacing w:line="360" w:lineRule="auto"/>
              <w:rPr>
                <w:rFonts w:hint="default" w:ascii="Times New Roman" w:hAnsi="Times New Roman" w:cs="Times New Roman"/>
                <w:sz w:val="24"/>
                <w:szCs w:val="24"/>
                <w:u w:val="none" w:color="auto"/>
              </w:rPr>
            </w:pPr>
          </w:p>
          <w:p>
            <w:pPr>
              <w:adjustRightInd w:val="0"/>
              <w:snapToGrid w:val="0"/>
              <w:spacing w:line="360" w:lineRule="auto"/>
              <w:rPr>
                <w:rFonts w:hint="default" w:ascii="Times New Roman" w:hAnsi="Times New Roman" w:cs="Times New Roman"/>
                <w:sz w:val="24"/>
                <w:szCs w:val="24"/>
                <w:u w:val="none" w:color="auto"/>
              </w:rPr>
            </w:pPr>
          </w:p>
          <w:p>
            <w:pPr>
              <w:adjustRightInd w:val="0"/>
              <w:snapToGrid w:val="0"/>
              <w:spacing w:line="360" w:lineRule="auto"/>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（二）营运期环境影响分析</w:t>
            </w:r>
          </w:p>
          <w:p>
            <w:pPr>
              <w:adjustRightInd w:val="0"/>
              <w:snapToGrid w:val="0"/>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1、大气环境影响分析</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本项目运营过程中产生的废气主要有</w:t>
            </w:r>
            <w:r>
              <w:rPr>
                <w:rFonts w:hint="eastAsia" w:cs="Times New Roman"/>
                <w:sz w:val="24"/>
                <w:szCs w:val="24"/>
                <w:u w:val="none" w:color="auto"/>
                <w:lang w:eastAsia="zh-CN"/>
              </w:rPr>
              <w:t>模压成型废气</w:t>
            </w:r>
            <w:r>
              <w:rPr>
                <w:rFonts w:hint="default" w:ascii="Times New Roman" w:hAnsi="Times New Roman" w:cs="Times New Roman"/>
                <w:sz w:val="24"/>
                <w:szCs w:val="24"/>
                <w:u w:val="none" w:color="auto"/>
              </w:rPr>
              <w:t>。</w:t>
            </w:r>
          </w:p>
          <w:p>
            <w:pPr>
              <w:spacing w:line="360" w:lineRule="auto"/>
              <w:ind w:firstLine="466" w:firstLineChars="200"/>
              <w:jc w:val="both"/>
              <w:rPr>
                <w:b/>
                <w:sz w:val="24"/>
                <w:u w:val="none" w:color="auto"/>
              </w:rPr>
            </w:pPr>
            <w:r>
              <w:rPr>
                <w:rFonts w:hint="eastAsia" w:cs="Times New Roman"/>
                <w:color w:val="333333"/>
                <w:sz w:val="24"/>
                <w:szCs w:val="24"/>
                <w:u w:val="none" w:color="auto"/>
                <w:lang w:val="en-US" w:eastAsia="zh-CN"/>
              </w:rPr>
              <w:t>本项目</w:t>
            </w:r>
            <w:r>
              <w:rPr>
                <w:rFonts w:hint="default" w:ascii="Times New Roman" w:hAnsi="Times New Roman" w:eastAsia="宋体" w:cs="Times New Roman"/>
                <w:color w:val="333333"/>
                <w:sz w:val="24"/>
                <w:szCs w:val="24"/>
                <w:u w:val="none" w:color="auto"/>
              </w:rPr>
              <w:t>非甲烷总烃产生量为14</w:t>
            </w:r>
            <w:r>
              <w:rPr>
                <w:rFonts w:hint="eastAsia" w:ascii="Times New Roman" w:hAnsi="Times New Roman" w:eastAsia="宋体" w:cs="Times New Roman"/>
                <w:color w:val="333333"/>
                <w:sz w:val="24"/>
                <w:szCs w:val="24"/>
                <w:u w:val="none" w:color="auto"/>
                <w:lang w:val="en-US" w:eastAsia="zh-CN"/>
              </w:rPr>
              <w:t>.07</w:t>
            </w:r>
            <w:r>
              <w:rPr>
                <w:rFonts w:hint="default" w:ascii="Times New Roman" w:hAnsi="Times New Roman" w:eastAsia="宋体" w:cs="Times New Roman"/>
                <w:color w:val="333333"/>
                <w:sz w:val="24"/>
                <w:szCs w:val="24"/>
                <w:u w:val="none" w:color="auto"/>
              </w:rPr>
              <w:t>kg/a</w:t>
            </w:r>
            <w:r>
              <w:rPr>
                <w:rFonts w:hint="eastAsia" w:ascii="Times New Roman" w:hAnsi="Times New Roman" w:eastAsia="宋体" w:cs="Times New Roman"/>
                <w:color w:val="333333"/>
                <w:sz w:val="24"/>
                <w:szCs w:val="24"/>
                <w:u w:val="none" w:color="auto"/>
                <w:lang w:eastAsia="zh-CN"/>
              </w:rPr>
              <w:t>（</w:t>
            </w:r>
            <w:r>
              <w:rPr>
                <w:rFonts w:hint="eastAsia" w:ascii="Times New Roman" w:hAnsi="Times New Roman" w:eastAsia="宋体" w:cs="Times New Roman"/>
                <w:color w:val="333333"/>
                <w:sz w:val="24"/>
                <w:szCs w:val="24"/>
                <w:u w:val="none" w:color="auto"/>
                <w:lang w:val="en-US" w:eastAsia="zh-CN"/>
              </w:rPr>
              <w:t>0.01407t/a</w:t>
            </w:r>
            <w:r>
              <w:rPr>
                <w:rFonts w:hint="eastAsia" w:ascii="Times New Roman" w:hAnsi="Times New Roman" w:eastAsia="宋体" w:cs="Times New Roman"/>
                <w:color w:val="333333"/>
                <w:sz w:val="24"/>
                <w:szCs w:val="24"/>
                <w:u w:val="none" w:color="auto"/>
                <w:lang w:eastAsia="zh-CN"/>
              </w:rPr>
              <w:t>）</w:t>
            </w:r>
            <w:r>
              <w:rPr>
                <w:rFonts w:hint="default" w:ascii="Times New Roman" w:hAnsi="Times New Roman" w:eastAsia="宋体" w:cs="Times New Roman"/>
                <w:color w:val="333333"/>
                <w:sz w:val="24"/>
                <w:szCs w:val="24"/>
                <w:u w:val="none" w:color="auto"/>
              </w:rPr>
              <w:t>。</w:t>
            </w:r>
            <w:r>
              <w:rPr>
                <w:rFonts w:hint="default" w:ascii="Times New Roman" w:hAnsi="Times New Roman" w:eastAsia="宋体" w:cs="Times New Roman"/>
                <w:color w:val="auto"/>
                <w:sz w:val="24"/>
                <w:szCs w:val="24"/>
                <w:u w:val="none" w:color="auto"/>
              </w:rPr>
              <w:t>项目拟在</w:t>
            </w:r>
            <w:r>
              <w:rPr>
                <w:rFonts w:hint="eastAsia" w:ascii="Times New Roman" w:hAnsi="Times New Roman" w:eastAsia="宋体" w:cs="Times New Roman"/>
                <w:color w:val="auto"/>
                <w:sz w:val="24"/>
                <w:szCs w:val="24"/>
                <w:u w:val="none" w:color="auto"/>
                <w:lang w:eastAsia="zh-CN"/>
              </w:rPr>
              <w:t>模压成型</w:t>
            </w:r>
            <w:r>
              <w:rPr>
                <w:rFonts w:hint="default" w:ascii="Times New Roman" w:hAnsi="Times New Roman" w:eastAsia="宋体" w:cs="Times New Roman"/>
                <w:color w:val="auto"/>
                <w:sz w:val="24"/>
                <w:szCs w:val="24"/>
                <w:u w:val="none" w:color="auto"/>
              </w:rPr>
              <w:t>工序配置废气收集装置，用“</w:t>
            </w:r>
            <w:r>
              <w:rPr>
                <w:rFonts w:hint="eastAsia" w:ascii="Times New Roman" w:hAnsi="Times New Roman" w:eastAsia="宋体" w:cs="Times New Roman"/>
                <w:color w:val="auto"/>
                <w:sz w:val="24"/>
                <w:szCs w:val="24"/>
                <w:u w:val="none" w:color="auto"/>
                <w:lang w:val="en-US" w:eastAsia="zh-CN"/>
              </w:rPr>
              <w:t>活性炭吸附</w:t>
            </w:r>
            <w:r>
              <w:rPr>
                <w:rFonts w:hint="default" w:ascii="Times New Roman" w:hAnsi="Times New Roman" w:eastAsia="宋体" w:cs="Times New Roman"/>
                <w:color w:val="auto"/>
                <w:sz w:val="24"/>
                <w:szCs w:val="24"/>
                <w:u w:val="none" w:color="auto"/>
              </w:rPr>
              <w:t>"工艺废气处理设施对有机废气进行处理后经</w:t>
            </w:r>
            <w:r>
              <w:rPr>
                <w:rFonts w:hint="eastAsia" w:ascii="Times New Roman" w:hAnsi="Times New Roman" w:eastAsia="宋体" w:cs="Times New Roman"/>
                <w:color w:val="auto"/>
                <w:sz w:val="24"/>
                <w:szCs w:val="24"/>
                <w:u w:val="none" w:color="auto"/>
                <w:lang w:val="en-US" w:eastAsia="zh-CN"/>
              </w:rPr>
              <w:t>24</w:t>
            </w:r>
            <w:r>
              <w:rPr>
                <w:rFonts w:hint="default" w:ascii="Times New Roman" w:hAnsi="Times New Roman" w:eastAsia="宋体" w:cs="Times New Roman"/>
                <w:color w:val="auto"/>
                <w:sz w:val="24"/>
                <w:szCs w:val="24"/>
                <w:u w:val="none" w:color="auto"/>
              </w:rPr>
              <w:t>m排气筒高空排放。集气罩收集效率按</w:t>
            </w:r>
            <w:r>
              <w:rPr>
                <w:rFonts w:hint="eastAsia" w:ascii="Times New Roman" w:hAnsi="Times New Roman" w:eastAsia="宋体" w:cs="Times New Roman"/>
                <w:color w:val="auto"/>
                <w:sz w:val="24"/>
                <w:szCs w:val="24"/>
                <w:u w:val="none" w:color="auto"/>
                <w:lang w:val="en-US" w:eastAsia="zh-CN"/>
              </w:rPr>
              <w:t>90</w:t>
            </w:r>
            <w:r>
              <w:rPr>
                <w:rFonts w:hint="default" w:ascii="Times New Roman" w:hAnsi="Times New Roman" w:eastAsia="宋体" w:cs="Times New Roman"/>
                <w:color w:val="auto"/>
                <w:sz w:val="24"/>
                <w:szCs w:val="24"/>
                <w:u w:val="none" w:color="auto"/>
              </w:rPr>
              <w:t>%计，废气处理装置效率按</w:t>
            </w:r>
            <w:r>
              <w:rPr>
                <w:rFonts w:hint="eastAsia" w:ascii="Times New Roman" w:hAnsi="Times New Roman" w:eastAsia="宋体" w:cs="Times New Roman"/>
                <w:color w:val="auto"/>
                <w:sz w:val="24"/>
                <w:szCs w:val="24"/>
                <w:u w:val="none" w:color="auto"/>
                <w:lang w:val="en-US" w:eastAsia="zh-CN"/>
              </w:rPr>
              <w:t>8</w:t>
            </w:r>
            <w:r>
              <w:rPr>
                <w:rFonts w:hint="default" w:ascii="Times New Roman" w:hAnsi="Times New Roman" w:eastAsia="宋体" w:cs="Times New Roman"/>
                <w:color w:val="auto"/>
                <w:sz w:val="24"/>
                <w:szCs w:val="24"/>
                <w:u w:val="none" w:color="auto"/>
              </w:rPr>
              <w:t>0%计，项目风机风量拟为</w:t>
            </w:r>
            <w:r>
              <w:rPr>
                <w:rFonts w:hint="eastAsia" w:cs="Times New Roman"/>
                <w:color w:val="auto"/>
                <w:sz w:val="24"/>
                <w:szCs w:val="24"/>
                <w:u w:val="none" w:color="auto"/>
                <w:lang w:val="en-US" w:eastAsia="zh-CN"/>
              </w:rPr>
              <w:t>3</w:t>
            </w:r>
            <w:r>
              <w:rPr>
                <w:rFonts w:hint="eastAsia" w:ascii="Times New Roman" w:hAnsi="Times New Roman" w:eastAsia="宋体" w:cs="Times New Roman"/>
                <w:color w:val="auto"/>
                <w:sz w:val="24"/>
                <w:szCs w:val="24"/>
                <w:u w:val="none" w:color="auto"/>
                <w:lang w:val="en-US" w:eastAsia="zh-CN"/>
              </w:rPr>
              <w:t>0</w:t>
            </w:r>
            <w:r>
              <w:rPr>
                <w:rFonts w:hint="default" w:ascii="Times New Roman" w:hAnsi="Times New Roman" w:eastAsia="宋体" w:cs="Times New Roman"/>
                <w:color w:val="auto"/>
                <w:sz w:val="24"/>
                <w:szCs w:val="24"/>
                <w:u w:val="none" w:color="auto"/>
              </w:rPr>
              <w:t>00m</w:t>
            </w:r>
            <w:r>
              <w:rPr>
                <w:rFonts w:hint="eastAsia" w:ascii="Times New Roman" w:hAnsi="Times New Roman" w:eastAsia="宋体" w:cs="Times New Roman"/>
                <w:color w:val="auto"/>
                <w:sz w:val="24"/>
                <w:szCs w:val="24"/>
                <w:u w:val="none" w:color="auto"/>
                <w:vertAlign w:val="superscript"/>
                <w:lang w:val="en-US" w:eastAsia="zh-CN"/>
              </w:rPr>
              <w:t>3</w:t>
            </w:r>
            <w:r>
              <w:rPr>
                <w:rFonts w:hint="default" w:ascii="Times New Roman" w:hAnsi="Times New Roman" w:eastAsia="宋体" w:cs="Times New Roman"/>
                <w:color w:val="auto"/>
                <w:sz w:val="24"/>
                <w:szCs w:val="24"/>
                <w:u w:val="none" w:color="auto"/>
              </w:rPr>
              <w:t>/</w:t>
            </w:r>
            <w:r>
              <w:rPr>
                <w:rFonts w:hint="eastAsia" w:ascii="Times New Roman" w:hAnsi="Times New Roman" w:eastAsia="宋体" w:cs="Times New Roman"/>
                <w:color w:val="auto"/>
                <w:sz w:val="24"/>
                <w:szCs w:val="24"/>
                <w:u w:val="none" w:color="auto"/>
                <w:lang w:val="en-US" w:eastAsia="zh-CN"/>
              </w:rPr>
              <w:t>h</w:t>
            </w:r>
            <w:r>
              <w:rPr>
                <w:rFonts w:hint="default" w:ascii="Times New Roman" w:hAnsi="Times New Roman" w:eastAsia="宋体" w:cs="Times New Roman"/>
                <w:color w:val="auto"/>
                <w:sz w:val="24"/>
                <w:szCs w:val="24"/>
                <w:u w:val="none" w:color="auto"/>
              </w:rPr>
              <w:t>。</w:t>
            </w:r>
            <w:r>
              <w:rPr>
                <w:rFonts w:hint="eastAsia" w:ascii="Times New Roman" w:hAnsi="Times New Roman" w:eastAsia="宋体" w:cs="Times New Roman"/>
                <w:color w:val="auto"/>
                <w:sz w:val="24"/>
                <w:szCs w:val="24"/>
                <w:u w:val="none" w:color="auto"/>
                <w:lang w:val="en-US" w:eastAsia="zh-CN"/>
              </w:rPr>
              <w:t>其有组织排放量为0.00</w:t>
            </w:r>
            <w:r>
              <w:rPr>
                <w:rFonts w:hint="eastAsia" w:cs="Times New Roman"/>
                <w:color w:val="auto"/>
                <w:sz w:val="24"/>
                <w:szCs w:val="24"/>
                <w:u w:val="none" w:color="auto"/>
                <w:lang w:val="en-US" w:eastAsia="zh-CN"/>
              </w:rPr>
              <w:t>25</w:t>
            </w:r>
            <w:r>
              <w:rPr>
                <w:rFonts w:hint="eastAsia" w:ascii="Times New Roman" w:hAnsi="Times New Roman" w:eastAsia="宋体" w:cs="Times New Roman"/>
                <w:color w:val="auto"/>
                <w:sz w:val="24"/>
                <w:szCs w:val="24"/>
                <w:u w:val="none" w:color="auto"/>
                <w:lang w:val="en-US" w:eastAsia="zh-CN"/>
              </w:rPr>
              <w:t>t/a，排放速率为0.00</w:t>
            </w:r>
            <w:r>
              <w:rPr>
                <w:rFonts w:hint="eastAsia" w:cs="Times New Roman"/>
                <w:color w:val="auto"/>
                <w:sz w:val="24"/>
                <w:szCs w:val="24"/>
                <w:u w:val="none" w:color="auto"/>
                <w:lang w:val="en-US" w:eastAsia="zh-CN"/>
              </w:rPr>
              <w:t>10</w:t>
            </w:r>
            <w:r>
              <w:rPr>
                <w:rFonts w:hint="eastAsia" w:ascii="Times New Roman" w:hAnsi="Times New Roman" w:eastAsia="宋体" w:cs="Times New Roman"/>
                <w:color w:val="auto"/>
                <w:sz w:val="24"/>
                <w:szCs w:val="24"/>
                <w:u w:val="none" w:color="auto"/>
                <w:lang w:val="en-US" w:eastAsia="zh-CN"/>
              </w:rPr>
              <w:t>kg/h，排放浓度为</w:t>
            </w:r>
            <w:r>
              <w:rPr>
                <w:rFonts w:hint="eastAsia" w:cs="Times New Roman"/>
                <w:color w:val="auto"/>
                <w:sz w:val="24"/>
                <w:szCs w:val="24"/>
                <w:u w:val="none" w:color="auto"/>
                <w:lang w:val="en-US" w:eastAsia="zh-CN"/>
              </w:rPr>
              <w:t>0.33</w:t>
            </w:r>
            <w:r>
              <w:rPr>
                <w:rFonts w:hint="eastAsia" w:ascii="Times New Roman" w:hAnsi="Times New Roman" w:eastAsia="宋体" w:cs="Times New Roman"/>
                <w:color w:val="auto"/>
                <w:sz w:val="24"/>
                <w:szCs w:val="24"/>
                <w:u w:val="none" w:color="auto"/>
                <w:lang w:val="en-US" w:eastAsia="zh-CN"/>
              </w:rPr>
              <w:t>mg/m</w:t>
            </w:r>
            <w:r>
              <w:rPr>
                <w:rFonts w:hint="eastAsia" w:ascii="Times New Roman" w:hAnsi="Times New Roman" w:eastAsia="宋体" w:cs="Times New Roman"/>
                <w:color w:val="auto"/>
                <w:sz w:val="24"/>
                <w:szCs w:val="24"/>
                <w:u w:val="none" w:color="auto"/>
                <w:vertAlign w:val="superscript"/>
                <w:lang w:val="en-US" w:eastAsia="zh-CN"/>
              </w:rPr>
              <w:t>3</w:t>
            </w:r>
            <w:r>
              <w:rPr>
                <w:rFonts w:hint="default" w:ascii="Times New Roman" w:hAnsi="Times New Roman" w:cs="Times New Roman"/>
                <w:color w:val="auto"/>
                <w:sz w:val="24"/>
                <w:szCs w:val="24"/>
                <w:u w:val="none" w:color="auto"/>
              </w:rPr>
              <w:t>。</w:t>
            </w:r>
            <w:r>
              <w:rPr>
                <w:rFonts w:hint="eastAsia" w:ascii="Times New Roman" w:hAnsi="Times New Roman" w:cs="Times New Roman"/>
                <w:color w:val="auto"/>
                <w:sz w:val="24"/>
                <w:szCs w:val="24"/>
                <w:u w:val="none" w:color="auto"/>
                <w:lang w:eastAsia="zh-CN"/>
              </w:rPr>
              <w:t>项目无组织排放量为</w:t>
            </w:r>
            <w:r>
              <w:rPr>
                <w:rFonts w:hint="eastAsia" w:ascii="Times New Roman" w:hAnsi="Times New Roman" w:cs="Times New Roman"/>
                <w:color w:val="auto"/>
                <w:sz w:val="24"/>
                <w:szCs w:val="24"/>
                <w:u w:val="none" w:color="auto"/>
                <w:lang w:val="en-US" w:eastAsia="zh-CN"/>
              </w:rPr>
              <w:t>0.00</w:t>
            </w:r>
            <w:r>
              <w:rPr>
                <w:rFonts w:hint="eastAsia" w:cs="Times New Roman"/>
                <w:color w:val="auto"/>
                <w:sz w:val="24"/>
                <w:szCs w:val="24"/>
                <w:u w:val="none" w:color="auto"/>
                <w:lang w:val="en-US" w:eastAsia="zh-CN"/>
              </w:rPr>
              <w:t>141</w:t>
            </w:r>
            <w:r>
              <w:rPr>
                <w:rFonts w:hint="eastAsia" w:ascii="Times New Roman" w:hAnsi="Times New Roman" w:cs="Times New Roman"/>
                <w:color w:val="auto"/>
                <w:sz w:val="24"/>
                <w:szCs w:val="24"/>
                <w:u w:val="none" w:color="auto"/>
                <w:lang w:val="en-US" w:eastAsia="zh-CN"/>
              </w:rPr>
              <w:t>t/a，排放速率为0.00</w:t>
            </w:r>
            <w:r>
              <w:rPr>
                <w:rFonts w:hint="eastAsia" w:cs="Times New Roman"/>
                <w:color w:val="auto"/>
                <w:sz w:val="24"/>
                <w:szCs w:val="24"/>
                <w:u w:val="none" w:color="auto"/>
                <w:lang w:val="en-US" w:eastAsia="zh-CN"/>
              </w:rPr>
              <w:t>059</w:t>
            </w:r>
            <w:r>
              <w:rPr>
                <w:rFonts w:hint="eastAsia" w:ascii="Times New Roman" w:hAnsi="Times New Roman" w:cs="Times New Roman"/>
                <w:color w:val="auto"/>
                <w:sz w:val="24"/>
                <w:szCs w:val="24"/>
                <w:u w:val="none" w:color="auto"/>
                <w:lang w:val="en-US" w:eastAsia="zh-CN"/>
              </w:rPr>
              <w:t>kg/h，能够满足（</w:t>
            </w:r>
            <w:r>
              <w:rPr>
                <w:rFonts w:hint="eastAsia" w:ascii="Times New Roman" w:hAnsi="Times New Roman" w:cs="Times New Roman"/>
                <w:color w:val="auto"/>
                <w:sz w:val="24"/>
                <w:u w:val="none" w:color="auto"/>
                <w:lang w:val="en-US" w:eastAsia="zh-CN"/>
              </w:rPr>
              <w:t>参照</w:t>
            </w:r>
            <w:r>
              <w:rPr>
                <w:rFonts w:hint="eastAsia" w:ascii="Times New Roman" w:hAnsi="Times New Roman" w:cs="Times New Roman"/>
                <w:color w:val="auto"/>
                <w:sz w:val="24"/>
                <w:u w:val="none" w:color="auto"/>
                <w:lang w:eastAsia="zh-CN"/>
              </w:rPr>
              <w:t>执行</w:t>
            </w:r>
            <w:r>
              <w:rPr>
                <w:rFonts w:hint="eastAsia" w:ascii="Times New Roman" w:hAnsi="Times New Roman" w:cs="Times New Roman"/>
                <w:color w:val="auto"/>
                <w:sz w:val="24"/>
                <w:szCs w:val="24"/>
                <w:u w:val="none" w:color="auto"/>
                <w:lang w:val="en-US" w:eastAsia="zh-CN"/>
              </w:rPr>
              <w:t>）</w:t>
            </w:r>
            <w:r>
              <w:rPr>
                <w:rFonts w:hint="default" w:ascii="Times New Roman" w:hAnsi="Times New Roman" w:cs="Times New Roman"/>
                <w:color w:val="auto"/>
                <w:sz w:val="24"/>
                <w:szCs w:val="28"/>
                <w:u w:val="none" w:color="auto"/>
                <w:lang w:eastAsia="zh-CN"/>
              </w:rPr>
              <w:t>《</w:t>
            </w:r>
            <w:r>
              <w:rPr>
                <w:rFonts w:hint="eastAsia" w:ascii="Times New Roman" w:hAnsi="Times New Roman" w:cs="Times New Roman"/>
                <w:color w:val="auto"/>
                <w:sz w:val="24"/>
                <w:szCs w:val="28"/>
                <w:u w:val="none" w:color="auto"/>
                <w:lang w:eastAsia="zh-CN"/>
              </w:rPr>
              <w:t>合成树脂工业污染物排放标准</w:t>
            </w:r>
            <w:r>
              <w:rPr>
                <w:rFonts w:hint="default" w:ascii="Times New Roman" w:hAnsi="Times New Roman" w:cs="Times New Roman"/>
                <w:color w:val="auto"/>
                <w:sz w:val="24"/>
                <w:szCs w:val="28"/>
                <w:u w:val="none" w:color="auto"/>
                <w:lang w:eastAsia="zh-CN"/>
              </w:rPr>
              <w:t>》（</w:t>
            </w:r>
            <w:r>
              <w:rPr>
                <w:rFonts w:hint="eastAsia" w:ascii="Times New Roman" w:hAnsi="Times New Roman" w:cs="Times New Roman"/>
                <w:color w:val="auto"/>
                <w:sz w:val="24"/>
                <w:szCs w:val="28"/>
                <w:u w:val="none" w:color="auto"/>
                <w:lang w:val="en-US" w:eastAsia="zh-CN"/>
              </w:rPr>
              <w:t>G</w:t>
            </w:r>
            <w:r>
              <w:rPr>
                <w:rFonts w:hint="default" w:ascii="Times New Roman" w:hAnsi="Times New Roman" w:cs="Times New Roman"/>
                <w:color w:val="auto"/>
                <w:sz w:val="24"/>
                <w:szCs w:val="28"/>
                <w:u w:val="none" w:color="auto"/>
                <w:lang w:eastAsia="zh-CN"/>
              </w:rPr>
              <w:t>B</w:t>
            </w:r>
            <w:r>
              <w:rPr>
                <w:rFonts w:hint="eastAsia" w:ascii="Times New Roman" w:hAnsi="Times New Roman" w:cs="Times New Roman"/>
                <w:color w:val="auto"/>
                <w:sz w:val="24"/>
                <w:szCs w:val="28"/>
                <w:u w:val="none" w:color="auto"/>
                <w:lang w:val="en-US" w:eastAsia="zh-CN"/>
              </w:rPr>
              <w:t>31572-2015</w:t>
            </w:r>
            <w:r>
              <w:rPr>
                <w:rFonts w:hint="default" w:ascii="Times New Roman" w:hAnsi="Times New Roman" w:cs="Times New Roman"/>
                <w:color w:val="auto"/>
                <w:sz w:val="24"/>
                <w:szCs w:val="28"/>
                <w:u w:val="none" w:color="auto"/>
                <w:lang w:eastAsia="zh-CN"/>
              </w:rPr>
              <w:t>）</w:t>
            </w:r>
            <w:r>
              <w:rPr>
                <w:rFonts w:hint="eastAsia" w:ascii="Times New Roman" w:hAnsi="Times New Roman" w:cs="Times New Roman"/>
                <w:color w:val="auto"/>
                <w:sz w:val="24"/>
                <w:szCs w:val="28"/>
                <w:u w:val="none" w:color="auto"/>
                <w:lang w:eastAsia="zh-CN"/>
              </w:rPr>
              <w:t>中排放标准</w:t>
            </w:r>
            <w:r>
              <w:rPr>
                <w:rFonts w:hint="eastAsia" w:cs="Times New Roman"/>
                <w:color w:val="auto"/>
                <w:sz w:val="24"/>
                <w:szCs w:val="28"/>
                <w:u w:val="none" w:color="auto"/>
                <w:lang w:eastAsia="zh-CN"/>
              </w:rPr>
              <w:t>。</w:t>
            </w:r>
          </w:p>
          <w:p>
            <w:pPr>
              <w:spacing w:line="360" w:lineRule="auto"/>
              <w:ind w:firstLine="466" w:firstLineChars="200"/>
              <w:jc w:val="center"/>
              <w:rPr>
                <w:b/>
                <w:sz w:val="24"/>
                <w:u w:val="none" w:color="auto"/>
              </w:rPr>
            </w:pPr>
            <w:r>
              <w:rPr>
                <w:b/>
                <w:sz w:val="24"/>
                <w:u w:val="none" w:color="auto"/>
              </w:rPr>
              <w:t>表7-</w:t>
            </w:r>
            <w:r>
              <w:rPr>
                <w:rFonts w:hint="eastAsia"/>
                <w:b/>
                <w:sz w:val="24"/>
                <w:u w:val="none" w:color="auto"/>
                <w:lang w:val="en-US" w:eastAsia="zh-CN"/>
              </w:rPr>
              <w:t>1</w:t>
            </w:r>
            <w:r>
              <w:rPr>
                <w:rFonts w:hint="eastAsia"/>
                <w:b/>
                <w:sz w:val="24"/>
                <w:u w:val="none" w:color="auto"/>
              </w:rPr>
              <w:t>本项目主要大气污染物汇总表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386"/>
              <w:gridCol w:w="1661"/>
              <w:gridCol w:w="1008"/>
              <w:gridCol w:w="108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4"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排放源</w:t>
                  </w:r>
                </w:p>
              </w:tc>
              <w:tc>
                <w:tcPr>
                  <w:tcW w:w="766"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排放方式</w:t>
                  </w:r>
                </w:p>
              </w:tc>
              <w:tc>
                <w:tcPr>
                  <w:tcW w:w="918"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污染物</w:t>
                  </w:r>
                </w:p>
              </w:tc>
              <w:tc>
                <w:tcPr>
                  <w:tcW w:w="557"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排放速率（kg/h）</w:t>
                  </w:r>
                </w:p>
              </w:tc>
              <w:tc>
                <w:tcPr>
                  <w:tcW w:w="597"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排放形式</w:t>
                  </w:r>
                </w:p>
              </w:tc>
              <w:tc>
                <w:tcPr>
                  <w:tcW w:w="1475"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4" w:type="pct"/>
                  <w:vMerge w:val="restar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lang w:val="en-US" w:eastAsia="zh-CN"/>
                    </w:rPr>
                    <w:t>模压成型</w:t>
                  </w:r>
                  <w:r>
                    <w:rPr>
                      <w:rFonts w:hint="eastAsia"/>
                      <w:sz w:val="21"/>
                      <w:szCs w:val="21"/>
                      <w:u w:val="none" w:color="auto"/>
                    </w:rPr>
                    <w:t>车间</w:t>
                  </w:r>
                </w:p>
              </w:tc>
              <w:tc>
                <w:tcPr>
                  <w:tcW w:w="766"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排气筒</w:t>
                  </w:r>
                </w:p>
              </w:tc>
              <w:tc>
                <w:tcPr>
                  <w:tcW w:w="918" w:type="pct"/>
                  <w:vMerge w:val="restart"/>
                  <w:noWrap w:val="0"/>
                  <w:vAlign w:val="center"/>
                </w:tcPr>
                <w:p>
                  <w:pPr>
                    <w:jc w:val="center"/>
                    <w:rPr>
                      <w:rFonts w:hint="default" w:eastAsia="宋体"/>
                      <w:szCs w:val="21"/>
                      <w:u w:val="none" w:color="auto"/>
                      <w:lang w:val="en-US" w:eastAsia="zh-CN"/>
                    </w:rPr>
                  </w:pPr>
                  <w:r>
                    <w:rPr>
                      <w:rFonts w:hint="eastAsia"/>
                      <w:szCs w:val="21"/>
                      <w:u w:val="none" w:color="auto"/>
                      <w:lang w:val="en-US" w:eastAsia="zh-CN"/>
                    </w:rPr>
                    <w:t>非甲烷总烃</w:t>
                  </w:r>
                </w:p>
              </w:tc>
              <w:tc>
                <w:tcPr>
                  <w:tcW w:w="557" w:type="pct"/>
                  <w:noWrap w:val="0"/>
                  <w:vAlign w:val="center"/>
                </w:tcPr>
                <w:p>
                  <w:pPr>
                    <w:widowControl/>
                    <w:jc w:val="center"/>
                    <w:textAlignment w:val="center"/>
                    <w:rPr>
                      <w:rFonts w:hint="default" w:eastAsia="宋体"/>
                      <w:szCs w:val="21"/>
                      <w:u w:val="none" w:color="auto"/>
                      <w:lang w:val="en-US" w:eastAsia="zh-CN"/>
                    </w:rPr>
                  </w:pPr>
                  <w:r>
                    <w:rPr>
                      <w:rFonts w:hint="eastAsia"/>
                      <w:szCs w:val="21"/>
                      <w:u w:val="none" w:color="auto"/>
                      <w:lang w:val="en-US" w:eastAsia="zh-CN"/>
                    </w:rPr>
                    <w:t>0.0010</w:t>
                  </w:r>
                </w:p>
              </w:tc>
              <w:tc>
                <w:tcPr>
                  <w:tcW w:w="597"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有组织</w:t>
                  </w:r>
                </w:p>
              </w:tc>
              <w:tc>
                <w:tcPr>
                  <w:tcW w:w="1475"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集气罩+活性炭吸附+2</w:t>
                  </w:r>
                  <w:r>
                    <w:rPr>
                      <w:rFonts w:hint="eastAsia"/>
                      <w:sz w:val="21"/>
                      <w:szCs w:val="21"/>
                      <w:u w:val="none" w:color="auto"/>
                      <w:lang w:val="en-US" w:eastAsia="zh-CN"/>
                    </w:rPr>
                    <w:t>4</w:t>
                  </w:r>
                  <w:r>
                    <w:rPr>
                      <w:rFonts w:hint="eastAsia"/>
                      <w:sz w:val="21"/>
                      <w:szCs w:val="21"/>
                      <w:u w:val="none" w:color="auto"/>
                    </w:rPr>
                    <w:t>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4" w:type="pct"/>
                  <w:vMerge w:val="continue"/>
                  <w:noWrap w:val="0"/>
                  <w:vAlign w:val="center"/>
                </w:tcPr>
                <w:p>
                  <w:pPr>
                    <w:pStyle w:val="194"/>
                    <w:spacing w:line="240" w:lineRule="auto"/>
                    <w:ind w:firstLine="0" w:firstLineChars="0"/>
                    <w:jc w:val="center"/>
                    <w:rPr>
                      <w:sz w:val="21"/>
                      <w:szCs w:val="21"/>
                      <w:u w:val="none" w:color="auto"/>
                    </w:rPr>
                  </w:pPr>
                </w:p>
              </w:tc>
              <w:tc>
                <w:tcPr>
                  <w:tcW w:w="766"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车间面源</w:t>
                  </w:r>
                </w:p>
              </w:tc>
              <w:tc>
                <w:tcPr>
                  <w:tcW w:w="918" w:type="pct"/>
                  <w:vMerge w:val="continue"/>
                  <w:noWrap w:val="0"/>
                  <w:vAlign w:val="center"/>
                </w:tcPr>
                <w:p>
                  <w:pPr>
                    <w:jc w:val="center"/>
                    <w:rPr>
                      <w:szCs w:val="21"/>
                      <w:u w:val="none" w:color="auto"/>
                    </w:rPr>
                  </w:pPr>
                </w:p>
              </w:tc>
              <w:tc>
                <w:tcPr>
                  <w:tcW w:w="557" w:type="pct"/>
                  <w:noWrap w:val="0"/>
                  <w:vAlign w:val="center"/>
                </w:tcPr>
                <w:p>
                  <w:pPr>
                    <w:widowControl/>
                    <w:jc w:val="center"/>
                    <w:textAlignment w:val="center"/>
                    <w:rPr>
                      <w:rFonts w:hint="default" w:eastAsia="宋体"/>
                      <w:szCs w:val="21"/>
                      <w:u w:val="none" w:color="auto"/>
                      <w:lang w:val="en-US" w:eastAsia="zh-CN"/>
                    </w:rPr>
                  </w:pPr>
                  <w:r>
                    <w:rPr>
                      <w:rFonts w:hint="eastAsia"/>
                      <w:szCs w:val="21"/>
                      <w:u w:val="none" w:color="auto"/>
                      <w:lang w:val="en-US" w:eastAsia="zh-CN"/>
                    </w:rPr>
                    <w:t>0.00059</w:t>
                  </w:r>
                </w:p>
              </w:tc>
              <w:tc>
                <w:tcPr>
                  <w:tcW w:w="597"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无组织</w:t>
                  </w:r>
                </w:p>
              </w:tc>
              <w:tc>
                <w:tcPr>
                  <w:tcW w:w="1475"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加强通风</w:t>
                  </w:r>
                </w:p>
              </w:tc>
            </w:tr>
          </w:tbl>
          <w:p>
            <w:pPr>
              <w:pStyle w:val="195"/>
              <w:rPr>
                <w:kern w:val="0"/>
                <w:szCs w:val="22"/>
                <w:u w:val="none" w:color="auto"/>
              </w:rPr>
            </w:pPr>
            <w:r>
              <w:rPr>
                <w:kern w:val="0"/>
                <w:szCs w:val="22"/>
                <w:u w:val="none" w:color="auto"/>
              </w:rPr>
              <w:t>根据《环境影响评价技术导则-大气环境》（HJ2.2-2018），选择推荐模式中的</w:t>
            </w:r>
            <w:r>
              <w:rPr>
                <w:rFonts w:hint="eastAsia"/>
                <w:kern w:val="0"/>
                <w:szCs w:val="22"/>
                <w:u w:val="none" w:color="auto"/>
              </w:rPr>
              <w:t>ARESCREEN筛选及评价等级模式</w:t>
            </w:r>
            <w:r>
              <w:rPr>
                <w:kern w:val="0"/>
                <w:szCs w:val="22"/>
                <w:u w:val="none" w:color="auto"/>
              </w:rPr>
              <w:t>对项目的大气环境评价工作进行</w:t>
            </w:r>
            <w:r>
              <w:rPr>
                <w:rFonts w:hint="eastAsia"/>
                <w:kern w:val="0"/>
                <w:szCs w:val="22"/>
                <w:u w:val="none" w:color="auto"/>
              </w:rPr>
              <w:t>评</w:t>
            </w:r>
            <w:r>
              <w:rPr>
                <w:kern w:val="0"/>
                <w:szCs w:val="22"/>
                <w:u w:val="none" w:color="auto"/>
              </w:rPr>
              <w:t>级。结合项目的工程分析结果，选择正常排放的主要污染物及排放参数，计算各污染物的最大影响程度和最远影响范围，然后按评价工作分级依据进行分级。</w:t>
            </w:r>
            <w:r>
              <w:rPr>
                <w:rFonts w:hint="eastAsia"/>
                <w:kern w:val="0"/>
                <w:szCs w:val="22"/>
                <w:u w:val="none" w:color="auto"/>
              </w:rPr>
              <w:t>计算参数情况如下表7-</w:t>
            </w:r>
            <w:r>
              <w:rPr>
                <w:rFonts w:hint="eastAsia"/>
                <w:kern w:val="0"/>
                <w:szCs w:val="22"/>
                <w:u w:val="none" w:color="auto"/>
                <w:lang w:val="en-US" w:eastAsia="zh-CN"/>
              </w:rPr>
              <w:t>2</w:t>
            </w:r>
            <w:r>
              <w:rPr>
                <w:rFonts w:hint="eastAsia"/>
                <w:kern w:val="0"/>
                <w:szCs w:val="22"/>
                <w:u w:val="none" w:color="auto"/>
              </w:rPr>
              <w:t>—7-</w:t>
            </w:r>
            <w:r>
              <w:rPr>
                <w:rFonts w:hint="eastAsia"/>
                <w:kern w:val="0"/>
                <w:szCs w:val="22"/>
                <w:u w:val="none" w:color="auto"/>
                <w:lang w:val="en-US" w:eastAsia="zh-CN"/>
              </w:rPr>
              <w:t>4</w:t>
            </w:r>
            <w:r>
              <w:rPr>
                <w:rFonts w:hint="eastAsia"/>
                <w:kern w:val="0"/>
                <w:szCs w:val="22"/>
                <w:u w:val="none" w:color="auto"/>
              </w:rPr>
              <w:t>所示。</w:t>
            </w:r>
          </w:p>
          <w:p>
            <w:pPr>
              <w:pStyle w:val="194"/>
              <w:ind w:firstLine="0" w:firstLineChars="0"/>
              <w:jc w:val="center"/>
              <w:rPr>
                <w:b/>
                <w:u w:val="none" w:color="auto"/>
              </w:rPr>
            </w:pPr>
            <w:r>
              <w:rPr>
                <w:b/>
                <w:u w:val="none" w:color="auto"/>
              </w:rPr>
              <w:t>表7-</w:t>
            </w:r>
            <w:r>
              <w:rPr>
                <w:rFonts w:hint="eastAsia"/>
                <w:b/>
                <w:u w:val="none" w:color="auto"/>
                <w:lang w:val="en-US" w:eastAsia="zh-CN"/>
              </w:rPr>
              <w:t>2</w:t>
            </w:r>
            <w:r>
              <w:rPr>
                <w:rFonts w:hint="eastAsia"/>
                <w:b/>
                <w:u w:val="none" w:color="auto"/>
              </w:rPr>
              <w:t>本项目评价因子和评价标准</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67"/>
              <w:gridCol w:w="1265"/>
              <w:gridCol w:w="1894"/>
              <w:gridCol w:w="4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80" w:type="pct"/>
                  <w:noWrap w:val="0"/>
                  <w:vAlign w:val="center"/>
                </w:tcPr>
                <w:p>
                  <w:pPr>
                    <w:pStyle w:val="194"/>
                    <w:spacing w:line="240" w:lineRule="auto"/>
                    <w:ind w:firstLine="0" w:firstLineChars="0"/>
                    <w:jc w:val="center"/>
                    <w:rPr>
                      <w:sz w:val="21"/>
                      <w:szCs w:val="21"/>
                      <w:u w:val="none" w:color="auto"/>
                    </w:rPr>
                  </w:pPr>
                  <w:r>
                    <w:rPr>
                      <w:sz w:val="21"/>
                      <w:szCs w:val="21"/>
                      <w:u w:val="none" w:color="auto"/>
                    </w:rPr>
                    <w:t>序号</w:t>
                  </w:r>
                </w:p>
              </w:tc>
              <w:tc>
                <w:tcPr>
                  <w:tcW w:w="645" w:type="pct"/>
                  <w:noWrap w:val="0"/>
                  <w:vAlign w:val="center"/>
                </w:tcPr>
                <w:p>
                  <w:pPr>
                    <w:pStyle w:val="194"/>
                    <w:spacing w:line="240" w:lineRule="auto"/>
                    <w:ind w:firstLine="0" w:firstLineChars="0"/>
                    <w:jc w:val="center"/>
                    <w:rPr>
                      <w:sz w:val="21"/>
                      <w:szCs w:val="21"/>
                      <w:u w:val="none" w:color="auto"/>
                    </w:rPr>
                  </w:pPr>
                  <w:r>
                    <w:rPr>
                      <w:sz w:val="21"/>
                      <w:szCs w:val="21"/>
                      <w:u w:val="none" w:color="auto"/>
                    </w:rPr>
                    <w:t>评价因子</w:t>
                  </w:r>
                </w:p>
              </w:tc>
              <w:tc>
                <w:tcPr>
                  <w:tcW w:w="699" w:type="pct"/>
                  <w:noWrap w:val="0"/>
                  <w:vAlign w:val="center"/>
                </w:tcPr>
                <w:p>
                  <w:pPr>
                    <w:pStyle w:val="194"/>
                    <w:spacing w:line="240" w:lineRule="auto"/>
                    <w:ind w:firstLine="0" w:firstLineChars="0"/>
                    <w:jc w:val="center"/>
                    <w:rPr>
                      <w:sz w:val="21"/>
                      <w:szCs w:val="21"/>
                      <w:u w:val="none" w:color="auto"/>
                    </w:rPr>
                  </w:pPr>
                  <w:r>
                    <w:rPr>
                      <w:sz w:val="21"/>
                      <w:szCs w:val="21"/>
                      <w:u w:val="none" w:color="auto"/>
                    </w:rPr>
                    <w:t>平均时段</w:t>
                  </w:r>
                </w:p>
              </w:tc>
              <w:tc>
                <w:tcPr>
                  <w:tcW w:w="1047" w:type="pct"/>
                  <w:noWrap w:val="0"/>
                  <w:vAlign w:val="center"/>
                </w:tcPr>
                <w:p>
                  <w:pPr>
                    <w:pStyle w:val="194"/>
                    <w:spacing w:line="240" w:lineRule="auto"/>
                    <w:ind w:firstLine="0" w:firstLineChars="0"/>
                    <w:jc w:val="center"/>
                    <w:rPr>
                      <w:sz w:val="21"/>
                      <w:szCs w:val="21"/>
                      <w:u w:val="none" w:color="auto"/>
                    </w:rPr>
                  </w:pPr>
                  <w:r>
                    <w:rPr>
                      <w:sz w:val="21"/>
                      <w:szCs w:val="21"/>
                      <w:u w:val="none" w:color="auto"/>
                    </w:rPr>
                    <w:t>标准值(ug/m</w:t>
                  </w:r>
                  <w:r>
                    <w:rPr>
                      <w:sz w:val="21"/>
                      <w:szCs w:val="21"/>
                      <w:u w:val="none" w:color="auto"/>
                      <w:vertAlign w:val="superscript"/>
                    </w:rPr>
                    <w:t>3</w:t>
                  </w:r>
                  <w:r>
                    <w:rPr>
                      <w:sz w:val="21"/>
                      <w:szCs w:val="21"/>
                      <w:u w:val="none" w:color="auto"/>
                    </w:rPr>
                    <w:t>)</w:t>
                  </w:r>
                </w:p>
              </w:tc>
              <w:tc>
                <w:tcPr>
                  <w:tcW w:w="2227" w:type="pct"/>
                  <w:noWrap w:val="0"/>
                  <w:vAlign w:val="center"/>
                </w:tcPr>
                <w:p>
                  <w:pPr>
                    <w:pStyle w:val="194"/>
                    <w:spacing w:line="240" w:lineRule="auto"/>
                    <w:ind w:firstLine="0" w:firstLineChars="0"/>
                    <w:jc w:val="center"/>
                    <w:rPr>
                      <w:sz w:val="21"/>
                      <w:szCs w:val="21"/>
                      <w:u w:val="none" w:color="auto"/>
                    </w:rPr>
                  </w:pPr>
                  <w:r>
                    <w:rPr>
                      <w:sz w:val="21"/>
                      <w:szCs w:val="21"/>
                      <w:u w:val="none" w:color="auto"/>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0" w:type="pct"/>
                  <w:noWrap w:val="0"/>
                  <w:vAlign w:val="center"/>
                </w:tcPr>
                <w:p>
                  <w:pPr>
                    <w:pStyle w:val="194"/>
                    <w:spacing w:line="240" w:lineRule="auto"/>
                    <w:ind w:firstLine="0" w:firstLineChars="0"/>
                    <w:jc w:val="center"/>
                    <w:rPr>
                      <w:rFonts w:hint="eastAsia" w:eastAsia="宋体"/>
                      <w:sz w:val="21"/>
                      <w:szCs w:val="21"/>
                      <w:u w:val="none" w:color="auto"/>
                      <w:lang w:eastAsia="zh-CN"/>
                    </w:rPr>
                  </w:pPr>
                  <w:r>
                    <w:rPr>
                      <w:rFonts w:hint="eastAsia"/>
                      <w:sz w:val="21"/>
                      <w:szCs w:val="21"/>
                      <w:u w:val="none" w:color="auto"/>
                      <w:lang w:val="en-US" w:eastAsia="zh-CN"/>
                    </w:rPr>
                    <w:t>1</w:t>
                  </w:r>
                </w:p>
              </w:tc>
              <w:tc>
                <w:tcPr>
                  <w:tcW w:w="645" w:type="pct"/>
                  <w:noWrap w:val="0"/>
                  <w:vAlign w:val="center"/>
                </w:tcPr>
                <w:p>
                  <w:pPr>
                    <w:pStyle w:val="194"/>
                    <w:spacing w:line="240" w:lineRule="auto"/>
                    <w:ind w:firstLine="0" w:firstLineChars="0"/>
                    <w:jc w:val="center"/>
                    <w:rPr>
                      <w:rFonts w:hint="eastAsia"/>
                      <w:sz w:val="21"/>
                      <w:szCs w:val="21"/>
                      <w:u w:val="none" w:color="auto"/>
                      <w:lang w:val="en-US" w:eastAsia="zh-CN"/>
                    </w:rPr>
                  </w:pPr>
                  <w:r>
                    <w:rPr>
                      <w:rFonts w:hint="eastAsia"/>
                      <w:sz w:val="21"/>
                      <w:szCs w:val="21"/>
                      <w:u w:val="none" w:color="auto"/>
                      <w:lang w:val="en-US" w:eastAsia="zh-CN"/>
                    </w:rPr>
                    <w:t>非甲烷</w:t>
                  </w:r>
                </w:p>
                <w:p>
                  <w:pPr>
                    <w:pStyle w:val="194"/>
                    <w:spacing w:line="240" w:lineRule="auto"/>
                    <w:ind w:firstLine="0" w:firstLineChars="0"/>
                    <w:jc w:val="center"/>
                    <w:rPr>
                      <w:rFonts w:hint="default" w:eastAsia="宋体"/>
                      <w:sz w:val="21"/>
                      <w:szCs w:val="21"/>
                      <w:u w:val="none" w:color="auto"/>
                      <w:lang w:val="en-US" w:eastAsia="zh-CN"/>
                    </w:rPr>
                  </w:pPr>
                  <w:r>
                    <w:rPr>
                      <w:rFonts w:hint="eastAsia"/>
                      <w:sz w:val="21"/>
                      <w:szCs w:val="21"/>
                      <w:u w:val="none" w:color="auto"/>
                      <w:lang w:val="en-US" w:eastAsia="zh-CN"/>
                    </w:rPr>
                    <w:t>总烃</w:t>
                  </w:r>
                </w:p>
              </w:tc>
              <w:tc>
                <w:tcPr>
                  <w:tcW w:w="699"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1</w:t>
                  </w:r>
                  <w:r>
                    <w:rPr>
                      <w:sz w:val="21"/>
                      <w:szCs w:val="21"/>
                      <w:u w:val="none" w:color="auto"/>
                    </w:rPr>
                    <w:t>h</w:t>
                  </w:r>
                </w:p>
              </w:tc>
              <w:tc>
                <w:tcPr>
                  <w:tcW w:w="1047" w:type="pct"/>
                  <w:noWrap w:val="0"/>
                  <w:vAlign w:val="center"/>
                </w:tcPr>
                <w:p>
                  <w:pPr>
                    <w:pStyle w:val="194"/>
                    <w:spacing w:line="240" w:lineRule="auto"/>
                    <w:ind w:firstLine="0" w:firstLineChars="0"/>
                    <w:jc w:val="center"/>
                    <w:rPr>
                      <w:sz w:val="21"/>
                      <w:szCs w:val="21"/>
                      <w:u w:val="none" w:color="auto"/>
                    </w:rPr>
                  </w:pPr>
                  <w:r>
                    <w:rPr>
                      <w:sz w:val="21"/>
                      <w:szCs w:val="21"/>
                      <w:u w:val="none" w:color="auto"/>
                    </w:rPr>
                    <w:t>1200</w:t>
                  </w:r>
                </w:p>
              </w:tc>
              <w:tc>
                <w:tcPr>
                  <w:tcW w:w="2227" w:type="pct"/>
                  <w:noWrap w:val="0"/>
                  <w:vAlign w:val="center"/>
                </w:tcPr>
                <w:p>
                  <w:pPr>
                    <w:pStyle w:val="194"/>
                    <w:spacing w:line="240" w:lineRule="auto"/>
                    <w:ind w:firstLine="0" w:firstLineChars="0"/>
                    <w:jc w:val="center"/>
                    <w:rPr>
                      <w:sz w:val="21"/>
                      <w:szCs w:val="21"/>
                      <w:u w:val="none" w:color="auto"/>
                    </w:rPr>
                  </w:pPr>
                  <w:r>
                    <w:rPr>
                      <w:rFonts w:hint="eastAsia"/>
                      <w:sz w:val="21"/>
                      <w:szCs w:val="21"/>
                      <w:u w:val="none" w:color="auto"/>
                    </w:rPr>
                    <w:t>《环境影响评价技术导则大气环境》HJ2.2-2018附录D中表D.1的TVOC8小时平均值600u</w:t>
                  </w:r>
                  <w:r>
                    <w:rPr>
                      <w:sz w:val="21"/>
                      <w:szCs w:val="21"/>
                      <w:u w:val="none" w:color="auto"/>
                    </w:rPr>
                    <w:t>g/m</w:t>
                  </w:r>
                  <w:r>
                    <w:rPr>
                      <w:sz w:val="21"/>
                      <w:szCs w:val="21"/>
                      <w:u w:val="none" w:color="auto"/>
                      <w:vertAlign w:val="superscript"/>
                    </w:rPr>
                    <w:t>3</w:t>
                  </w:r>
                  <w:r>
                    <w:rPr>
                      <w:sz w:val="21"/>
                      <w:szCs w:val="21"/>
                      <w:u w:val="none" w:color="auto"/>
                    </w:rPr>
                    <w:t>的2倍值</w:t>
                  </w:r>
                </w:p>
              </w:tc>
            </w:tr>
          </w:tbl>
          <w:p>
            <w:pPr>
              <w:pStyle w:val="194"/>
              <w:ind w:firstLine="0" w:firstLineChars="0"/>
              <w:jc w:val="center"/>
              <w:rPr>
                <w:b/>
                <w:u w:val="none" w:color="auto"/>
              </w:rPr>
            </w:pPr>
            <w:r>
              <w:rPr>
                <w:b/>
                <w:u w:val="none" w:color="auto"/>
              </w:rPr>
              <w:t>表7-</w:t>
            </w:r>
            <w:r>
              <w:rPr>
                <w:rFonts w:hint="eastAsia"/>
                <w:b/>
                <w:u w:val="none" w:color="auto"/>
                <w:lang w:val="en-US" w:eastAsia="zh-CN"/>
              </w:rPr>
              <w:t>3</w:t>
            </w:r>
            <w:r>
              <w:rPr>
                <w:rFonts w:hint="eastAsia"/>
                <w:b/>
                <w:u w:val="none" w:color="auto"/>
              </w:rPr>
              <w:t>本项目点源污染源参数表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48"/>
              <w:gridCol w:w="937"/>
              <w:gridCol w:w="913"/>
              <w:gridCol w:w="812"/>
              <w:gridCol w:w="686"/>
              <w:gridCol w:w="1024"/>
              <w:gridCol w:w="847"/>
              <w:gridCol w:w="73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30"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名称</w:t>
                  </w:r>
                </w:p>
              </w:tc>
              <w:tc>
                <w:tcPr>
                  <w:tcW w:w="524"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排气筒高度/m</w:t>
                  </w:r>
                </w:p>
              </w:tc>
              <w:tc>
                <w:tcPr>
                  <w:tcW w:w="1023" w:type="pct"/>
                  <w:gridSpan w:val="2"/>
                  <w:vMerge w:val="restar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排气筒底部中心坐标/m</w:t>
                  </w:r>
                </w:p>
              </w:tc>
              <w:tc>
                <w:tcPr>
                  <w:tcW w:w="449"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排气筒出口内径</w:t>
                  </w:r>
                  <w:r>
                    <w:rPr>
                      <w:rFonts w:hint="eastAsia"/>
                      <w:kern w:val="0"/>
                      <w:sz w:val="21"/>
                      <w:u w:val="none" w:color="auto"/>
                    </w:rPr>
                    <w:t>/m</w:t>
                  </w:r>
                </w:p>
              </w:tc>
              <w:tc>
                <w:tcPr>
                  <w:tcW w:w="379"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烟气流速/（m/s）</w:t>
                  </w:r>
                </w:p>
              </w:tc>
              <w:tc>
                <w:tcPr>
                  <w:tcW w:w="566"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烟气温度</w:t>
                  </w:r>
                  <w:r>
                    <w:rPr>
                      <w:rFonts w:hint="eastAsia"/>
                      <w:kern w:val="0"/>
                      <w:sz w:val="21"/>
                      <w:u w:val="none" w:color="auto"/>
                    </w:rPr>
                    <w:t>/℃</w:t>
                  </w:r>
                </w:p>
              </w:tc>
              <w:tc>
                <w:tcPr>
                  <w:tcW w:w="468"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年排放小时</w:t>
                  </w:r>
                  <w:r>
                    <w:rPr>
                      <w:rFonts w:hint="eastAsia"/>
                      <w:kern w:val="0"/>
                      <w:sz w:val="21"/>
                      <w:u w:val="none" w:color="auto"/>
                    </w:rPr>
                    <w:t>/h</w:t>
                  </w:r>
                </w:p>
              </w:tc>
              <w:tc>
                <w:tcPr>
                  <w:tcW w:w="406"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排放工况</w:t>
                  </w:r>
                </w:p>
              </w:tc>
              <w:tc>
                <w:tcPr>
                  <w:tcW w:w="753" w:type="pc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污染物排放速率</w:t>
                  </w:r>
                  <w:r>
                    <w:rPr>
                      <w:rFonts w:hint="eastAsia"/>
                      <w:kern w:val="0"/>
                      <w:sz w:val="21"/>
                      <w:u w:val="none" w:color="auto"/>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30"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524"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1023" w:type="pct"/>
                  <w:gridSpan w:val="2"/>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49"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379"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566"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68"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06"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753" w:type="pct"/>
                  <w:vMerge w:val="restar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30"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524"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518" w:type="pct"/>
                  <w:tcBorders>
                    <w:tl2br w:val="nil"/>
                    <w:tr2bl w:val="nil"/>
                  </w:tcBorders>
                  <w:noWrap w:val="0"/>
                  <w:vAlign w:val="center"/>
                </w:tcPr>
                <w:p>
                  <w:pPr>
                    <w:pStyle w:val="195"/>
                    <w:spacing w:line="240" w:lineRule="auto"/>
                    <w:ind w:firstLine="0" w:firstLineChars="0"/>
                    <w:jc w:val="center"/>
                    <w:rPr>
                      <w:rFonts w:hint="eastAsia" w:eastAsia="宋体"/>
                      <w:kern w:val="0"/>
                      <w:sz w:val="21"/>
                      <w:u w:val="none" w:color="auto"/>
                      <w:lang w:val="en-US" w:eastAsia="zh-CN"/>
                    </w:rPr>
                  </w:pPr>
                  <w:r>
                    <w:rPr>
                      <w:rFonts w:hint="eastAsia"/>
                      <w:kern w:val="0"/>
                      <w:sz w:val="21"/>
                      <w:u w:val="none" w:color="auto"/>
                      <w:lang w:val="en-US" w:eastAsia="zh-CN"/>
                    </w:rPr>
                    <w:t>X</w:t>
                  </w:r>
                </w:p>
              </w:tc>
              <w:tc>
                <w:tcPr>
                  <w:tcW w:w="504" w:type="pct"/>
                  <w:tcBorders>
                    <w:tl2br w:val="nil"/>
                    <w:tr2bl w:val="nil"/>
                  </w:tcBorders>
                  <w:noWrap w:val="0"/>
                  <w:vAlign w:val="center"/>
                </w:tcPr>
                <w:p>
                  <w:pPr>
                    <w:pStyle w:val="195"/>
                    <w:spacing w:line="240" w:lineRule="auto"/>
                    <w:ind w:firstLine="0" w:firstLineChars="0"/>
                    <w:jc w:val="center"/>
                    <w:rPr>
                      <w:rFonts w:hint="eastAsia" w:eastAsia="宋体"/>
                      <w:kern w:val="0"/>
                      <w:sz w:val="21"/>
                      <w:u w:val="none" w:color="auto"/>
                      <w:lang w:val="en-US" w:eastAsia="zh-CN"/>
                    </w:rPr>
                  </w:pPr>
                  <w:r>
                    <w:rPr>
                      <w:rFonts w:hint="eastAsia"/>
                      <w:kern w:val="0"/>
                      <w:sz w:val="21"/>
                      <w:u w:val="none" w:color="auto"/>
                      <w:lang w:val="en-US" w:eastAsia="zh-CN"/>
                    </w:rPr>
                    <w:t>Y</w:t>
                  </w:r>
                </w:p>
              </w:tc>
              <w:tc>
                <w:tcPr>
                  <w:tcW w:w="449"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379"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566"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68"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06"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753"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30"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模压成型</w:t>
                  </w:r>
                </w:p>
              </w:tc>
              <w:tc>
                <w:tcPr>
                  <w:tcW w:w="524" w:type="pct"/>
                  <w:tcBorders>
                    <w:tl2br w:val="nil"/>
                    <w:tr2bl w:val="nil"/>
                  </w:tcBorders>
                  <w:noWrap w:val="0"/>
                  <w:vAlign w:val="center"/>
                </w:tcPr>
                <w:p>
                  <w:pPr>
                    <w:pStyle w:val="195"/>
                    <w:spacing w:line="240" w:lineRule="auto"/>
                    <w:ind w:firstLine="0" w:firstLineChars="0"/>
                    <w:jc w:val="center"/>
                    <w:rPr>
                      <w:rFonts w:hint="eastAsia" w:eastAsia="宋体"/>
                      <w:kern w:val="0"/>
                      <w:sz w:val="21"/>
                      <w:u w:val="none" w:color="auto"/>
                      <w:lang w:eastAsia="zh-CN"/>
                    </w:rPr>
                  </w:pPr>
                  <w:r>
                    <w:rPr>
                      <w:rFonts w:hint="eastAsia"/>
                      <w:kern w:val="0"/>
                      <w:sz w:val="21"/>
                      <w:u w:val="none" w:color="auto"/>
                    </w:rPr>
                    <w:t>2</w:t>
                  </w:r>
                  <w:r>
                    <w:rPr>
                      <w:rFonts w:hint="eastAsia"/>
                      <w:kern w:val="0"/>
                      <w:sz w:val="21"/>
                      <w:u w:val="none" w:color="auto"/>
                      <w:lang w:val="en-US" w:eastAsia="zh-CN"/>
                    </w:rPr>
                    <w:t>4</w:t>
                  </w:r>
                </w:p>
              </w:tc>
              <w:tc>
                <w:tcPr>
                  <w:tcW w:w="518" w:type="pct"/>
                  <w:tcBorders>
                    <w:tl2br w:val="nil"/>
                    <w:tr2bl w:val="nil"/>
                  </w:tcBorders>
                  <w:noWrap w:val="0"/>
                  <w:vAlign w:val="center"/>
                </w:tcPr>
                <w:p>
                  <w:pPr>
                    <w:pStyle w:val="195"/>
                    <w:spacing w:line="240" w:lineRule="auto"/>
                    <w:ind w:firstLine="0" w:firstLineChars="0"/>
                    <w:jc w:val="center"/>
                    <w:rPr>
                      <w:rFonts w:hint="eastAsia"/>
                      <w:kern w:val="0"/>
                      <w:sz w:val="21"/>
                      <w:u w:val="none" w:color="auto"/>
                    </w:rPr>
                  </w:pPr>
                  <w:r>
                    <w:rPr>
                      <w:rFonts w:hint="eastAsia"/>
                      <w:kern w:val="0"/>
                      <w:sz w:val="21"/>
                      <w:u w:val="none" w:color="auto"/>
                    </w:rPr>
                    <w:t>112.936441</w:t>
                  </w:r>
                </w:p>
              </w:tc>
              <w:tc>
                <w:tcPr>
                  <w:tcW w:w="504" w:type="pct"/>
                  <w:tcBorders>
                    <w:tl2br w:val="nil"/>
                    <w:tr2bl w:val="nil"/>
                  </w:tcBorders>
                  <w:noWrap w:val="0"/>
                  <w:vAlign w:val="center"/>
                </w:tcPr>
                <w:p>
                  <w:pPr>
                    <w:pStyle w:val="195"/>
                    <w:spacing w:line="240" w:lineRule="auto"/>
                    <w:ind w:firstLine="0" w:firstLineChars="0"/>
                    <w:jc w:val="center"/>
                    <w:rPr>
                      <w:rFonts w:hint="eastAsia"/>
                      <w:kern w:val="0"/>
                      <w:sz w:val="21"/>
                      <w:u w:val="none" w:color="auto"/>
                    </w:rPr>
                  </w:pPr>
                  <w:r>
                    <w:rPr>
                      <w:rFonts w:hint="eastAsia"/>
                      <w:kern w:val="0"/>
                      <w:sz w:val="21"/>
                      <w:u w:val="none" w:color="auto"/>
                    </w:rPr>
                    <w:t>28.530308</w:t>
                  </w:r>
                </w:p>
              </w:tc>
              <w:tc>
                <w:tcPr>
                  <w:tcW w:w="449" w:type="pct"/>
                  <w:tcBorders>
                    <w:tl2br w:val="nil"/>
                    <w:tr2bl w:val="nil"/>
                  </w:tcBorders>
                  <w:noWrap w:val="0"/>
                  <w:vAlign w:val="center"/>
                </w:tcPr>
                <w:p>
                  <w:pPr>
                    <w:pStyle w:val="195"/>
                    <w:spacing w:line="240" w:lineRule="auto"/>
                    <w:ind w:firstLine="0" w:firstLineChars="0"/>
                    <w:jc w:val="center"/>
                    <w:rPr>
                      <w:rFonts w:hint="eastAsia" w:eastAsia="宋体"/>
                      <w:kern w:val="0"/>
                      <w:sz w:val="21"/>
                      <w:u w:val="none" w:color="auto"/>
                      <w:lang w:val="en-US" w:eastAsia="zh-CN"/>
                    </w:rPr>
                  </w:pPr>
                  <w:r>
                    <w:rPr>
                      <w:rFonts w:hint="eastAsia"/>
                      <w:kern w:val="0"/>
                      <w:sz w:val="21"/>
                      <w:u w:val="none" w:color="auto"/>
                    </w:rPr>
                    <w:t>0.</w:t>
                  </w:r>
                  <w:r>
                    <w:rPr>
                      <w:rFonts w:hint="eastAsia"/>
                      <w:kern w:val="0"/>
                      <w:sz w:val="21"/>
                      <w:u w:val="none" w:color="auto"/>
                      <w:lang w:val="en-US" w:eastAsia="zh-CN"/>
                    </w:rPr>
                    <w:t>2</w:t>
                  </w:r>
                </w:p>
              </w:tc>
              <w:tc>
                <w:tcPr>
                  <w:tcW w:w="379"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26.5</w:t>
                  </w:r>
                </w:p>
              </w:tc>
              <w:tc>
                <w:tcPr>
                  <w:tcW w:w="566" w:type="pc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20</w:t>
                  </w:r>
                </w:p>
              </w:tc>
              <w:tc>
                <w:tcPr>
                  <w:tcW w:w="468" w:type="pc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lang w:val="en-US" w:eastAsia="zh-CN"/>
                    </w:rPr>
                    <w:t>24</w:t>
                  </w:r>
                  <w:r>
                    <w:rPr>
                      <w:rFonts w:hint="eastAsia"/>
                      <w:kern w:val="0"/>
                      <w:sz w:val="21"/>
                      <w:u w:val="none" w:color="auto"/>
                    </w:rPr>
                    <w:t>00</w:t>
                  </w:r>
                </w:p>
              </w:tc>
              <w:tc>
                <w:tcPr>
                  <w:tcW w:w="406" w:type="pc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正常</w:t>
                  </w:r>
                </w:p>
              </w:tc>
              <w:tc>
                <w:tcPr>
                  <w:tcW w:w="753"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0.0010</w:t>
                  </w:r>
                </w:p>
              </w:tc>
            </w:tr>
          </w:tbl>
          <w:p>
            <w:pPr>
              <w:pStyle w:val="194"/>
              <w:ind w:firstLine="0" w:firstLineChars="0"/>
              <w:jc w:val="center"/>
              <w:rPr>
                <w:b/>
                <w:u w:val="none" w:color="auto"/>
              </w:rPr>
            </w:pPr>
            <w:r>
              <w:rPr>
                <w:b/>
                <w:u w:val="none" w:color="auto"/>
              </w:rPr>
              <w:t>表7-</w:t>
            </w:r>
            <w:r>
              <w:rPr>
                <w:rFonts w:hint="eastAsia"/>
                <w:b/>
                <w:u w:val="none" w:color="auto"/>
                <w:lang w:val="en-US" w:eastAsia="zh-CN"/>
              </w:rPr>
              <w:t>4</w:t>
            </w:r>
            <w:r>
              <w:rPr>
                <w:rFonts w:hint="eastAsia"/>
                <w:b/>
                <w:u w:val="none" w:color="auto"/>
              </w:rPr>
              <w:t>本项目面源污染源参数表</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890"/>
              <w:gridCol w:w="908"/>
              <w:gridCol w:w="737"/>
              <w:gridCol w:w="975"/>
              <w:gridCol w:w="900"/>
              <w:gridCol w:w="913"/>
              <w:gridCol w:w="812"/>
              <w:gridCol w:w="675"/>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82"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名称</w:t>
                  </w:r>
                </w:p>
              </w:tc>
              <w:tc>
                <w:tcPr>
                  <w:tcW w:w="994" w:type="pct"/>
                  <w:gridSpan w:val="2"/>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面源起点坐标/m</w:t>
                  </w:r>
                </w:p>
              </w:tc>
              <w:tc>
                <w:tcPr>
                  <w:tcW w:w="407" w:type="pct"/>
                  <w:vMerge w:val="restart"/>
                  <w:tcBorders>
                    <w:tl2br w:val="nil"/>
                    <w:tr2bl w:val="nil"/>
                  </w:tcBorders>
                  <w:noWrap w:val="0"/>
                  <w:vAlign w:val="center"/>
                </w:tcPr>
                <w:p>
                  <w:pPr>
                    <w:pStyle w:val="195"/>
                    <w:spacing w:line="240" w:lineRule="auto"/>
                    <w:ind w:firstLine="0" w:firstLineChars="0"/>
                    <w:jc w:val="center"/>
                    <w:rPr>
                      <w:rFonts w:hint="eastAsia"/>
                      <w:kern w:val="0"/>
                      <w:sz w:val="21"/>
                      <w:u w:val="none" w:color="auto"/>
                    </w:rPr>
                  </w:pPr>
                  <w:r>
                    <w:rPr>
                      <w:rFonts w:hint="eastAsia"/>
                      <w:kern w:val="0"/>
                      <w:sz w:val="21"/>
                      <w:u w:val="none" w:color="auto"/>
                    </w:rPr>
                    <w:t>面源长度/m</w:t>
                  </w:r>
                </w:p>
              </w:tc>
              <w:tc>
                <w:tcPr>
                  <w:tcW w:w="539"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面源</w:t>
                  </w:r>
                  <w:r>
                    <w:rPr>
                      <w:kern w:val="0"/>
                      <w:sz w:val="21"/>
                      <w:u w:val="none" w:color="auto"/>
                    </w:rPr>
                    <w:t>宽度</w:t>
                  </w:r>
                  <w:r>
                    <w:rPr>
                      <w:rFonts w:hint="eastAsia"/>
                      <w:kern w:val="0"/>
                      <w:sz w:val="21"/>
                      <w:u w:val="none" w:color="auto"/>
                    </w:rPr>
                    <w:t>/m</w:t>
                  </w:r>
                </w:p>
              </w:tc>
              <w:tc>
                <w:tcPr>
                  <w:tcW w:w="497"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与正北夹角/（°）</w:t>
                  </w:r>
                </w:p>
              </w:tc>
              <w:tc>
                <w:tcPr>
                  <w:tcW w:w="504"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面源</w:t>
                  </w:r>
                  <w:r>
                    <w:rPr>
                      <w:kern w:val="0"/>
                      <w:sz w:val="21"/>
                      <w:u w:val="none" w:color="auto"/>
                    </w:rPr>
                    <w:t>有效排放高度</w:t>
                  </w:r>
                  <w:r>
                    <w:rPr>
                      <w:rFonts w:hint="eastAsia"/>
                      <w:kern w:val="0"/>
                      <w:sz w:val="21"/>
                      <w:u w:val="none" w:color="auto"/>
                    </w:rPr>
                    <w:t>/m</w:t>
                  </w:r>
                </w:p>
              </w:tc>
              <w:tc>
                <w:tcPr>
                  <w:tcW w:w="449"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年排放小时</w:t>
                  </w:r>
                  <w:r>
                    <w:rPr>
                      <w:rFonts w:hint="eastAsia"/>
                      <w:kern w:val="0"/>
                      <w:sz w:val="21"/>
                      <w:u w:val="none" w:color="auto"/>
                    </w:rPr>
                    <w:t>/h</w:t>
                  </w:r>
                </w:p>
              </w:tc>
              <w:tc>
                <w:tcPr>
                  <w:tcW w:w="373"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排放工况</w:t>
                  </w:r>
                </w:p>
              </w:tc>
              <w:tc>
                <w:tcPr>
                  <w:tcW w:w="651" w:type="pct"/>
                  <w:vMerge w:val="restar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污染物排放速率</w:t>
                  </w:r>
                  <w:r>
                    <w:rPr>
                      <w:rFonts w:hint="eastAsia"/>
                      <w:kern w:val="0"/>
                      <w:sz w:val="21"/>
                      <w:u w:val="none" w:color="auto"/>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82" w:type="pct"/>
                  <w:vMerge w:val="continue"/>
                  <w:tcBorders>
                    <w:tl2br w:val="nil"/>
                    <w:tr2bl w:val="nil"/>
                  </w:tcBorders>
                  <w:noWrap w:val="0"/>
                  <w:vAlign w:val="center"/>
                </w:tcPr>
                <w:p>
                  <w:pPr>
                    <w:pStyle w:val="195"/>
                    <w:spacing w:line="240" w:lineRule="auto"/>
                    <w:ind w:firstLine="0" w:firstLineChars="0"/>
                    <w:jc w:val="center"/>
                    <w:rPr>
                      <w:rFonts w:hint="eastAsia"/>
                      <w:kern w:val="0"/>
                      <w:sz w:val="21"/>
                      <w:u w:val="none" w:color="auto"/>
                    </w:rPr>
                  </w:pPr>
                </w:p>
              </w:tc>
              <w:tc>
                <w:tcPr>
                  <w:tcW w:w="492" w:type="pct"/>
                  <w:vMerge w:val="restart"/>
                  <w:tcBorders>
                    <w:tl2br w:val="nil"/>
                    <w:tr2bl w:val="nil"/>
                  </w:tcBorders>
                  <w:noWrap w:val="0"/>
                  <w:vAlign w:val="center"/>
                </w:tcPr>
                <w:p>
                  <w:pPr>
                    <w:pStyle w:val="195"/>
                    <w:spacing w:line="240" w:lineRule="auto"/>
                    <w:ind w:firstLine="0" w:firstLineChars="0"/>
                    <w:jc w:val="center"/>
                    <w:rPr>
                      <w:rFonts w:hint="eastAsia" w:eastAsia="宋体"/>
                      <w:kern w:val="0"/>
                      <w:sz w:val="21"/>
                      <w:u w:val="none" w:color="auto"/>
                      <w:lang w:val="en-US" w:eastAsia="zh-CN"/>
                    </w:rPr>
                  </w:pPr>
                  <w:r>
                    <w:rPr>
                      <w:rFonts w:hint="eastAsia"/>
                      <w:kern w:val="0"/>
                      <w:sz w:val="21"/>
                      <w:u w:val="none" w:color="auto"/>
                      <w:lang w:val="en-US" w:eastAsia="zh-CN"/>
                    </w:rPr>
                    <w:t>X</w:t>
                  </w:r>
                </w:p>
              </w:tc>
              <w:tc>
                <w:tcPr>
                  <w:tcW w:w="502" w:type="pct"/>
                  <w:vMerge w:val="restart"/>
                  <w:tcBorders>
                    <w:tl2br w:val="nil"/>
                    <w:tr2bl w:val="nil"/>
                  </w:tcBorders>
                  <w:noWrap w:val="0"/>
                  <w:vAlign w:val="center"/>
                </w:tcPr>
                <w:p>
                  <w:pPr>
                    <w:pStyle w:val="195"/>
                    <w:spacing w:line="240" w:lineRule="auto"/>
                    <w:ind w:firstLine="0" w:firstLineChars="0"/>
                    <w:jc w:val="center"/>
                    <w:rPr>
                      <w:rFonts w:hint="eastAsia" w:eastAsia="宋体"/>
                      <w:kern w:val="0"/>
                      <w:sz w:val="21"/>
                      <w:u w:val="none" w:color="auto"/>
                      <w:lang w:val="en-US" w:eastAsia="zh-CN"/>
                    </w:rPr>
                  </w:pPr>
                  <w:r>
                    <w:rPr>
                      <w:rFonts w:hint="eastAsia"/>
                      <w:kern w:val="0"/>
                      <w:sz w:val="21"/>
                      <w:u w:val="none" w:color="auto"/>
                      <w:lang w:val="en-US" w:eastAsia="zh-CN"/>
                    </w:rPr>
                    <w:t>Y</w:t>
                  </w:r>
                </w:p>
              </w:tc>
              <w:tc>
                <w:tcPr>
                  <w:tcW w:w="407" w:type="pct"/>
                  <w:vMerge w:val="continue"/>
                  <w:tcBorders>
                    <w:tl2br w:val="nil"/>
                    <w:tr2bl w:val="nil"/>
                  </w:tcBorders>
                  <w:noWrap w:val="0"/>
                  <w:vAlign w:val="center"/>
                </w:tcPr>
                <w:p>
                  <w:pPr>
                    <w:pStyle w:val="195"/>
                    <w:spacing w:line="240" w:lineRule="auto"/>
                    <w:ind w:firstLine="0" w:firstLineChars="0"/>
                    <w:jc w:val="center"/>
                    <w:rPr>
                      <w:rFonts w:hint="eastAsia"/>
                      <w:kern w:val="0"/>
                      <w:sz w:val="21"/>
                      <w:u w:val="none" w:color="auto"/>
                    </w:rPr>
                  </w:pPr>
                </w:p>
              </w:tc>
              <w:tc>
                <w:tcPr>
                  <w:tcW w:w="539" w:type="pct"/>
                  <w:vMerge w:val="continue"/>
                  <w:tcBorders>
                    <w:tl2br w:val="nil"/>
                    <w:tr2bl w:val="nil"/>
                  </w:tcBorders>
                  <w:noWrap w:val="0"/>
                  <w:vAlign w:val="center"/>
                </w:tcPr>
                <w:p>
                  <w:pPr>
                    <w:pStyle w:val="195"/>
                    <w:spacing w:line="240" w:lineRule="auto"/>
                    <w:ind w:firstLine="0" w:firstLineChars="0"/>
                    <w:jc w:val="center"/>
                    <w:rPr>
                      <w:rFonts w:hint="eastAsia"/>
                      <w:kern w:val="0"/>
                      <w:sz w:val="21"/>
                      <w:u w:val="none" w:color="auto"/>
                    </w:rPr>
                  </w:pPr>
                </w:p>
              </w:tc>
              <w:tc>
                <w:tcPr>
                  <w:tcW w:w="497" w:type="pct"/>
                  <w:vMerge w:val="continue"/>
                  <w:tcBorders>
                    <w:tl2br w:val="nil"/>
                    <w:tr2bl w:val="nil"/>
                  </w:tcBorders>
                  <w:noWrap w:val="0"/>
                  <w:vAlign w:val="center"/>
                </w:tcPr>
                <w:p>
                  <w:pPr>
                    <w:pStyle w:val="195"/>
                    <w:spacing w:line="240" w:lineRule="auto"/>
                    <w:ind w:firstLine="0" w:firstLineChars="0"/>
                    <w:jc w:val="center"/>
                    <w:rPr>
                      <w:rFonts w:hint="eastAsia"/>
                      <w:kern w:val="0"/>
                      <w:sz w:val="21"/>
                      <w:u w:val="none" w:color="auto"/>
                    </w:rPr>
                  </w:pPr>
                </w:p>
              </w:tc>
              <w:tc>
                <w:tcPr>
                  <w:tcW w:w="504" w:type="pct"/>
                  <w:vMerge w:val="continue"/>
                  <w:tcBorders>
                    <w:tl2br w:val="nil"/>
                    <w:tr2bl w:val="nil"/>
                  </w:tcBorders>
                  <w:noWrap w:val="0"/>
                  <w:vAlign w:val="center"/>
                </w:tcPr>
                <w:p>
                  <w:pPr>
                    <w:pStyle w:val="195"/>
                    <w:spacing w:line="240" w:lineRule="auto"/>
                    <w:ind w:firstLine="0" w:firstLineChars="0"/>
                    <w:jc w:val="center"/>
                    <w:rPr>
                      <w:rFonts w:hint="eastAsia"/>
                      <w:kern w:val="0"/>
                      <w:sz w:val="21"/>
                      <w:u w:val="none" w:color="auto"/>
                    </w:rPr>
                  </w:pPr>
                </w:p>
              </w:tc>
              <w:tc>
                <w:tcPr>
                  <w:tcW w:w="449"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373"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651"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82"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92"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502"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07"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539"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97"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504"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449"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373" w:type="pct"/>
                  <w:vMerge w:val="continue"/>
                  <w:tcBorders>
                    <w:tl2br w:val="nil"/>
                    <w:tr2bl w:val="nil"/>
                  </w:tcBorders>
                  <w:noWrap w:val="0"/>
                  <w:vAlign w:val="center"/>
                </w:tcPr>
                <w:p>
                  <w:pPr>
                    <w:pStyle w:val="195"/>
                    <w:spacing w:line="240" w:lineRule="auto"/>
                    <w:ind w:firstLine="0" w:firstLineChars="0"/>
                    <w:jc w:val="center"/>
                    <w:rPr>
                      <w:kern w:val="0"/>
                      <w:sz w:val="21"/>
                      <w:u w:val="none" w:color="auto"/>
                    </w:rPr>
                  </w:pPr>
                </w:p>
              </w:tc>
              <w:tc>
                <w:tcPr>
                  <w:tcW w:w="651" w:type="pct"/>
                  <w:tcBorders>
                    <w:tl2br w:val="nil"/>
                    <w:tr2bl w:val="nil"/>
                  </w:tcBorders>
                  <w:noWrap w:val="0"/>
                  <w:vAlign w:val="center"/>
                </w:tcPr>
                <w:p>
                  <w:pPr>
                    <w:pStyle w:val="195"/>
                    <w:spacing w:line="240" w:lineRule="auto"/>
                    <w:ind w:firstLine="0" w:firstLineChars="0"/>
                    <w:jc w:val="center"/>
                    <w:rPr>
                      <w:rFonts w:hint="eastAsia"/>
                      <w:sz w:val="21"/>
                      <w:u w:val="none" w:color="auto"/>
                      <w:lang w:val="en-US" w:eastAsia="zh-CN"/>
                    </w:rPr>
                  </w:pPr>
                  <w:r>
                    <w:rPr>
                      <w:rFonts w:hint="eastAsia"/>
                      <w:sz w:val="21"/>
                      <w:u w:val="none" w:color="auto"/>
                      <w:lang w:val="en-US" w:eastAsia="zh-CN"/>
                    </w:rPr>
                    <w:t>非甲烷</w:t>
                  </w:r>
                </w:p>
                <w:p>
                  <w:pPr>
                    <w:pStyle w:val="195"/>
                    <w:spacing w:line="240" w:lineRule="auto"/>
                    <w:ind w:firstLine="0" w:firstLineChars="0"/>
                    <w:jc w:val="center"/>
                    <w:rPr>
                      <w:rFonts w:hint="eastAsia" w:eastAsia="宋体"/>
                      <w:kern w:val="0"/>
                      <w:sz w:val="21"/>
                      <w:u w:val="none" w:color="auto"/>
                      <w:lang w:eastAsia="zh-CN"/>
                    </w:rPr>
                  </w:pPr>
                  <w:r>
                    <w:rPr>
                      <w:rFonts w:hint="eastAsia"/>
                      <w:sz w:val="21"/>
                      <w:u w:val="none" w:color="auto"/>
                      <w:lang w:val="en-US" w:eastAsia="zh-CN"/>
                    </w:rPr>
                    <w:t>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82" w:type="pc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lang w:val="en-US" w:eastAsia="zh-CN"/>
                    </w:rPr>
                    <w:t>模压成型</w:t>
                  </w:r>
                  <w:r>
                    <w:rPr>
                      <w:rFonts w:hint="eastAsia"/>
                      <w:kern w:val="0"/>
                      <w:sz w:val="21"/>
                      <w:u w:val="none" w:color="auto"/>
                    </w:rPr>
                    <w:t>车间</w:t>
                  </w:r>
                </w:p>
              </w:tc>
              <w:tc>
                <w:tcPr>
                  <w:tcW w:w="492" w:type="pc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112.936382</w:t>
                  </w:r>
                </w:p>
              </w:tc>
              <w:tc>
                <w:tcPr>
                  <w:tcW w:w="502" w:type="pct"/>
                  <w:tcBorders>
                    <w:tl2br w:val="nil"/>
                    <w:tr2bl w:val="nil"/>
                  </w:tcBorders>
                  <w:noWrap w:val="0"/>
                  <w:vAlign w:val="center"/>
                </w:tcPr>
                <w:p>
                  <w:pPr>
                    <w:pStyle w:val="195"/>
                    <w:spacing w:line="240" w:lineRule="auto"/>
                    <w:ind w:firstLine="0" w:firstLineChars="0"/>
                    <w:jc w:val="center"/>
                    <w:rPr>
                      <w:kern w:val="0"/>
                      <w:sz w:val="21"/>
                      <w:u w:val="none" w:color="auto"/>
                    </w:rPr>
                  </w:pPr>
                  <w:r>
                    <w:rPr>
                      <w:rFonts w:hint="eastAsia"/>
                      <w:kern w:val="0"/>
                      <w:sz w:val="21"/>
                      <w:u w:val="none" w:color="auto"/>
                    </w:rPr>
                    <w:t>28.530306</w:t>
                  </w:r>
                </w:p>
              </w:tc>
              <w:tc>
                <w:tcPr>
                  <w:tcW w:w="407"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20</w:t>
                  </w:r>
                </w:p>
              </w:tc>
              <w:tc>
                <w:tcPr>
                  <w:tcW w:w="539"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10</w:t>
                  </w:r>
                </w:p>
              </w:tc>
              <w:tc>
                <w:tcPr>
                  <w:tcW w:w="497"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15</w:t>
                  </w:r>
                </w:p>
              </w:tc>
              <w:tc>
                <w:tcPr>
                  <w:tcW w:w="504"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6</w:t>
                  </w:r>
                </w:p>
              </w:tc>
              <w:tc>
                <w:tcPr>
                  <w:tcW w:w="449"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2400</w:t>
                  </w:r>
                </w:p>
              </w:tc>
              <w:tc>
                <w:tcPr>
                  <w:tcW w:w="373" w:type="pct"/>
                  <w:tcBorders>
                    <w:tl2br w:val="nil"/>
                    <w:tr2bl w:val="nil"/>
                  </w:tcBorders>
                  <w:noWrap w:val="0"/>
                  <w:vAlign w:val="center"/>
                </w:tcPr>
                <w:p>
                  <w:pPr>
                    <w:pStyle w:val="195"/>
                    <w:spacing w:line="240" w:lineRule="auto"/>
                    <w:ind w:firstLine="0" w:firstLineChars="0"/>
                    <w:jc w:val="center"/>
                    <w:rPr>
                      <w:kern w:val="0"/>
                      <w:sz w:val="21"/>
                      <w:u w:val="none" w:color="auto"/>
                    </w:rPr>
                  </w:pPr>
                  <w:r>
                    <w:rPr>
                      <w:kern w:val="0"/>
                      <w:sz w:val="21"/>
                      <w:u w:val="none" w:color="auto"/>
                    </w:rPr>
                    <w:t>正常</w:t>
                  </w:r>
                </w:p>
              </w:tc>
              <w:tc>
                <w:tcPr>
                  <w:tcW w:w="651" w:type="pct"/>
                  <w:tcBorders>
                    <w:tl2br w:val="nil"/>
                    <w:tr2bl w:val="nil"/>
                  </w:tcBorders>
                  <w:noWrap w:val="0"/>
                  <w:vAlign w:val="center"/>
                </w:tcPr>
                <w:p>
                  <w:pPr>
                    <w:pStyle w:val="195"/>
                    <w:spacing w:line="240" w:lineRule="auto"/>
                    <w:ind w:firstLine="0" w:firstLineChars="0"/>
                    <w:jc w:val="center"/>
                    <w:rPr>
                      <w:rFonts w:hint="default" w:eastAsia="宋体"/>
                      <w:kern w:val="0"/>
                      <w:sz w:val="21"/>
                      <w:u w:val="none" w:color="auto"/>
                      <w:lang w:val="en-US" w:eastAsia="zh-CN"/>
                    </w:rPr>
                  </w:pPr>
                  <w:r>
                    <w:rPr>
                      <w:rFonts w:hint="eastAsia"/>
                      <w:kern w:val="0"/>
                      <w:sz w:val="21"/>
                      <w:u w:val="none" w:color="auto"/>
                      <w:lang w:val="en-US" w:eastAsia="zh-CN"/>
                    </w:rPr>
                    <w:t>0.00059</w:t>
                  </w:r>
                </w:p>
              </w:tc>
            </w:tr>
          </w:tbl>
          <w:p>
            <w:pPr>
              <w:tabs>
                <w:tab w:val="left" w:pos="103"/>
              </w:tabs>
              <w:autoSpaceDE w:val="0"/>
              <w:autoSpaceDN w:val="0"/>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大气环境影响预测</w:t>
            </w:r>
          </w:p>
          <w:p>
            <w:pPr>
              <w:tabs>
                <w:tab w:val="left" w:pos="103"/>
              </w:tabs>
              <w:autoSpaceDE w:val="0"/>
              <w:autoSpaceDN w:val="0"/>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①评价等级的判定</w:t>
            </w:r>
          </w:p>
          <w:p>
            <w:pPr>
              <w:tabs>
                <w:tab w:val="left" w:pos="103"/>
              </w:tabs>
              <w:autoSpaceDE w:val="0"/>
              <w:autoSpaceDN w:val="0"/>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根据《环境影响评价技术导则 大气环境》（HJ2.2-2018），采用推荐模式中的估算模型AERSCREEN对污染物的最大地面占标率Pi（第i个污染物）及第i个污染物的地面浓度达标准限值10%时所对应的最远距离D10%进行计算。其中Pi定义如下：</w:t>
            </w:r>
          </w:p>
          <w:p>
            <w:pPr>
              <w:tabs>
                <w:tab w:val="left" w:pos="103"/>
              </w:tabs>
              <w:autoSpaceDE w:val="0"/>
              <w:autoSpaceDN w:val="0"/>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 xml:space="preserve">               </w:t>
            </w:r>
            <w:r>
              <w:rPr>
                <w:rFonts w:hint="default" w:ascii="Times New Roman" w:hAnsi="Times New Roman" w:cs="Times New Roman"/>
                <w:sz w:val="24"/>
                <w:szCs w:val="24"/>
                <w:u w:val="none" w:color="auto"/>
                <w:lang w:val="en-US" w:eastAsia="zh-CN"/>
              </w:rPr>
              <w:drawing>
                <wp:inline distT="0" distB="0" distL="114300" distR="114300">
                  <wp:extent cx="1400175" cy="619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a:stretch>
                            <a:fillRect/>
                          </a:stretch>
                        </pic:blipFill>
                        <pic:spPr>
                          <a:xfrm>
                            <a:off x="0" y="0"/>
                            <a:ext cx="1400175" cy="619125"/>
                          </a:xfrm>
                          <a:prstGeom prst="rect">
                            <a:avLst/>
                          </a:prstGeom>
                          <a:noFill/>
                          <a:ln>
                            <a:noFill/>
                          </a:ln>
                        </pic:spPr>
                      </pic:pic>
                    </a:graphicData>
                  </a:graphic>
                </wp:inline>
              </w:drawing>
            </w:r>
          </w:p>
          <w:p>
            <w:pPr>
              <w:tabs>
                <w:tab w:val="left" w:pos="103"/>
              </w:tabs>
              <w:autoSpaceDE w:val="0"/>
              <w:autoSpaceDN w:val="0"/>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Pi—第i个污染物的最大地面浓度占标率，%；</w:t>
            </w:r>
          </w:p>
          <w:p>
            <w:pPr>
              <w:tabs>
                <w:tab w:val="left" w:pos="103"/>
              </w:tabs>
              <w:autoSpaceDE w:val="0"/>
              <w:autoSpaceDN w:val="0"/>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Ci—采用估算模式计算出的第i个污染物的最大地面浓度，mg/m</w:t>
            </w:r>
            <w:r>
              <w:rPr>
                <w:rFonts w:hint="default" w:ascii="Times New Roman" w:hAnsi="Times New Roman" w:cs="Times New Roman"/>
                <w:sz w:val="24"/>
                <w:szCs w:val="24"/>
                <w:u w:val="none" w:color="auto"/>
                <w:vertAlign w:val="superscript"/>
                <w:lang w:val="en-US" w:eastAsia="zh-CN"/>
              </w:rPr>
              <w:t>3</w:t>
            </w:r>
            <w:r>
              <w:rPr>
                <w:rFonts w:hint="default" w:ascii="Times New Roman" w:hAnsi="Times New Roman" w:cs="Times New Roman"/>
                <w:sz w:val="24"/>
                <w:szCs w:val="24"/>
                <w:u w:val="none" w:color="auto"/>
                <w:lang w:val="en-US" w:eastAsia="zh-CN"/>
              </w:rPr>
              <w:t>；</w:t>
            </w:r>
          </w:p>
          <w:p>
            <w:pPr>
              <w:tabs>
                <w:tab w:val="left" w:pos="103"/>
              </w:tabs>
              <w:autoSpaceDE w:val="0"/>
              <w:autoSpaceDN w:val="0"/>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C0i—第i 个污染物的环境空气质量标准，mg/m</w:t>
            </w:r>
            <w:r>
              <w:rPr>
                <w:rFonts w:hint="default" w:ascii="Times New Roman" w:hAnsi="Times New Roman" w:cs="Times New Roman"/>
                <w:sz w:val="24"/>
                <w:szCs w:val="24"/>
                <w:u w:val="none" w:color="auto"/>
                <w:vertAlign w:val="superscript"/>
                <w:lang w:val="en-US" w:eastAsia="zh-CN"/>
              </w:rPr>
              <w:t>3</w:t>
            </w:r>
            <w:r>
              <w:rPr>
                <w:rFonts w:hint="default" w:ascii="Times New Roman" w:hAnsi="Times New Roman" w:cs="Times New Roman"/>
                <w:sz w:val="24"/>
                <w:szCs w:val="24"/>
                <w:u w:val="none" w:color="auto"/>
                <w:lang w:val="en-US" w:eastAsia="zh-CN"/>
              </w:rPr>
              <w:t>。</w:t>
            </w:r>
          </w:p>
          <w:p>
            <w:pPr>
              <w:tabs>
                <w:tab w:val="left" w:pos="103"/>
              </w:tabs>
              <w:autoSpaceDE w:val="0"/>
              <w:autoSpaceDN w:val="0"/>
              <w:spacing w:line="360" w:lineRule="auto"/>
              <w:ind w:firstLine="466" w:firstLineChars="200"/>
              <w:jc w:val="center"/>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表7-</w:t>
            </w:r>
            <w:r>
              <w:rPr>
                <w:rFonts w:hint="eastAsia" w:cs="Times New Roman"/>
                <w:sz w:val="24"/>
                <w:szCs w:val="24"/>
                <w:u w:val="none" w:color="auto"/>
                <w:lang w:val="en-US" w:eastAsia="zh-CN"/>
              </w:rPr>
              <w:t>5</w:t>
            </w:r>
            <w:r>
              <w:rPr>
                <w:rFonts w:hint="default" w:ascii="Times New Roman" w:hAnsi="Times New Roman" w:cs="Times New Roman"/>
                <w:sz w:val="24"/>
                <w:szCs w:val="24"/>
                <w:u w:val="none" w:color="auto"/>
                <w:lang w:val="en-US" w:eastAsia="zh-CN"/>
              </w:rPr>
              <w:t xml:space="preserve">  大气环境评价工作等级分级判据</w:t>
            </w:r>
          </w:p>
          <w:tbl>
            <w:tblPr>
              <w:tblStyle w:val="40"/>
              <w:tblW w:w="90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59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noWrap w:val="0"/>
                  <w:vAlign w:val="center"/>
                </w:tcPr>
                <w:p>
                  <w:pPr>
                    <w:tabs>
                      <w:tab w:val="left" w:pos="103"/>
                    </w:tabs>
                    <w:autoSpaceDE w:val="0"/>
                    <w:autoSpaceDN w:val="0"/>
                    <w:spacing w:line="360" w:lineRule="auto"/>
                    <w:ind w:firstLine="426" w:firstLineChars="200"/>
                    <w:jc w:val="center"/>
                    <w:rPr>
                      <w:rFonts w:hint="default" w:ascii="Times New Roman" w:hAnsi="Times New Roman" w:cs="Times New Roman"/>
                      <w:sz w:val="22"/>
                      <w:szCs w:val="22"/>
                      <w:u w:val="none" w:color="auto"/>
                      <w:lang w:val="en-US" w:eastAsia="zh-CN"/>
                    </w:rPr>
                  </w:pPr>
                  <w:r>
                    <w:rPr>
                      <w:rFonts w:hint="default" w:ascii="Times New Roman" w:hAnsi="Times New Roman" w:cs="Times New Roman"/>
                      <w:sz w:val="22"/>
                      <w:szCs w:val="22"/>
                      <w:u w:val="none" w:color="auto"/>
                      <w:lang w:val="en-US" w:eastAsia="zh-CN"/>
                    </w:rPr>
                    <w:t>评价工作等级</w:t>
                  </w:r>
                </w:p>
              </w:tc>
              <w:tc>
                <w:tcPr>
                  <w:tcW w:w="5941" w:type="dxa"/>
                  <w:noWrap w:val="0"/>
                  <w:vAlign w:val="center"/>
                </w:tcPr>
                <w:p>
                  <w:pPr>
                    <w:tabs>
                      <w:tab w:val="left" w:pos="103"/>
                    </w:tabs>
                    <w:autoSpaceDE w:val="0"/>
                    <w:autoSpaceDN w:val="0"/>
                    <w:spacing w:line="360" w:lineRule="auto"/>
                    <w:ind w:firstLine="426" w:firstLineChars="200"/>
                    <w:jc w:val="center"/>
                    <w:rPr>
                      <w:rFonts w:hint="default" w:ascii="Times New Roman" w:hAnsi="Times New Roman" w:cs="Times New Roman"/>
                      <w:sz w:val="22"/>
                      <w:szCs w:val="22"/>
                      <w:u w:val="none" w:color="auto"/>
                      <w:lang w:val="en-US" w:eastAsia="zh-CN"/>
                    </w:rPr>
                  </w:pPr>
                  <w:r>
                    <w:rPr>
                      <w:rFonts w:hint="default" w:ascii="Times New Roman" w:hAnsi="Times New Roman" w:cs="Times New Roman"/>
                      <w:sz w:val="22"/>
                      <w:szCs w:val="22"/>
                      <w:u w:val="none" w:color="auto"/>
                      <w:lang w:val="en-US" w:eastAsia="zh-CN"/>
                    </w:rPr>
                    <w:t>评价工作分级判据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noWrap w:val="0"/>
                  <w:vAlign w:val="center"/>
                </w:tcPr>
                <w:p>
                  <w:pPr>
                    <w:tabs>
                      <w:tab w:val="left" w:pos="103"/>
                    </w:tabs>
                    <w:autoSpaceDE w:val="0"/>
                    <w:autoSpaceDN w:val="0"/>
                    <w:spacing w:line="360" w:lineRule="auto"/>
                    <w:ind w:firstLine="426" w:firstLineChars="200"/>
                    <w:jc w:val="center"/>
                    <w:rPr>
                      <w:rFonts w:hint="default" w:ascii="Times New Roman" w:hAnsi="Times New Roman" w:cs="Times New Roman"/>
                      <w:sz w:val="22"/>
                      <w:szCs w:val="22"/>
                      <w:u w:val="none" w:color="auto"/>
                      <w:lang w:val="en-US" w:eastAsia="zh-CN"/>
                    </w:rPr>
                  </w:pPr>
                  <w:r>
                    <w:rPr>
                      <w:rFonts w:hint="default" w:ascii="Times New Roman" w:hAnsi="Times New Roman" w:cs="Times New Roman"/>
                      <w:sz w:val="22"/>
                      <w:szCs w:val="22"/>
                      <w:u w:val="none" w:color="auto"/>
                      <w:lang w:val="en-US" w:eastAsia="zh-CN"/>
                    </w:rPr>
                    <w:t>一级</w:t>
                  </w:r>
                </w:p>
              </w:tc>
              <w:tc>
                <w:tcPr>
                  <w:tcW w:w="5941" w:type="dxa"/>
                  <w:noWrap w:val="0"/>
                  <w:vAlign w:val="center"/>
                </w:tcPr>
                <w:p>
                  <w:pPr>
                    <w:tabs>
                      <w:tab w:val="left" w:pos="103"/>
                    </w:tabs>
                    <w:autoSpaceDE w:val="0"/>
                    <w:autoSpaceDN w:val="0"/>
                    <w:spacing w:line="360" w:lineRule="auto"/>
                    <w:ind w:firstLine="426" w:firstLineChars="200"/>
                    <w:jc w:val="center"/>
                    <w:rPr>
                      <w:rFonts w:hint="default" w:ascii="Times New Roman" w:hAnsi="Times New Roman" w:cs="Times New Roman"/>
                      <w:sz w:val="22"/>
                      <w:szCs w:val="22"/>
                      <w:u w:val="none" w:color="auto"/>
                      <w:lang w:val="en-US" w:eastAsia="zh-CN"/>
                    </w:rPr>
                  </w:pPr>
                  <w:r>
                    <w:rPr>
                      <w:rFonts w:hint="default" w:ascii="Times New Roman" w:hAnsi="Times New Roman" w:cs="Times New Roman"/>
                      <w:sz w:val="22"/>
                      <w:szCs w:val="22"/>
                      <w:u w:val="none" w:color="auto"/>
                      <w:lang w:val="en-US" w:eastAsia="zh-CN"/>
                    </w:rPr>
                    <w:t>Pmax≥10%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noWrap w:val="0"/>
                  <w:vAlign w:val="center"/>
                </w:tcPr>
                <w:p>
                  <w:pPr>
                    <w:tabs>
                      <w:tab w:val="left" w:pos="103"/>
                    </w:tabs>
                    <w:autoSpaceDE w:val="0"/>
                    <w:autoSpaceDN w:val="0"/>
                    <w:spacing w:line="360" w:lineRule="auto"/>
                    <w:ind w:firstLine="426" w:firstLineChars="200"/>
                    <w:jc w:val="center"/>
                    <w:rPr>
                      <w:rFonts w:hint="default" w:ascii="Times New Roman" w:hAnsi="Times New Roman" w:cs="Times New Roman"/>
                      <w:sz w:val="22"/>
                      <w:szCs w:val="22"/>
                      <w:u w:val="none" w:color="auto"/>
                      <w:lang w:val="en-US" w:eastAsia="zh-CN"/>
                    </w:rPr>
                  </w:pPr>
                  <w:r>
                    <w:rPr>
                      <w:rFonts w:hint="default" w:ascii="Times New Roman" w:hAnsi="Times New Roman" w:cs="Times New Roman"/>
                      <w:sz w:val="22"/>
                      <w:szCs w:val="22"/>
                      <w:u w:val="none" w:color="auto"/>
                      <w:lang w:val="en-US" w:eastAsia="zh-CN"/>
                    </w:rPr>
                    <w:t>二级</w:t>
                  </w:r>
                </w:p>
              </w:tc>
              <w:tc>
                <w:tcPr>
                  <w:tcW w:w="5941" w:type="dxa"/>
                  <w:noWrap w:val="0"/>
                  <w:vAlign w:val="center"/>
                </w:tcPr>
                <w:p>
                  <w:pPr>
                    <w:tabs>
                      <w:tab w:val="left" w:pos="103"/>
                    </w:tabs>
                    <w:autoSpaceDE w:val="0"/>
                    <w:autoSpaceDN w:val="0"/>
                    <w:spacing w:line="360" w:lineRule="auto"/>
                    <w:ind w:firstLine="426" w:firstLineChars="200"/>
                    <w:jc w:val="center"/>
                    <w:rPr>
                      <w:rFonts w:hint="default" w:ascii="Times New Roman" w:hAnsi="Times New Roman" w:cs="Times New Roman"/>
                      <w:sz w:val="22"/>
                      <w:szCs w:val="22"/>
                      <w:u w:val="none" w:color="auto"/>
                      <w:lang w:val="en-US" w:eastAsia="zh-CN"/>
                    </w:rPr>
                  </w:pPr>
                  <w:r>
                    <w:rPr>
                      <w:rFonts w:hint="default" w:ascii="Times New Roman" w:hAnsi="Times New Roman" w:cs="Times New Roman"/>
                      <w:sz w:val="22"/>
                      <w:szCs w:val="22"/>
                      <w:u w:val="none" w:color="auto"/>
                      <w:lang w:val="en-US" w:eastAsia="zh-CN"/>
                    </w:rPr>
                    <w:t>1%≤Pmax＜10%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31" w:type="dxa"/>
                  <w:noWrap w:val="0"/>
                  <w:vAlign w:val="center"/>
                </w:tcPr>
                <w:p>
                  <w:pPr>
                    <w:tabs>
                      <w:tab w:val="left" w:pos="103"/>
                    </w:tabs>
                    <w:autoSpaceDE w:val="0"/>
                    <w:autoSpaceDN w:val="0"/>
                    <w:spacing w:line="360" w:lineRule="auto"/>
                    <w:ind w:firstLine="426" w:firstLineChars="200"/>
                    <w:jc w:val="center"/>
                    <w:rPr>
                      <w:rFonts w:hint="default" w:ascii="Times New Roman" w:hAnsi="Times New Roman" w:cs="Times New Roman"/>
                      <w:sz w:val="22"/>
                      <w:szCs w:val="22"/>
                      <w:u w:val="none" w:color="auto"/>
                      <w:lang w:val="en-US" w:eastAsia="zh-CN"/>
                    </w:rPr>
                  </w:pPr>
                  <w:r>
                    <w:rPr>
                      <w:rFonts w:hint="default" w:ascii="Times New Roman" w:hAnsi="Times New Roman" w:cs="Times New Roman"/>
                      <w:sz w:val="22"/>
                      <w:szCs w:val="22"/>
                      <w:u w:val="none" w:color="auto"/>
                      <w:lang w:val="en-US" w:eastAsia="zh-CN"/>
                    </w:rPr>
                    <w:t>三级</w:t>
                  </w:r>
                </w:p>
              </w:tc>
              <w:tc>
                <w:tcPr>
                  <w:tcW w:w="5941" w:type="dxa"/>
                  <w:noWrap w:val="0"/>
                  <w:vAlign w:val="center"/>
                </w:tcPr>
                <w:p>
                  <w:pPr>
                    <w:tabs>
                      <w:tab w:val="left" w:pos="103"/>
                    </w:tabs>
                    <w:autoSpaceDE w:val="0"/>
                    <w:autoSpaceDN w:val="0"/>
                    <w:spacing w:line="360" w:lineRule="auto"/>
                    <w:ind w:firstLine="426" w:firstLineChars="200"/>
                    <w:jc w:val="center"/>
                    <w:rPr>
                      <w:rFonts w:hint="default" w:ascii="Times New Roman" w:hAnsi="Times New Roman" w:cs="Times New Roman"/>
                      <w:sz w:val="22"/>
                      <w:szCs w:val="22"/>
                      <w:u w:val="none" w:color="auto"/>
                      <w:lang w:val="en-US" w:eastAsia="zh-CN"/>
                    </w:rPr>
                  </w:pPr>
                  <w:r>
                    <w:rPr>
                      <w:rFonts w:hint="default" w:ascii="Times New Roman" w:hAnsi="Times New Roman" w:cs="Times New Roman"/>
                      <w:sz w:val="22"/>
                      <w:szCs w:val="22"/>
                      <w:u w:val="none" w:color="auto"/>
                      <w:lang w:val="en-US" w:eastAsia="zh-CN"/>
                    </w:rPr>
                    <w:t>Pmax＜1%</w:t>
                  </w:r>
                </w:p>
              </w:tc>
            </w:tr>
          </w:tbl>
          <w:p>
            <w:pPr>
              <w:pStyle w:val="182"/>
              <w:spacing w:line="360" w:lineRule="auto"/>
              <w:ind w:firstLine="462"/>
              <w:jc w:val="center"/>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表7-</w:t>
            </w:r>
            <w:r>
              <w:rPr>
                <w:rFonts w:hint="eastAsia" w:ascii="Times New Roman" w:hAnsi="Times New Roman" w:cs="Times New Roman"/>
                <w:sz w:val="24"/>
                <w:szCs w:val="24"/>
                <w:u w:val="none" w:color="auto"/>
                <w:lang w:val="en-US" w:eastAsia="zh-CN"/>
              </w:rPr>
              <w:t>6</w:t>
            </w:r>
            <w:r>
              <w:rPr>
                <w:rFonts w:hint="default" w:ascii="Times New Roman" w:hAnsi="Times New Roman" w:cs="Times New Roman"/>
                <w:sz w:val="24"/>
                <w:szCs w:val="24"/>
                <w:u w:val="none" w:color="auto"/>
              </w:rPr>
              <w:t xml:space="preserve"> 估算模型参数表</w:t>
            </w:r>
          </w:p>
          <w:tbl>
            <w:tblPr>
              <w:tblStyle w:val="40"/>
              <w:tblW w:w="9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08"/>
              <w:gridCol w:w="3008"/>
              <w:gridCol w:w="30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16" w:type="dxa"/>
                  <w:gridSpan w:val="2"/>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参数</w:t>
                  </w:r>
                </w:p>
              </w:tc>
              <w:tc>
                <w:tcPr>
                  <w:tcW w:w="3006" w:type="dxa"/>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08" w:type="dxa"/>
                  <w:vMerge w:val="restart"/>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城市/农村选项</w:t>
                  </w:r>
                </w:p>
              </w:tc>
              <w:tc>
                <w:tcPr>
                  <w:tcW w:w="3008" w:type="dxa"/>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城市/农村</w:t>
                  </w:r>
                </w:p>
              </w:tc>
              <w:tc>
                <w:tcPr>
                  <w:tcW w:w="3006" w:type="dxa"/>
                  <w:vAlign w:val="center"/>
                </w:tcPr>
                <w:p>
                  <w:pPr>
                    <w:pStyle w:val="182"/>
                    <w:spacing w:line="360" w:lineRule="auto"/>
                    <w:ind w:firstLine="0" w:firstLineChars="0"/>
                    <w:jc w:val="center"/>
                    <w:rPr>
                      <w:rFonts w:hint="default" w:ascii="Times New Roman" w:hAnsi="Times New Roman" w:cs="Times New Roman"/>
                      <w:sz w:val="22"/>
                      <w:szCs w:val="22"/>
                      <w:u w:val="none" w:color="auto"/>
                      <w:lang w:eastAsia="zh-CN"/>
                    </w:rPr>
                  </w:pPr>
                  <w:r>
                    <w:rPr>
                      <w:rFonts w:hint="default" w:ascii="Times New Roman" w:hAnsi="Times New Roman" w:cs="Times New Roman"/>
                      <w:sz w:val="22"/>
                      <w:szCs w:val="22"/>
                      <w:u w:val="none" w:color="auto"/>
                      <w:lang w:eastAsia="zh-CN"/>
                    </w:rPr>
                    <w:t>农村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08" w:type="dxa"/>
                  <w:vMerge w:val="continue"/>
                  <w:vAlign w:val="center"/>
                </w:tcPr>
                <w:p>
                  <w:pPr>
                    <w:pStyle w:val="182"/>
                    <w:spacing w:line="360" w:lineRule="auto"/>
                    <w:ind w:firstLine="0" w:firstLineChars="0"/>
                    <w:jc w:val="center"/>
                    <w:rPr>
                      <w:rFonts w:hint="default" w:ascii="Times New Roman" w:hAnsi="Times New Roman" w:cs="Times New Roman"/>
                      <w:sz w:val="22"/>
                      <w:szCs w:val="22"/>
                      <w:u w:val="none" w:color="auto"/>
                    </w:rPr>
                  </w:pPr>
                </w:p>
              </w:tc>
              <w:tc>
                <w:tcPr>
                  <w:tcW w:w="3008" w:type="dxa"/>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人口数（城市选项时）</w:t>
                  </w:r>
                </w:p>
              </w:tc>
              <w:tc>
                <w:tcPr>
                  <w:tcW w:w="3006" w:type="dxa"/>
                  <w:vAlign w:val="center"/>
                </w:tcPr>
                <w:p>
                  <w:pPr>
                    <w:pStyle w:val="182"/>
                    <w:spacing w:line="360" w:lineRule="auto"/>
                    <w:ind w:firstLine="0" w:firstLineChars="0"/>
                    <w:jc w:val="center"/>
                    <w:rPr>
                      <w:rFonts w:hint="default" w:ascii="Times New Roman" w:hAnsi="Times New Roman" w:cs="Times New Roman"/>
                      <w:sz w:val="22"/>
                      <w:szCs w:val="22"/>
                      <w:u w:val="none" w:color="auto"/>
                      <w:lang w:eastAsia="zh-CN"/>
                    </w:rPr>
                  </w:pPr>
                  <w:r>
                    <w:rPr>
                      <w:rFonts w:hint="default" w:ascii="Times New Roman" w:hAnsi="Times New Roman" w:cs="Times New Roman"/>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16" w:type="dxa"/>
                  <w:gridSpan w:val="2"/>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最高环境温度/℃</w:t>
                  </w:r>
                </w:p>
              </w:tc>
              <w:tc>
                <w:tcPr>
                  <w:tcW w:w="3006" w:type="dxa"/>
                  <w:vAlign w:val="center"/>
                </w:tcPr>
                <w:p>
                  <w:pPr>
                    <w:pStyle w:val="182"/>
                    <w:spacing w:line="360" w:lineRule="auto"/>
                    <w:ind w:firstLine="0" w:firstLineChars="0"/>
                    <w:jc w:val="center"/>
                    <w:rPr>
                      <w:rFonts w:hint="default" w:ascii="Times New Roman" w:hAnsi="Times New Roman" w:eastAsia="宋体" w:cs="Times New Roman"/>
                      <w:sz w:val="22"/>
                      <w:szCs w:val="22"/>
                      <w:u w:val="none" w:color="auto"/>
                      <w:lang w:val="en-US" w:eastAsia="zh-CN"/>
                    </w:rPr>
                  </w:pPr>
                  <w:r>
                    <w:rPr>
                      <w:rFonts w:hint="eastAsia" w:ascii="Times New Roman" w:hAnsi="Times New Roman" w:cs="Times New Roman"/>
                      <w:sz w:val="22"/>
                      <w:szCs w:val="22"/>
                      <w:u w:val="none" w:color="auto"/>
                      <w:lang w:val="en-US" w:eastAsia="zh-CN"/>
                    </w:rPr>
                    <w:t>38.4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16" w:type="dxa"/>
                  <w:gridSpan w:val="2"/>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最低环境温度/℃</w:t>
                  </w:r>
                </w:p>
              </w:tc>
              <w:tc>
                <w:tcPr>
                  <w:tcW w:w="3006" w:type="dxa"/>
                  <w:vAlign w:val="center"/>
                </w:tcPr>
                <w:p>
                  <w:pPr>
                    <w:pStyle w:val="182"/>
                    <w:spacing w:line="360" w:lineRule="auto"/>
                    <w:ind w:firstLine="0" w:firstLineChars="0"/>
                    <w:jc w:val="center"/>
                    <w:rPr>
                      <w:rFonts w:hint="default" w:ascii="Times New Roman" w:hAnsi="Times New Roman" w:eastAsia="宋体" w:cs="Times New Roman"/>
                      <w:sz w:val="22"/>
                      <w:szCs w:val="22"/>
                      <w:u w:val="none" w:color="auto"/>
                      <w:lang w:val="en-US" w:eastAsia="zh-CN"/>
                    </w:rPr>
                  </w:pPr>
                  <w:r>
                    <w:rPr>
                      <w:rFonts w:hint="eastAsia" w:ascii="Times New Roman" w:hAnsi="Times New Roman" w:cs="Times New Roman"/>
                      <w:sz w:val="22"/>
                      <w:szCs w:val="22"/>
                      <w:u w:val="none" w:color="auto"/>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16" w:type="dxa"/>
                  <w:gridSpan w:val="2"/>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土地利用类型</w:t>
                  </w:r>
                </w:p>
              </w:tc>
              <w:tc>
                <w:tcPr>
                  <w:tcW w:w="3006" w:type="dxa"/>
                  <w:vAlign w:val="center"/>
                </w:tcPr>
                <w:p>
                  <w:pPr>
                    <w:pStyle w:val="182"/>
                    <w:spacing w:line="360" w:lineRule="auto"/>
                    <w:ind w:firstLine="0" w:firstLineChars="0"/>
                    <w:jc w:val="center"/>
                    <w:rPr>
                      <w:rFonts w:hint="eastAsia" w:ascii="Times New Roman" w:hAnsi="Times New Roman" w:eastAsia="宋体" w:cs="Times New Roman"/>
                      <w:sz w:val="22"/>
                      <w:szCs w:val="22"/>
                      <w:u w:val="none" w:color="auto"/>
                      <w:lang w:eastAsia="zh-CN"/>
                    </w:rPr>
                  </w:pPr>
                  <w:r>
                    <w:rPr>
                      <w:rFonts w:hint="eastAsia" w:ascii="Times New Roman" w:hAnsi="Times New Roman" w:cs="Times New Roman"/>
                      <w:sz w:val="22"/>
                      <w:szCs w:val="22"/>
                      <w:u w:val="none" w:color="auto"/>
                      <w:lang w:eastAsia="zh-CN"/>
                    </w:rPr>
                    <w:t>工业用地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016" w:type="dxa"/>
                  <w:gridSpan w:val="2"/>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区域湿度条件</w:t>
                  </w:r>
                </w:p>
              </w:tc>
              <w:tc>
                <w:tcPr>
                  <w:tcW w:w="3006" w:type="dxa"/>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潮湿气候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08" w:type="dxa"/>
                  <w:vMerge w:val="restart"/>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是否考虑地形</w:t>
                  </w:r>
                </w:p>
              </w:tc>
              <w:tc>
                <w:tcPr>
                  <w:tcW w:w="3008" w:type="dxa"/>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考虑地形</w:t>
                  </w:r>
                </w:p>
              </w:tc>
              <w:tc>
                <w:tcPr>
                  <w:tcW w:w="3006" w:type="dxa"/>
                  <w:vAlign w:val="center"/>
                </w:tcPr>
                <w:p>
                  <w:pPr>
                    <w:pStyle w:val="182"/>
                    <w:spacing w:line="360" w:lineRule="auto"/>
                    <w:ind w:firstLine="0" w:firstLineChars="0"/>
                    <w:jc w:val="center"/>
                    <w:rPr>
                      <w:rFonts w:hint="eastAsia" w:ascii="Times New Roman" w:hAnsi="Times New Roman" w:eastAsia="宋体" w:cs="Times New Roman"/>
                      <w:sz w:val="22"/>
                      <w:szCs w:val="22"/>
                      <w:u w:val="none" w:color="auto"/>
                      <w:lang w:val="en-US" w:eastAsia="zh-CN"/>
                    </w:rPr>
                  </w:pPr>
                  <w:r>
                    <w:rPr>
                      <w:rFonts w:hint="eastAsia" w:ascii="Times New Roman" w:hAnsi="Times New Roman" w:cs="Times New Roman"/>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08" w:type="dxa"/>
                  <w:vMerge w:val="continue"/>
                  <w:vAlign w:val="center"/>
                </w:tcPr>
                <w:p>
                  <w:pPr>
                    <w:pStyle w:val="182"/>
                    <w:spacing w:line="360" w:lineRule="auto"/>
                    <w:ind w:firstLine="0" w:firstLineChars="0"/>
                    <w:jc w:val="center"/>
                    <w:rPr>
                      <w:rFonts w:hint="default" w:ascii="Times New Roman" w:hAnsi="Times New Roman" w:cs="Times New Roman"/>
                      <w:sz w:val="22"/>
                      <w:szCs w:val="22"/>
                      <w:u w:val="none" w:color="auto"/>
                    </w:rPr>
                  </w:pPr>
                </w:p>
              </w:tc>
              <w:tc>
                <w:tcPr>
                  <w:tcW w:w="3008" w:type="dxa"/>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地形数据分辨率/m</w:t>
                  </w:r>
                </w:p>
              </w:tc>
              <w:tc>
                <w:tcPr>
                  <w:tcW w:w="3006" w:type="dxa"/>
                  <w:vAlign w:val="center"/>
                </w:tcPr>
                <w:p>
                  <w:pPr>
                    <w:pStyle w:val="182"/>
                    <w:spacing w:line="360" w:lineRule="auto"/>
                    <w:ind w:firstLine="0" w:firstLineChars="0"/>
                    <w:jc w:val="center"/>
                    <w:rPr>
                      <w:rFonts w:hint="eastAsia" w:ascii="Times New Roman" w:hAnsi="Times New Roman" w:eastAsia="宋体" w:cs="Times New Roman"/>
                      <w:sz w:val="22"/>
                      <w:szCs w:val="22"/>
                      <w:u w:val="none" w:color="auto"/>
                      <w:lang w:val="en-US" w:eastAsia="zh-CN"/>
                    </w:rPr>
                  </w:pPr>
                  <w:r>
                    <w:rPr>
                      <w:rFonts w:hint="eastAsia" w:ascii="Times New Roman" w:hAnsi="Times New Roman" w:cs="Times New Roman"/>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08" w:type="dxa"/>
                  <w:vMerge w:val="restart"/>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是否考虑岸线熏烟</w:t>
                  </w:r>
                </w:p>
              </w:tc>
              <w:tc>
                <w:tcPr>
                  <w:tcW w:w="3008" w:type="dxa"/>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考虑岸线熏烟</w:t>
                  </w:r>
                </w:p>
              </w:tc>
              <w:tc>
                <w:tcPr>
                  <w:tcW w:w="3006" w:type="dxa"/>
                  <w:vAlign w:val="center"/>
                </w:tcPr>
                <w:p>
                  <w:pPr>
                    <w:pStyle w:val="182"/>
                    <w:spacing w:line="360" w:lineRule="auto"/>
                    <w:ind w:firstLine="0" w:firstLineChars="0"/>
                    <w:jc w:val="center"/>
                    <w:rPr>
                      <w:rFonts w:hint="eastAsia" w:ascii="Times New Roman" w:hAnsi="Times New Roman" w:eastAsia="宋体" w:cs="Times New Roman"/>
                      <w:sz w:val="22"/>
                      <w:szCs w:val="22"/>
                      <w:u w:val="none" w:color="auto"/>
                      <w:lang w:val="en-US" w:eastAsia="zh-CN"/>
                    </w:rPr>
                  </w:pPr>
                  <w:r>
                    <w:rPr>
                      <w:rFonts w:hint="eastAsia" w:ascii="Times New Roman" w:hAnsi="Times New Roman" w:cs="Times New Roman"/>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08" w:type="dxa"/>
                  <w:vMerge w:val="continue"/>
                  <w:vAlign w:val="center"/>
                </w:tcPr>
                <w:p>
                  <w:pPr>
                    <w:pStyle w:val="182"/>
                    <w:spacing w:line="360" w:lineRule="auto"/>
                    <w:ind w:firstLine="0" w:firstLineChars="0"/>
                    <w:jc w:val="center"/>
                    <w:rPr>
                      <w:rFonts w:hint="default" w:ascii="Times New Roman" w:hAnsi="Times New Roman" w:cs="Times New Roman"/>
                      <w:sz w:val="22"/>
                      <w:szCs w:val="22"/>
                      <w:u w:val="none" w:color="auto"/>
                    </w:rPr>
                  </w:pPr>
                </w:p>
              </w:tc>
              <w:tc>
                <w:tcPr>
                  <w:tcW w:w="3008" w:type="dxa"/>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岸线距离/km</w:t>
                  </w:r>
                </w:p>
              </w:tc>
              <w:tc>
                <w:tcPr>
                  <w:tcW w:w="3006" w:type="dxa"/>
                  <w:vAlign w:val="center"/>
                </w:tcPr>
                <w:p>
                  <w:pPr>
                    <w:pStyle w:val="182"/>
                    <w:spacing w:line="360" w:lineRule="auto"/>
                    <w:ind w:firstLine="0" w:firstLineChars="0"/>
                    <w:jc w:val="center"/>
                    <w:rPr>
                      <w:rFonts w:hint="eastAsia" w:ascii="Times New Roman" w:hAnsi="Times New Roman" w:eastAsia="宋体" w:cs="Times New Roman"/>
                      <w:sz w:val="22"/>
                      <w:szCs w:val="22"/>
                      <w:u w:val="none" w:color="auto"/>
                      <w:lang w:val="en-US" w:eastAsia="zh-CN"/>
                    </w:rPr>
                  </w:pPr>
                  <w:r>
                    <w:rPr>
                      <w:rFonts w:hint="eastAsia" w:ascii="Times New Roman" w:hAnsi="Times New Roman" w:cs="Times New Roman"/>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008" w:type="dxa"/>
                  <w:vMerge w:val="continue"/>
                  <w:vAlign w:val="center"/>
                </w:tcPr>
                <w:p>
                  <w:pPr>
                    <w:pStyle w:val="182"/>
                    <w:spacing w:line="360" w:lineRule="auto"/>
                    <w:ind w:firstLine="0" w:firstLineChars="0"/>
                    <w:jc w:val="center"/>
                    <w:rPr>
                      <w:rFonts w:hint="default" w:ascii="Times New Roman" w:hAnsi="Times New Roman" w:cs="Times New Roman"/>
                      <w:sz w:val="22"/>
                      <w:szCs w:val="22"/>
                      <w:u w:val="none" w:color="auto"/>
                    </w:rPr>
                  </w:pPr>
                </w:p>
              </w:tc>
              <w:tc>
                <w:tcPr>
                  <w:tcW w:w="3008" w:type="dxa"/>
                  <w:vAlign w:val="center"/>
                </w:tcPr>
                <w:p>
                  <w:pPr>
                    <w:pStyle w:val="182"/>
                    <w:spacing w:line="360" w:lineRule="auto"/>
                    <w:ind w:firstLine="0" w:firstLineChars="0"/>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岸线方向/°</w:t>
                  </w:r>
                </w:p>
              </w:tc>
              <w:tc>
                <w:tcPr>
                  <w:tcW w:w="3006" w:type="dxa"/>
                  <w:vAlign w:val="center"/>
                </w:tcPr>
                <w:p>
                  <w:pPr>
                    <w:pStyle w:val="182"/>
                    <w:spacing w:line="360" w:lineRule="auto"/>
                    <w:ind w:firstLine="0" w:firstLineChars="0"/>
                    <w:jc w:val="center"/>
                    <w:rPr>
                      <w:rFonts w:hint="eastAsia" w:ascii="Times New Roman" w:hAnsi="Times New Roman" w:eastAsia="宋体" w:cs="Times New Roman"/>
                      <w:sz w:val="22"/>
                      <w:szCs w:val="22"/>
                      <w:u w:val="none" w:color="auto"/>
                      <w:lang w:val="en-US" w:eastAsia="zh-CN"/>
                    </w:rPr>
                  </w:pPr>
                  <w:r>
                    <w:rPr>
                      <w:rFonts w:hint="eastAsia" w:ascii="Times New Roman" w:hAnsi="Times New Roman" w:cs="Times New Roman"/>
                      <w:sz w:val="22"/>
                      <w:szCs w:val="22"/>
                      <w:u w:val="none" w:color="auto"/>
                      <w:lang w:val="en-US" w:eastAsia="zh-CN"/>
                    </w:rPr>
                    <w:t>/</w:t>
                  </w:r>
                </w:p>
              </w:tc>
            </w:tr>
          </w:tbl>
          <w:p>
            <w:pPr>
              <w:tabs>
                <w:tab w:val="left" w:pos="103"/>
              </w:tabs>
              <w:autoSpaceDE w:val="0"/>
              <w:autoSpaceDN w:val="0"/>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Calibri" w:hAnsi="Calibri" w:cs="Calibri"/>
                <w:sz w:val="24"/>
                <w:szCs w:val="24"/>
                <w:u w:val="none" w:color="auto"/>
                <w:lang w:val="en-US" w:eastAsia="zh-CN"/>
              </w:rPr>
              <w:t>②</w:t>
            </w:r>
            <w:r>
              <w:rPr>
                <w:rFonts w:hint="default" w:ascii="Times New Roman" w:hAnsi="Times New Roman" w:cs="Times New Roman"/>
                <w:sz w:val="24"/>
                <w:szCs w:val="24"/>
                <w:u w:val="none" w:color="auto"/>
                <w:lang w:val="en-US" w:eastAsia="zh-CN"/>
              </w:rPr>
              <w:t>预测结果</w:t>
            </w:r>
          </w:p>
          <w:p>
            <w:pPr>
              <w:tabs>
                <w:tab w:val="left" w:pos="103"/>
              </w:tabs>
              <w:autoSpaceDE w:val="0"/>
              <w:autoSpaceDN w:val="0"/>
              <w:spacing w:line="360" w:lineRule="auto"/>
              <w:ind w:firstLine="466" w:firstLineChars="200"/>
              <w:jc w:val="both"/>
              <w:rPr>
                <w:rFonts w:hint="default" w:ascii="Times New Roman" w:hAnsi="Times New Roman" w:cs="Times New Roman"/>
                <w:sz w:val="24"/>
                <w:szCs w:val="24"/>
                <w:u w:val="none" w:color="auto"/>
                <w:lang w:val="en-US" w:eastAsia="zh-CN"/>
              </w:rPr>
            </w:pPr>
            <w:r>
              <w:rPr>
                <w:rFonts w:hint="default" w:ascii="Times New Roman" w:hAnsi="Times New Roman" w:cs="Times New Roman"/>
                <w:sz w:val="24"/>
                <w:szCs w:val="24"/>
                <w:u w:val="none" w:color="auto"/>
                <w:lang w:val="en-US" w:eastAsia="zh-CN"/>
              </w:rPr>
              <w:t>采用《环境影响评价技术导则-大气环境》（HJ2.2-2018）中推荐的估算模式—AERSCREEN进行估算，预测结果见</w:t>
            </w:r>
            <w:r>
              <w:rPr>
                <w:rFonts w:hint="eastAsia" w:cs="Times New Roman"/>
                <w:sz w:val="24"/>
                <w:szCs w:val="24"/>
                <w:u w:val="none" w:color="auto"/>
                <w:lang w:val="en-US" w:eastAsia="zh-CN"/>
              </w:rPr>
              <w:t>下</w:t>
            </w:r>
            <w:r>
              <w:rPr>
                <w:rFonts w:hint="default" w:ascii="Times New Roman" w:hAnsi="Times New Roman" w:cs="Times New Roman"/>
                <w:sz w:val="24"/>
                <w:szCs w:val="24"/>
                <w:u w:val="none" w:color="auto"/>
                <w:lang w:val="en-US" w:eastAsia="zh-CN"/>
              </w:rPr>
              <w:t>表</w:t>
            </w:r>
            <w:r>
              <w:rPr>
                <w:rFonts w:hint="eastAsia" w:cs="Times New Roman"/>
                <w:sz w:val="24"/>
                <w:szCs w:val="24"/>
                <w:u w:val="none" w:color="auto"/>
                <w:lang w:val="en-US" w:eastAsia="zh-CN"/>
              </w:rPr>
              <w:t>。</w:t>
            </w:r>
          </w:p>
          <w:p>
            <w:pPr>
              <w:pStyle w:val="188"/>
              <w:bidi w:val="0"/>
              <w:rPr>
                <w:rFonts w:hint="default" w:ascii="Times New Roman" w:hAnsi="Times New Roman" w:cs="Times New Roman"/>
                <w:color w:val="auto"/>
                <w:sz w:val="24"/>
                <w:szCs w:val="24"/>
                <w:u w:val="none" w:color="auto"/>
                <w:lang w:val="en-US" w:eastAsia="zh-CN"/>
              </w:rPr>
            </w:pPr>
            <w:r>
              <w:rPr>
                <w:rFonts w:hint="eastAsia"/>
                <w:color w:val="auto"/>
                <w:u w:val="none" w:color="auto"/>
              </w:rPr>
              <w:t>表7-</w:t>
            </w:r>
            <w:r>
              <w:rPr>
                <w:rFonts w:hint="eastAsia"/>
                <w:color w:val="auto"/>
                <w:u w:val="none" w:color="auto"/>
                <w:lang w:val="en-US" w:eastAsia="zh-CN"/>
              </w:rPr>
              <w:t>7</w:t>
            </w:r>
            <w:r>
              <w:rPr>
                <w:rFonts w:hint="eastAsia"/>
                <w:color w:val="auto"/>
                <w:u w:val="none" w:color="auto"/>
              </w:rPr>
              <w:t xml:space="preserve">  项目大气污染物最大地面浓度预测</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795"/>
              <w:gridCol w:w="906"/>
              <w:gridCol w:w="734"/>
              <w:gridCol w:w="1558"/>
              <w:gridCol w:w="1185"/>
              <w:gridCol w:w="983"/>
              <w:gridCol w:w="897"/>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89" w:type="dxa"/>
                  <w:tcBorders>
                    <w:tl2br w:val="nil"/>
                    <w:tr2bl w:val="nil"/>
                  </w:tcBorders>
                  <w:noWrap w:val="0"/>
                  <w:vAlign w:val="center"/>
                </w:tcPr>
                <w:p>
                  <w:pPr>
                    <w:pStyle w:val="186"/>
                    <w:bidi w:val="0"/>
                    <w:jc w:val="center"/>
                    <w:rPr>
                      <w:color w:val="auto"/>
                      <w:sz w:val="22"/>
                      <w:szCs w:val="22"/>
                      <w:u w:val="none" w:color="auto"/>
                      <w:lang w:eastAsia="zh-CN"/>
                    </w:rPr>
                  </w:pPr>
                  <w:r>
                    <w:rPr>
                      <w:rFonts w:hint="eastAsia"/>
                      <w:color w:val="auto"/>
                      <w:sz w:val="22"/>
                      <w:szCs w:val="22"/>
                      <w:u w:val="none" w:color="auto"/>
                      <w:lang w:eastAsia="zh-CN"/>
                    </w:rPr>
                    <w:t>污染源</w:t>
                  </w:r>
                </w:p>
              </w:tc>
              <w:tc>
                <w:tcPr>
                  <w:tcW w:w="795" w:type="dxa"/>
                  <w:tcBorders>
                    <w:tl2br w:val="nil"/>
                    <w:tr2bl w:val="nil"/>
                  </w:tcBorders>
                  <w:noWrap w:val="0"/>
                  <w:vAlign w:val="center"/>
                </w:tcPr>
                <w:p>
                  <w:pPr>
                    <w:pStyle w:val="186"/>
                    <w:bidi w:val="0"/>
                    <w:jc w:val="center"/>
                    <w:rPr>
                      <w:color w:val="auto"/>
                      <w:sz w:val="22"/>
                      <w:szCs w:val="22"/>
                      <w:u w:val="none" w:color="auto"/>
                      <w:lang w:eastAsia="zh-CN"/>
                    </w:rPr>
                  </w:pPr>
                  <w:r>
                    <w:rPr>
                      <w:rFonts w:hint="eastAsia"/>
                      <w:color w:val="auto"/>
                      <w:sz w:val="22"/>
                      <w:szCs w:val="22"/>
                      <w:u w:val="none" w:color="auto"/>
                      <w:lang w:eastAsia="zh-CN"/>
                    </w:rPr>
                    <w:t>类型</w:t>
                  </w:r>
                </w:p>
              </w:tc>
              <w:tc>
                <w:tcPr>
                  <w:tcW w:w="1640" w:type="dxa"/>
                  <w:gridSpan w:val="2"/>
                  <w:tcBorders>
                    <w:tl2br w:val="nil"/>
                    <w:tr2bl w:val="nil"/>
                  </w:tcBorders>
                  <w:noWrap w:val="0"/>
                  <w:vAlign w:val="center"/>
                </w:tcPr>
                <w:p>
                  <w:pPr>
                    <w:pStyle w:val="186"/>
                    <w:bidi w:val="0"/>
                    <w:jc w:val="center"/>
                    <w:rPr>
                      <w:color w:val="auto"/>
                      <w:sz w:val="22"/>
                      <w:szCs w:val="22"/>
                      <w:u w:val="none" w:color="auto"/>
                      <w:lang w:eastAsia="zh-CN"/>
                    </w:rPr>
                  </w:pPr>
                  <w:r>
                    <w:rPr>
                      <w:rFonts w:hint="eastAsia"/>
                      <w:color w:val="auto"/>
                      <w:sz w:val="22"/>
                      <w:szCs w:val="22"/>
                      <w:u w:val="none" w:color="auto"/>
                      <w:lang w:eastAsia="zh-CN"/>
                    </w:rPr>
                    <w:t>标准（</w:t>
                  </w:r>
                  <w:r>
                    <w:rPr>
                      <w:color w:val="auto"/>
                      <w:sz w:val="22"/>
                      <w:szCs w:val="22"/>
                      <w:u w:val="none" w:color="auto"/>
                      <w:lang w:eastAsia="zh-CN"/>
                    </w:rPr>
                    <w:t>μ</w:t>
                  </w:r>
                  <w:r>
                    <w:rPr>
                      <w:rFonts w:hint="eastAsia"/>
                      <w:color w:val="auto"/>
                      <w:sz w:val="22"/>
                      <w:szCs w:val="22"/>
                      <w:u w:val="none" w:color="auto"/>
                      <w:lang w:eastAsia="zh-CN"/>
                    </w:rPr>
                    <w:t>g/m</w:t>
                  </w:r>
                  <w:r>
                    <w:rPr>
                      <w:rFonts w:hint="eastAsia"/>
                      <w:color w:val="auto"/>
                      <w:sz w:val="22"/>
                      <w:szCs w:val="22"/>
                      <w:u w:val="none" w:color="auto"/>
                      <w:vertAlign w:val="superscript"/>
                      <w:lang w:eastAsia="zh-CN"/>
                    </w:rPr>
                    <w:t>3</w:t>
                  </w:r>
                  <w:r>
                    <w:rPr>
                      <w:rFonts w:hint="eastAsia"/>
                      <w:color w:val="auto"/>
                      <w:sz w:val="22"/>
                      <w:szCs w:val="22"/>
                      <w:u w:val="none" w:color="auto"/>
                      <w:lang w:eastAsia="zh-CN"/>
                    </w:rPr>
                    <w:t>）</w:t>
                  </w:r>
                </w:p>
              </w:tc>
              <w:tc>
                <w:tcPr>
                  <w:tcW w:w="1558" w:type="dxa"/>
                  <w:tcBorders>
                    <w:tl2br w:val="nil"/>
                    <w:tr2bl w:val="nil"/>
                  </w:tcBorders>
                  <w:noWrap w:val="0"/>
                  <w:vAlign w:val="center"/>
                </w:tcPr>
                <w:p>
                  <w:pPr>
                    <w:pStyle w:val="186"/>
                    <w:bidi w:val="0"/>
                    <w:jc w:val="center"/>
                    <w:rPr>
                      <w:rFonts w:hint="eastAsia"/>
                      <w:color w:val="auto"/>
                      <w:sz w:val="22"/>
                      <w:szCs w:val="22"/>
                      <w:u w:val="none" w:color="auto"/>
                    </w:rPr>
                  </w:pPr>
                  <w:r>
                    <w:rPr>
                      <w:rFonts w:hint="eastAsia"/>
                      <w:color w:val="auto"/>
                      <w:sz w:val="22"/>
                      <w:szCs w:val="22"/>
                      <w:u w:val="none" w:color="auto"/>
                    </w:rPr>
                    <w:t>最大落地浓度</w:t>
                  </w:r>
                </w:p>
                <w:p>
                  <w:pPr>
                    <w:pStyle w:val="186"/>
                    <w:bidi w:val="0"/>
                    <w:jc w:val="center"/>
                    <w:rPr>
                      <w:rFonts w:hint="eastAsia"/>
                      <w:color w:val="auto"/>
                      <w:sz w:val="22"/>
                      <w:szCs w:val="22"/>
                      <w:u w:val="none" w:color="auto"/>
                    </w:rPr>
                  </w:pPr>
                  <w:r>
                    <w:rPr>
                      <w:rFonts w:hint="eastAsia"/>
                      <w:color w:val="auto"/>
                      <w:sz w:val="22"/>
                      <w:szCs w:val="22"/>
                      <w:u w:val="none" w:color="auto"/>
                    </w:rPr>
                    <w:t>（</w:t>
                  </w:r>
                  <w:r>
                    <w:rPr>
                      <w:color w:val="auto"/>
                      <w:sz w:val="22"/>
                      <w:szCs w:val="22"/>
                      <w:u w:val="none" w:color="auto"/>
                    </w:rPr>
                    <w:t>μ</w:t>
                  </w:r>
                  <w:r>
                    <w:rPr>
                      <w:rFonts w:hint="eastAsia"/>
                      <w:color w:val="auto"/>
                      <w:sz w:val="22"/>
                      <w:szCs w:val="22"/>
                      <w:u w:val="none" w:color="auto"/>
                    </w:rPr>
                    <w:t>g/m</w:t>
                  </w:r>
                  <w:r>
                    <w:rPr>
                      <w:rFonts w:hint="eastAsia"/>
                      <w:color w:val="auto"/>
                      <w:sz w:val="22"/>
                      <w:szCs w:val="22"/>
                      <w:u w:val="none" w:color="auto"/>
                      <w:vertAlign w:val="superscript"/>
                    </w:rPr>
                    <w:t>3</w:t>
                  </w:r>
                  <w:r>
                    <w:rPr>
                      <w:rFonts w:hint="eastAsia"/>
                      <w:color w:val="auto"/>
                      <w:sz w:val="22"/>
                      <w:szCs w:val="22"/>
                      <w:u w:val="none" w:color="auto"/>
                    </w:rPr>
                    <w:t>）</w:t>
                  </w:r>
                </w:p>
              </w:tc>
              <w:tc>
                <w:tcPr>
                  <w:tcW w:w="1185" w:type="dxa"/>
                  <w:tcBorders>
                    <w:tl2br w:val="nil"/>
                    <w:tr2bl w:val="nil"/>
                  </w:tcBorders>
                  <w:noWrap w:val="0"/>
                  <w:vAlign w:val="center"/>
                </w:tcPr>
                <w:p>
                  <w:pPr>
                    <w:pStyle w:val="186"/>
                    <w:bidi w:val="0"/>
                    <w:jc w:val="center"/>
                    <w:rPr>
                      <w:rFonts w:hint="eastAsia"/>
                      <w:color w:val="auto"/>
                      <w:sz w:val="22"/>
                      <w:szCs w:val="22"/>
                      <w:u w:val="none" w:color="auto"/>
                      <w:lang w:eastAsia="zh-CN"/>
                    </w:rPr>
                  </w:pPr>
                  <w:r>
                    <w:rPr>
                      <w:rFonts w:hint="eastAsia"/>
                      <w:color w:val="auto"/>
                      <w:sz w:val="22"/>
                      <w:szCs w:val="22"/>
                      <w:u w:val="none" w:color="auto"/>
                      <w:lang w:eastAsia="zh-CN"/>
                    </w:rPr>
                    <w:t>出现距离</w:t>
                  </w:r>
                </w:p>
                <w:p>
                  <w:pPr>
                    <w:pStyle w:val="186"/>
                    <w:bidi w:val="0"/>
                    <w:jc w:val="center"/>
                    <w:rPr>
                      <w:color w:val="auto"/>
                      <w:sz w:val="22"/>
                      <w:szCs w:val="22"/>
                      <w:u w:val="none" w:color="auto"/>
                    </w:rPr>
                  </w:pPr>
                  <w:r>
                    <w:rPr>
                      <w:rFonts w:hint="eastAsia"/>
                      <w:color w:val="auto"/>
                      <w:sz w:val="22"/>
                      <w:szCs w:val="22"/>
                      <w:u w:val="none" w:color="auto"/>
                    </w:rPr>
                    <w:t>（m）</w:t>
                  </w:r>
                </w:p>
              </w:tc>
              <w:tc>
                <w:tcPr>
                  <w:tcW w:w="983" w:type="dxa"/>
                  <w:tcBorders>
                    <w:tl2br w:val="nil"/>
                    <w:tr2bl w:val="nil"/>
                  </w:tcBorders>
                  <w:noWrap w:val="0"/>
                  <w:vAlign w:val="center"/>
                </w:tcPr>
                <w:p>
                  <w:pPr>
                    <w:pStyle w:val="186"/>
                    <w:bidi w:val="0"/>
                    <w:jc w:val="center"/>
                    <w:rPr>
                      <w:color w:val="auto"/>
                      <w:sz w:val="22"/>
                      <w:szCs w:val="22"/>
                      <w:u w:val="none" w:color="auto"/>
                      <w:lang w:eastAsia="zh-CN"/>
                    </w:rPr>
                  </w:pPr>
                  <w:r>
                    <w:rPr>
                      <w:color w:val="auto"/>
                      <w:sz w:val="22"/>
                      <w:szCs w:val="22"/>
                      <w:u w:val="none" w:color="auto"/>
                      <w:lang w:eastAsia="zh-CN"/>
                    </w:rPr>
                    <w:t>占标率</w:t>
                  </w:r>
                </w:p>
                <w:p>
                  <w:pPr>
                    <w:pStyle w:val="186"/>
                    <w:bidi w:val="0"/>
                    <w:jc w:val="center"/>
                    <w:rPr>
                      <w:color w:val="auto"/>
                      <w:sz w:val="22"/>
                      <w:szCs w:val="22"/>
                      <w:u w:val="none" w:color="auto"/>
                    </w:rPr>
                  </w:pPr>
                  <w:r>
                    <w:rPr>
                      <w:color w:val="auto"/>
                      <w:sz w:val="22"/>
                      <w:szCs w:val="22"/>
                      <w:u w:val="none" w:color="auto"/>
                    </w:rPr>
                    <w:t>（%）</w:t>
                  </w:r>
                </w:p>
              </w:tc>
              <w:tc>
                <w:tcPr>
                  <w:tcW w:w="897" w:type="dxa"/>
                  <w:tcBorders>
                    <w:tl2br w:val="nil"/>
                    <w:tr2bl w:val="nil"/>
                  </w:tcBorders>
                  <w:noWrap w:val="0"/>
                  <w:vAlign w:val="center"/>
                </w:tcPr>
                <w:p>
                  <w:pPr>
                    <w:pStyle w:val="186"/>
                    <w:bidi w:val="0"/>
                    <w:jc w:val="center"/>
                    <w:rPr>
                      <w:rFonts w:hint="eastAsia"/>
                      <w:color w:val="auto"/>
                      <w:sz w:val="22"/>
                      <w:szCs w:val="22"/>
                      <w:u w:val="none" w:color="auto"/>
                      <w:lang w:eastAsia="zh-CN"/>
                    </w:rPr>
                  </w:pPr>
                  <w:r>
                    <w:rPr>
                      <w:rFonts w:hint="eastAsia"/>
                      <w:color w:val="auto"/>
                      <w:sz w:val="22"/>
                      <w:szCs w:val="22"/>
                      <w:u w:val="none" w:color="auto"/>
                      <w:lang w:eastAsia="zh-CN"/>
                    </w:rPr>
                    <w:t>Pmax</w:t>
                  </w:r>
                </w:p>
                <w:p>
                  <w:pPr>
                    <w:pStyle w:val="186"/>
                    <w:bidi w:val="0"/>
                    <w:jc w:val="center"/>
                    <w:rPr>
                      <w:color w:val="auto"/>
                      <w:sz w:val="22"/>
                      <w:szCs w:val="22"/>
                      <w:u w:val="none" w:color="auto"/>
                    </w:rPr>
                  </w:pPr>
                  <w:r>
                    <w:rPr>
                      <w:rFonts w:hint="eastAsia"/>
                      <w:color w:val="auto"/>
                      <w:sz w:val="22"/>
                      <w:szCs w:val="22"/>
                      <w:u w:val="none" w:color="auto"/>
                    </w:rPr>
                    <w:t>（%）</w:t>
                  </w:r>
                </w:p>
              </w:tc>
              <w:tc>
                <w:tcPr>
                  <w:tcW w:w="895" w:type="dxa"/>
                  <w:tcBorders>
                    <w:tl2br w:val="nil"/>
                    <w:tr2bl w:val="nil"/>
                  </w:tcBorders>
                  <w:noWrap w:val="0"/>
                  <w:vAlign w:val="center"/>
                </w:tcPr>
                <w:p>
                  <w:pPr>
                    <w:pStyle w:val="186"/>
                    <w:bidi w:val="0"/>
                    <w:jc w:val="center"/>
                    <w:rPr>
                      <w:rFonts w:hint="eastAsia"/>
                      <w:color w:val="auto"/>
                      <w:sz w:val="22"/>
                      <w:szCs w:val="22"/>
                      <w:u w:val="none" w:color="auto"/>
                    </w:rPr>
                  </w:pPr>
                  <w:r>
                    <w:rPr>
                      <w:rFonts w:hint="eastAsia"/>
                      <w:color w:val="auto"/>
                      <w:sz w:val="22"/>
                      <w:szCs w:val="22"/>
                      <w:u w:val="none" w:color="auto"/>
                    </w:rPr>
                    <w:t>D10%</w:t>
                  </w:r>
                </w:p>
                <w:p>
                  <w:pPr>
                    <w:pStyle w:val="186"/>
                    <w:bidi w:val="0"/>
                    <w:jc w:val="center"/>
                    <w:rPr>
                      <w:rFonts w:hint="eastAsia"/>
                      <w:color w:val="auto"/>
                      <w:sz w:val="22"/>
                      <w:szCs w:val="22"/>
                      <w:u w:val="none" w:color="auto"/>
                    </w:rPr>
                  </w:pPr>
                  <w:r>
                    <w:rPr>
                      <w:rFonts w:hint="eastAsia"/>
                      <w:color w:val="auto"/>
                      <w:sz w:val="22"/>
                      <w:szCs w:val="22"/>
                      <w:u w:val="none" w:color="auto"/>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89" w:type="dxa"/>
                  <w:tcBorders>
                    <w:tl2br w:val="nil"/>
                    <w:tr2bl w:val="nil"/>
                  </w:tcBorders>
                  <w:noWrap w:val="0"/>
                  <w:vAlign w:val="center"/>
                </w:tcPr>
                <w:p>
                  <w:pPr>
                    <w:pStyle w:val="186"/>
                    <w:bidi w:val="0"/>
                    <w:jc w:val="center"/>
                    <w:rPr>
                      <w:rFonts w:hint="eastAsia"/>
                      <w:color w:val="auto"/>
                      <w:sz w:val="22"/>
                      <w:szCs w:val="22"/>
                      <w:u w:val="none" w:color="auto"/>
                    </w:rPr>
                  </w:pPr>
                  <w:r>
                    <w:rPr>
                      <w:rFonts w:hint="eastAsia"/>
                      <w:color w:val="auto"/>
                      <w:sz w:val="22"/>
                      <w:szCs w:val="22"/>
                      <w:u w:val="none" w:color="auto"/>
                      <w:lang w:eastAsia="zh-CN"/>
                    </w:rPr>
                    <w:t>模压成型废气</w:t>
                  </w:r>
                  <w:r>
                    <w:rPr>
                      <w:rFonts w:hint="eastAsia"/>
                      <w:color w:val="auto"/>
                      <w:sz w:val="22"/>
                      <w:szCs w:val="22"/>
                      <w:u w:val="none" w:color="auto"/>
                    </w:rPr>
                    <w:t>排气筒</w:t>
                  </w:r>
                </w:p>
              </w:tc>
              <w:tc>
                <w:tcPr>
                  <w:tcW w:w="795" w:type="dxa"/>
                  <w:tcBorders>
                    <w:tl2br w:val="nil"/>
                    <w:tr2bl w:val="nil"/>
                  </w:tcBorders>
                  <w:noWrap w:val="0"/>
                  <w:vAlign w:val="center"/>
                </w:tcPr>
                <w:p>
                  <w:pPr>
                    <w:pStyle w:val="186"/>
                    <w:bidi w:val="0"/>
                    <w:jc w:val="center"/>
                    <w:rPr>
                      <w:rFonts w:hint="eastAsia"/>
                      <w:color w:val="auto"/>
                      <w:sz w:val="22"/>
                      <w:szCs w:val="22"/>
                      <w:u w:val="none" w:color="auto"/>
                    </w:rPr>
                  </w:pPr>
                  <w:r>
                    <w:rPr>
                      <w:rFonts w:hint="eastAsia"/>
                      <w:color w:val="auto"/>
                      <w:sz w:val="22"/>
                      <w:szCs w:val="22"/>
                      <w:u w:val="none" w:color="auto"/>
                    </w:rPr>
                    <w:t>点源</w:t>
                  </w:r>
                </w:p>
              </w:tc>
              <w:tc>
                <w:tcPr>
                  <w:tcW w:w="906" w:type="dxa"/>
                  <w:tcBorders>
                    <w:tl2br w:val="nil"/>
                    <w:tr2bl w:val="nil"/>
                  </w:tcBorders>
                  <w:noWrap w:val="0"/>
                  <w:vAlign w:val="center"/>
                </w:tcPr>
                <w:p>
                  <w:pPr>
                    <w:pStyle w:val="186"/>
                    <w:bidi w:val="0"/>
                    <w:jc w:val="center"/>
                    <w:rPr>
                      <w:rFonts w:hint="default"/>
                      <w:color w:val="auto"/>
                      <w:sz w:val="22"/>
                      <w:szCs w:val="22"/>
                      <w:u w:val="none" w:color="auto"/>
                      <w:lang w:val="en-US" w:eastAsia="zh-CN"/>
                    </w:rPr>
                  </w:pPr>
                  <w:r>
                    <w:rPr>
                      <w:rFonts w:hint="eastAsia"/>
                      <w:color w:val="auto"/>
                      <w:sz w:val="22"/>
                      <w:szCs w:val="22"/>
                      <w:u w:val="none" w:color="auto"/>
                      <w:lang w:val="en-US" w:eastAsia="zh-CN"/>
                    </w:rPr>
                    <w:t>非甲烷总烃</w:t>
                  </w:r>
                </w:p>
              </w:tc>
              <w:tc>
                <w:tcPr>
                  <w:tcW w:w="734" w:type="dxa"/>
                  <w:tcBorders>
                    <w:tl2br w:val="nil"/>
                    <w:tr2bl w:val="nil"/>
                  </w:tcBorders>
                  <w:noWrap w:val="0"/>
                  <w:vAlign w:val="center"/>
                </w:tcPr>
                <w:p>
                  <w:pPr>
                    <w:pStyle w:val="186"/>
                    <w:bidi w:val="0"/>
                    <w:jc w:val="center"/>
                    <w:rPr>
                      <w:rFonts w:hint="default"/>
                      <w:color w:val="auto"/>
                      <w:sz w:val="22"/>
                      <w:szCs w:val="22"/>
                      <w:u w:val="none" w:color="auto"/>
                      <w:lang w:val="en-US" w:eastAsia="zh-CN"/>
                    </w:rPr>
                  </w:pPr>
                  <w:r>
                    <w:rPr>
                      <w:rFonts w:hint="eastAsia"/>
                      <w:color w:val="auto"/>
                      <w:sz w:val="22"/>
                      <w:szCs w:val="22"/>
                      <w:u w:val="none" w:color="auto"/>
                      <w:lang w:val="en-US" w:eastAsia="zh-CN"/>
                    </w:rPr>
                    <w:t>1200</w:t>
                  </w:r>
                </w:p>
              </w:tc>
              <w:tc>
                <w:tcPr>
                  <w:tcW w:w="1558" w:type="dxa"/>
                  <w:tcBorders>
                    <w:tl2br w:val="nil"/>
                    <w:tr2bl w:val="nil"/>
                  </w:tcBorders>
                  <w:noWrap w:val="0"/>
                  <w:vAlign w:val="center"/>
                </w:tcPr>
                <w:p>
                  <w:pPr>
                    <w:pStyle w:val="186"/>
                    <w:bidi w:val="0"/>
                    <w:jc w:val="center"/>
                    <w:rPr>
                      <w:rFonts w:hint="default" w:ascii="Times New Roman" w:hAnsi="Times New Roman"/>
                      <w:color w:val="auto"/>
                      <w:kern w:val="2"/>
                      <w:sz w:val="22"/>
                      <w:szCs w:val="22"/>
                      <w:u w:val="none" w:color="auto"/>
                      <w:lang w:val="en-US" w:eastAsia="zh-CN" w:bidi="ar-SA"/>
                    </w:rPr>
                  </w:pPr>
                  <w:r>
                    <w:rPr>
                      <w:rFonts w:hint="eastAsia" w:ascii="Times New Roman" w:hAnsi="Times New Roman"/>
                      <w:color w:val="auto"/>
                      <w:kern w:val="2"/>
                      <w:sz w:val="22"/>
                      <w:szCs w:val="22"/>
                      <w:u w:val="none" w:color="auto"/>
                      <w:lang w:val="en-US" w:eastAsia="zh-CN" w:bidi="ar-SA"/>
                    </w:rPr>
                    <w:t>0.9326</w:t>
                  </w:r>
                </w:p>
              </w:tc>
              <w:tc>
                <w:tcPr>
                  <w:tcW w:w="1185" w:type="dxa"/>
                  <w:tcBorders>
                    <w:tl2br w:val="nil"/>
                    <w:tr2bl w:val="nil"/>
                  </w:tcBorders>
                  <w:noWrap w:val="0"/>
                  <w:vAlign w:val="center"/>
                </w:tcPr>
                <w:p>
                  <w:pPr>
                    <w:pStyle w:val="186"/>
                    <w:bidi w:val="0"/>
                    <w:jc w:val="center"/>
                    <w:rPr>
                      <w:rFonts w:hint="default" w:ascii="Times New Roman" w:hAnsi="Times New Roman"/>
                      <w:color w:val="auto"/>
                      <w:kern w:val="2"/>
                      <w:sz w:val="22"/>
                      <w:szCs w:val="22"/>
                      <w:u w:val="none" w:color="auto"/>
                      <w:lang w:val="en-US" w:eastAsia="zh-CN" w:bidi="ar-SA"/>
                    </w:rPr>
                  </w:pPr>
                  <w:r>
                    <w:rPr>
                      <w:rFonts w:hint="eastAsia" w:ascii="Times New Roman" w:hAnsi="Times New Roman"/>
                      <w:color w:val="auto"/>
                      <w:kern w:val="2"/>
                      <w:sz w:val="22"/>
                      <w:szCs w:val="22"/>
                      <w:u w:val="none" w:color="auto"/>
                      <w:lang w:val="en-US" w:eastAsia="zh-CN" w:bidi="ar-SA"/>
                    </w:rPr>
                    <w:t>142</w:t>
                  </w:r>
                </w:p>
              </w:tc>
              <w:tc>
                <w:tcPr>
                  <w:tcW w:w="983" w:type="dxa"/>
                  <w:tcBorders>
                    <w:tl2br w:val="nil"/>
                    <w:tr2bl w:val="nil"/>
                  </w:tcBorders>
                  <w:noWrap w:val="0"/>
                  <w:vAlign w:val="center"/>
                </w:tcPr>
                <w:p>
                  <w:pPr>
                    <w:pStyle w:val="186"/>
                    <w:bidi w:val="0"/>
                    <w:jc w:val="center"/>
                    <w:rPr>
                      <w:rFonts w:hint="default" w:ascii="Times New Roman" w:hAnsi="Times New Roman"/>
                      <w:color w:val="auto"/>
                      <w:kern w:val="2"/>
                      <w:sz w:val="22"/>
                      <w:szCs w:val="22"/>
                      <w:u w:val="none" w:color="auto"/>
                      <w:lang w:val="en-US" w:eastAsia="zh-CN" w:bidi="ar-SA"/>
                    </w:rPr>
                  </w:pPr>
                  <w:r>
                    <w:rPr>
                      <w:rFonts w:hint="eastAsia" w:ascii="Times New Roman" w:hAnsi="Times New Roman"/>
                      <w:color w:val="auto"/>
                      <w:kern w:val="2"/>
                      <w:sz w:val="22"/>
                      <w:szCs w:val="22"/>
                      <w:u w:val="none" w:color="auto"/>
                      <w:lang w:val="en-US" w:eastAsia="zh-CN" w:bidi="ar-SA"/>
                    </w:rPr>
                    <w:t>0.65</w:t>
                  </w:r>
                </w:p>
              </w:tc>
              <w:tc>
                <w:tcPr>
                  <w:tcW w:w="897" w:type="dxa"/>
                  <w:vMerge w:val="restart"/>
                  <w:tcBorders>
                    <w:tl2br w:val="nil"/>
                    <w:tr2bl w:val="nil"/>
                  </w:tcBorders>
                  <w:noWrap w:val="0"/>
                  <w:vAlign w:val="center"/>
                </w:tcPr>
                <w:p>
                  <w:pPr>
                    <w:pStyle w:val="186"/>
                    <w:bidi w:val="0"/>
                    <w:jc w:val="center"/>
                    <w:rPr>
                      <w:rFonts w:hint="default"/>
                      <w:color w:val="auto"/>
                      <w:sz w:val="22"/>
                      <w:szCs w:val="22"/>
                      <w:u w:val="none" w:color="auto"/>
                      <w:lang w:val="en-US" w:eastAsia="zh-CN"/>
                    </w:rPr>
                  </w:pPr>
                  <w:r>
                    <w:rPr>
                      <w:rFonts w:hint="eastAsia"/>
                      <w:color w:val="auto"/>
                      <w:sz w:val="22"/>
                      <w:szCs w:val="22"/>
                      <w:u w:val="none" w:color="auto"/>
                      <w:lang w:val="en-US" w:eastAsia="zh-CN"/>
                    </w:rPr>
                    <w:t>0.86</w:t>
                  </w:r>
                </w:p>
              </w:tc>
              <w:tc>
                <w:tcPr>
                  <w:tcW w:w="895" w:type="dxa"/>
                  <w:tcBorders>
                    <w:tl2br w:val="nil"/>
                    <w:tr2bl w:val="nil"/>
                  </w:tcBorders>
                  <w:noWrap w:val="0"/>
                  <w:vAlign w:val="center"/>
                </w:tcPr>
                <w:p>
                  <w:pPr>
                    <w:pStyle w:val="186"/>
                    <w:bidi w:val="0"/>
                    <w:jc w:val="center"/>
                    <w:rPr>
                      <w:rFonts w:hint="eastAsia"/>
                      <w:color w:val="auto"/>
                      <w:sz w:val="22"/>
                      <w:szCs w:val="22"/>
                      <w:u w:val="none" w:color="auto"/>
                      <w:lang w:val="en-US" w:eastAsia="zh-CN"/>
                    </w:rPr>
                  </w:pPr>
                  <w:r>
                    <w:rPr>
                      <w:rFonts w:hint="eastAsia"/>
                      <w:color w:val="auto"/>
                      <w:sz w:val="22"/>
                      <w:szCs w:val="22"/>
                      <w:u w:val="non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9" w:type="dxa"/>
                  <w:tcBorders>
                    <w:tl2br w:val="nil"/>
                    <w:tr2bl w:val="nil"/>
                  </w:tcBorders>
                  <w:noWrap w:val="0"/>
                  <w:vAlign w:val="center"/>
                </w:tcPr>
                <w:p>
                  <w:pPr>
                    <w:pStyle w:val="186"/>
                    <w:jc w:val="center"/>
                    <w:rPr>
                      <w:rFonts w:hint="default" w:ascii="Times New Roman" w:hAnsi="Times New Roman"/>
                      <w:color w:val="auto"/>
                      <w:kern w:val="2"/>
                      <w:sz w:val="22"/>
                      <w:szCs w:val="22"/>
                      <w:u w:val="none" w:color="auto"/>
                      <w:lang w:val="en-US" w:eastAsia="zh-CN" w:bidi="ar-SA"/>
                    </w:rPr>
                  </w:pPr>
                  <w:r>
                    <w:rPr>
                      <w:rFonts w:hint="eastAsia" w:ascii="Times New Roman" w:hAnsi="Times New Roman"/>
                      <w:color w:val="auto"/>
                      <w:kern w:val="2"/>
                      <w:sz w:val="22"/>
                      <w:szCs w:val="22"/>
                      <w:u w:val="none" w:color="auto"/>
                      <w:lang w:val="en-US" w:eastAsia="zh-CN" w:bidi="ar-SA"/>
                    </w:rPr>
                    <w:t>模压成型无组织废气</w:t>
                  </w:r>
                </w:p>
              </w:tc>
              <w:tc>
                <w:tcPr>
                  <w:tcW w:w="795" w:type="dxa"/>
                  <w:tcBorders>
                    <w:tl2br w:val="nil"/>
                    <w:tr2bl w:val="nil"/>
                  </w:tcBorders>
                  <w:noWrap w:val="0"/>
                  <w:vAlign w:val="center"/>
                </w:tcPr>
                <w:p>
                  <w:pPr>
                    <w:pStyle w:val="186"/>
                    <w:bidi w:val="0"/>
                    <w:jc w:val="center"/>
                    <w:rPr>
                      <w:rFonts w:hint="eastAsia"/>
                      <w:color w:val="auto"/>
                      <w:sz w:val="22"/>
                      <w:szCs w:val="22"/>
                      <w:u w:val="none" w:color="auto"/>
                    </w:rPr>
                  </w:pPr>
                  <w:r>
                    <w:rPr>
                      <w:rFonts w:hint="eastAsia"/>
                      <w:color w:val="auto"/>
                      <w:sz w:val="22"/>
                      <w:szCs w:val="22"/>
                      <w:u w:val="none" w:color="auto"/>
                    </w:rPr>
                    <w:t>面源</w:t>
                  </w:r>
                </w:p>
              </w:tc>
              <w:tc>
                <w:tcPr>
                  <w:tcW w:w="906" w:type="dxa"/>
                  <w:tcBorders>
                    <w:tl2br w:val="nil"/>
                    <w:tr2bl w:val="nil"/>
                  </w:tcBorders>
                  <w:noWrap w:val="0"/>
                  <w:vAlign w:val="center"/>
                </w:tcPr>
                <w:p>
                  <w:pPr>
                    <w:pStyle w:val="186"/>
                    <w:bidi w:val="0"/>
                    <w:jc w:val="center"/>
                    <w:rPr>
                      <w:rFonts w:hint="eastAsia"/>
                      <w:color w:val="auto"/>
                      <w:sz w:val="22"/>
                      <w:szCs w:val="22"/>
                      <w:u w:val="none" w:color="auto"/>
                      <w:lang w:val="en-US" w:eastAsia="zh-CN"/>
                    </w:rPr>
                  </w:pPr>
                  <w:r>
                    <w:rPr>
                      <w:rFonts w:hint="eastAsia"/>
                      <w:color w:val="auto"/>
                      <w:sz w:val="22"/>
                      <w:szCs w:val="22"/>
                      <w:u w:val="none" w:color="auto"/>
                      <w:lang w:val="en-US" w:eastAsia="zh-CN"/>
                    </w:rPr>
                    <w:t>非甲烷总烃</w:t>
                  </w:r>
                </w:p>
              </w:tc>
              <w:tc>
                <w:tcPr>
                  <w:tcW w:w="734" w:type="dxa"/>
                  <w:tcBorders>
                    <w:tl2br w:val="nil"/>
                    <w:tr2bl w:val="nil"/>
                  </w:tcBorders>
                  <w:noWrap w:val="0"/>
                  <w:vAlign w:val="center"/>
                </w:tcPr>
                <w:p>
                  <w:pPr>
                    <w:pStyle w:val="186"/>
                    <w:bidi w:val="0"/>
                    <w:jc w:val="center"/>
                    <w:rPr>
                      <w:rFonts w:hint="default"/>
                      <w:color w:val="auto"/>
                      <w:sz w:val="22"/>
                      <w:szCs w:val="22"/>
                      <w:u w:val="none" w:color="auto"/>
                      <w:lang w:val="en-US" w:eastAsia="zh-CN"/>
                    </w:rPr>
                  </w:pPr>
                  <w:r>
                    <w:rPr>
                      <w:rFonts w:hint="eastAsia"/>
                      <w:color w:val="auto"/>
                      <w:sz w:val="22"/>
                      <w:szCs w:val="22"/>
                      <w:u w:val="none" w:color="auto"/>
                      <w:lang w:val="en-US" w:eastAsia="zh-CN"/>
                    </w:rPr>
                    <w:t>1200</w:t>
                  </w:r>
                </w:p>
              </w:tc>
              <w:tc>
                <w:tcPr>
                  <w:tcW w:w="1558" w:type="dxa"/>
                  <w:tcBorders>
                    <w:tl2br w:val="nil"/>
                    <w:tr2bl w:val="nil"/>
                  </w:tcBorders>
                  <w:noWrap w:val="0"/>
                  <w:vAlign w:val="center"/>
                </w:tcPr>
                <w:p>
                  <w:pPr>
                    <w:pStyle w:val="186"/>
                    <w:bidi w:val="0"/>
                    <w:jc w:val="center"/>
                    <w:rPr>
                      <w:rFonts w:hint="default"/>
                      <w:color w:val="auto"/>
                      <w:sz w:val="22"/>
                      <w:szCs w:val="22"/>
                      <w:u w:val="none" w:color="auto"/>
                      <w:lang w:val="en-US" w:eastAsia="zh-CN"/>
                    </w:rPr>
                  </w:pPr>
                  <w:r>
                    <w:rPr>
                      <w:rFonts w:hint="eastAsia"/>
                      <w:color w:val="auto"/>
                      <w:sz w:val="22"/>
                      <w:szCs w:val="22"/>
                      <w:u w:val="none" w:color="auto"/>
                      <w:lang w:val="en-US" w:eastAsia="zh-CN"/>
                    </w:rPr>
                    <w:t>0.3254</w:t>
                  </w:r>
                </w:p>
              </w:tc>
              <w:tc>
                <w:tcPr>
                  <w:tcW w:w="1185" w:type="dxa"/>
                  <w:tcBorders>
                    <w:tl2br w:val="nil"/>
                    <w:tr2bl w:val="nil"/>
                  </w:tcBorders>
                  <w:noWrap w:val="0"/>
                  <w:vAlign w:val="center"/>
                </w:tcPr>
                <w:p>
                  <w:pPr>
                    <w:pStyle w:val="186"/>
                    <w:bidi w:val="0"/>
                    <w:jc w:val="center"/>
                    <w:rPr>
                      <w:rFonts w:hint="default"/>
                      <w:color w:val="auto"/>
                      <w:sz w:val="22"/>
                      <w:szCs w:val="22"/>
                      <w:u w:val="none" w:color="auto"/>
                      <w:lang w:val="en-US" w:eastAsia="zh-CN"/>
                    </w:rPr>
                  </w:pPr>
                  <w:r>
                    <w:rPr>
                      <w:rFonts w:hint="eastAsia"/>
                      <w:color w:val="auto"/>
                      <w:sz w:val="22"/>
                      <w:szCs w:val="22"/>
                      <w:u w:val="none" w:color="auto"/>
                      <w:lang w:val="en-US" w:eastAsia="zh-CN"/>
                    </w:rPr>
                    <w:t>76</w:t>
                  </w:r>
                </w:p>
              </w:tc>
              <w:tc>
                <w:tcPr>
                  <w:tcW w:w="983" w:type="dxa"/>
                  <w:tcBorders>
                    <w:tl2br w:val="nil"/>
                    <w:tr2bl w:val="nil"/>
                  </w:tcBorders>
                  <w:noWrap w:val="0"/>
                  <w:vAlign w:val="center"/>
                </w:tcPr>
                <w:p>
                  <w:pPr>
                    <w:pStyle w:val="186"/>
                    <w:bidi w:val="0"/>
                    <w:jc w:val="center"/>
                    <w:rPr>
                      <w:rFonts w:hint="default"/>
                      <w:color w:val="auto"/>
                      <w:sz w:val="22"/>
                      <w:szCs w:val="22"/>
                      <w:u w:val="none" w:color="auto"/>
                      <w:lang w:val="en-US" w:eastAsia="zh-CN"/>
                    </w:rPr>
                  </w:pPr>
                  <w:r>
                    <w:rPr>
                      <w:rFonts w:hint="eastAsia"/>
                      <w:color w:val="auto"/>
                      <w:sz w:val="22"/>
                      <w:szCs w:val="22"/>
                      <w:u w:val="none" w:color="auto"/>
                      <w:lang w:val="en-US" w:eastAsia="zh-CN"/>
                    </w:rPr>
                    <w:t>0.86</w:t>
                  </w:r>
                </w:p>
              </w:tc>
              <w:tc>
                <w:tcPr>
                  <w:tcW w:w="897" w:type="dxa"/>
                  <w:vMerge w:val="continue"/>
                  <w:tcBorders>
                    <w:tl2br w:val="nil"/>
                    <w:tr2bl w:val="nil"/>
                  </w:tcBorders>
                  <w:noWrap w:val="0"/>
                  <w:vAlign w:val="center"/>
                </w:tcPr>
                <w:p>
                  <w:pPr>
                    <w:pStyle w:val="186"/>
                    <w:bidi w:val="0"/>
                    <w:jc w:val="center"/>
                    <w:rPr>
                      <w:rFonts w:hint="eastAsia"/>
                      <w:color w:val="auto"/>
                      <w:sz w:val="22"/>
                      <w:szCs w:val="22"/>
                      <w:u w:val="none" w:color="auto"/>
                      <w:lang w:val="en-US" w:eastAsia="zh-CN"/>
                    </w:rPr>
                  </w:pPr>
                </w:p>
              </w:tc>
              <w:tc>
                <w:tcPr>
                  <w:tcW w:w="895" w:type="dxa"/>
                  <w:tcBorders>
                    <w:tl2br w:val="nil"/>
                    <w:tr2bl w:val="nil"/>
                  </w:tcBorders>
                  <w:noWrap w:val="0"/>
                  <w:vAlign w:val="center"/>
                </w:tcPr>
                <w:p>
                  <w:pPr>
                    <w:pStyle w:val="186"/>
                    <w:bidi w:val="0"/>
                    <w:jc w:val="center"/>
                    <w:rPr>
                      <w:rFonts w:hint="eastAsia"/>
                      <w:color w:val="auto"/>
                      <w:sz w:val="22"/>
                      <w:szCs w:val="22"/>
                      <w:u w:val="none" w:color="auto"/>
                      <w:lang w:val="en-US" w:eastAsia="zh-CN"/>
                    </w:rPr>
                  </w:pPr>
                  <w:r>
                    <w:rPr>
                      <w:rFonts w:hint="eastAsia"/>
                      <w:color w:val="auto"/>
                      <w:sz w:val="22"/>
                      <w:szCs w:val="22"/>
                      <w:u w:val="none" w:color="auto"/>
                      <w:lang w:eastAsia="zh-CN"/>
                    </w:rPr>
                    <w:t>/</w:t>
                  </w:r>
                </w:p>
              </w:tc>
            </w:tr>
          </w:tbl>
          <w:p>
            <w:pPr>
              <w:spacing w:line="360" w:lineRule="auto"/>
              <w:ind w:firstLine="466" w:firstLineChars="200"/>
              <w:outlineLvl w:val="9"/>
              <w:rPr>
                <w:rFonts w:hint="default" w:ascii="Times New Roman" w:hAnsi="Times New Roman" w:eastAsia="宋体" w:cs="Times New Roman"/>
                <w:color w:val="auto"/>
                <w:sz w:val="24"/>
                <w:szCs w:val="24"/>
                <w:u w:val="none" w:color="auto"/>
              </w:rPr>
            </w:pPr>
            <w:r>
              <w:rPr>
                <w:rFonts w:hint="default" w:ascii="Times New Roman" w:hAnsi="Times New Roman" w:cs="Times New Roman"/>
                <w:color w:val="auto"/>
                <w:sz w:val="24"/>
                <w:szCs w:val="24"/>
                <w:u w:val="none" w:color="auto"/>
                <w:lang w:val="en-US" w:eastAsia="zh-CN"/>
              </w:rPr>
              <w:t>由表7-</w:t>
            </w:r>
            <w:r>
              <w:rPr>
                <w:rFonts w:hint="eastAsia" w:cs="Times New Roman"/>
                <w:color w:val="auto"/>
                <w:sz w:val="24"/>
                <w:szCs w:val="24"/>
                <w:u w:val="none" w:color="auto"/>
                <w:lang w:val="en-US" w:eastAsia="zh-CN"/>
              </w:rPr>
              <w:t>7</w:t>
            </w:r>
            <w:r>
              <w:rPr>
                <w:rFonts w:hint="default" w:ascii="Times New Roman" w:hAnsi="Times New Roman" w:cs="Times New Roman"/>
                <w:color w:val="auto"/>
                <w:sz w:val="24"/>
                <w:szCs w:val="24"/>
                <w:u w:val="none" w:color="auto"/>
                <w:lang w:val="en-US" w:eastAsia="zh-CN"/>
              </w:rPr>
              <w:t>可以看出，项目各大气污染物下风向最大占标率</w:t>
            </w:r>
            <w:r>
              <w:rPr>
                <w:rFonts w:hint="eastAsia" w:ascii="Times New Roman" w:hAnsi="Times New Roman" w:cs="Times New Roman"/>
                <w:color w:val="auto"/>
                <w:sz w:val="24"/>
                <w:szCs w:val="24"/>
                <w:u w:val="none" w:color="auto"/>
                <w:lang w:val="en-US" w:eastAsia="zh-CN"/>
              </w:rPr>
              <w:t>小</w:t>
            </w:r>
            <w:r>
              <w:rPr>
                <w:rFonts w:hint="default" w:ascii="Times New Roman" w:hAnsi="Times New Roman" w:cs="Times New Roman"/>
                <w:color w:val="auto"/>
                <w:sz w:val="24"/>
                <w:szCs w:val="24"/>
                <w:u w:val="none" w:color="auto"/>
                <w:lang w:val="en-US" w:eastAsia="zh-CN"/>
              </w:rPr>
              <w:t>于相应环境质量标准的1%，确定本项目环境空气影响评价等级为</w:t>
            </w:r>
            <w:r>
              <w:rPr>
                <w:rFonts w:hint="eastAsia" w:ascii="Times New Roman" w:hAnsi="Times New Roman" w:cs="Times New Roman"/>
                <w:color w:val="auto"/>
                <w:sz w:val="24"/>
                <w:szCs w:val="24"/>
                <w:u w:val="none" w:color="auto"/>
                <w:lang w:val="en-US" w:eastAsia="zh-CN"/>
              </w:rPr>
              <w:t>三</w:t>
            </w:r>
            <w:r>
              <w:rPr>
                <w:rFonts w:hint="default" w:ascii="Times New Roman" w:hAnsi="Times New Roman" w:cs="Times New Roman"/>
                <w:color w:val="auto"/>
                <w:sz w:val="24"/>
                <w:szCs w:val="24"/>
                <w:u w:val="none" w:color="auto"/>
                <w:lang w:val="en-US" w:eastAsia="zh-CN"/>
              </w:rPr>
              <w:t>级。正常工况下，排放的大气污染物贡献值较小，污染物下风向最大浓度均小于标准要求，因此，项目正常情况排放的大气污染物对大气环境影响较小</w:t>
            </w:r>
            <w:r>
              <w:rPr>
                <w:rFonts w:hint="default" w:ascii="Times New Roman" w:hAnsi="Times New Roman" w:eastAsia="宋体" w:cs="Times New Roman"/>
                <w:color w:val="auto"/>
                <w:sz w:val="24"/>
                <w:szCs w:val="24"/>
                <w:u w:val="none" w:color="auto"/>
              </w:rPr>
              <w:t>。</w:t>
            </w:r>
          </w:p>
          <w:p>
            <w:pPr>
              <w:spacing w:line="360" w:lineRule="auto"/>
              <w:ind w:firstLine="466" w:firstLineChars="200"/>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（2）影响预测分析</w:t>
            </w:r>
          </w:p>
          <w:p>
            <w:pPr>
              <w:spacing w:line="360" w:lineRule="auto"/>
              <w:ind w:firstLine="466" w:firstLineChars="200"/>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根据《环境影响评价技术导则―大气环境》(HJ2.2-2018)，</w:t>
            </w:r>
            <w:r>
              <w:rPr>
                <w:rFonts w:hint="eastAsia" w:ascii="Times New Roman" w:hAnsi="Times New Roman" w:eastAsia="宋体" w:cs="Times New Roman"/>
                <w:color w:val="auto"/>
                <w:sz w:val="24"/>
                <w:szCs w:val="24"/>
                <w:u w:val="none" w:color="auto"/>
                <w:lang w:eastAsia="zh-CN"/>
              </w:rPr>
              <w:t>三</w:t>
            </w:r>
            <w:r>
              <w:rPr>
                <w:rFonts w:hint="default" w:ascii="Times New Roman" w:hAnsi="Times New Roman" w:eastAsia="宋体" w:cs="Times New Roman"/>
                <w:color w:val="auto"/>
                <w:sz w:val="24"/>
                <w:szCs w:val="24"/>
                <w:u w:val="none" w:color="auto"/>
              </w:rPr>
              <w:t>级评价项目不进行进一步预测与评价，只对污染物排放量进行核算。</w:t>
            </w:r>
          </w:p>
          <w:p>
            <w:pPr>
              <w:spacing w:line="360" w:lineRule="auto"/>
              <w:ind w:firstLine="466" w:firstLineChars="200"/>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（3）大气环境影响评价结论与建议</w:t>
            </w:r>
          </w:p>
          <w:p>
            <w:pPr>
              <w:spacing w:line="360" w:lineRule="auto"/>
              <w:ind w:firstLine="466" w:firstLineChars="200"/>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A、大气环境影响评价结论</w:t>
            </w:r>
          </w:p>
          <w:p>
            <w:pPr>
              <w:spacing w:line="360" w:lineRule="auto"/>
              <w:ind w:firstLine="466" w:firstLineChars="200"/>
              <w:rPr>
                <w:rFonts w:hint="default" w:ascii="Times New Roman" w:hAnsi="Times New Roman" w:eastAsia="宋体" w:cs="Times New Roman"/>
                <w:color w:val="auto"/>
                <w:sz w:val="24"/>
                <w:szCs w:val="24"/>
                <w:u w:val="none" w:color="auto"/>
              </w:rPr>
            </w:pPr>
            <w:r>
              <w:rPr>
                <w:rFonts w:hint="default" w:ascii="Times New Roman" w:hAnsi="Times New Roman" w:eastAsia="宋体" w:cs="Times New Roman"/>
                <w:color w:val="auto"/>
                <w:sz w:val="24"/>
                <w:szCs w:val="24"/>
                <w:u w:val="none" w:color="auto"/>
              </w:rPr>
              <w:t>项目大气环境影响评价等级为</w:t>
            </w:r>
            <w:r>
              <w:rPr>
                <w:rFonts w:hint="eastAsia" w:ascii="Times New Roman" w:hAnsi="Times New Roman" w:eastAsia="宋体" w:cs="Times New Roman"/>
                <w:color w:val="auto"/>
                <w:sz w:val="24"/>
                <w:szCs w:val="24"/>
                <w:u w:val="none" w:color="auto"/>
                <w:lang w:eastAsia="zh-CN"/>
              </w:rPr>
              <w:t>三</w:t>
            </w:r>
            <w:r>
              <w:rPr>
                <w:rFonts w:hint="default" w:ascii="Times New Roman" w:hAnsi="Times New Roman" w:eastAsia="宋体" w:cs="Times New Roman"/>
                <w:color w:val="auto"/>
                <w:sz w:val="24"/>
                <w:szCs w:val="24"/>
                <w:u w:val="none" w:color="auto"/>
              </w:rPr>
              <w:t>级，根据工程分析以及上述估算结果可知，项目</w:t>
            </w:r>
            <w:r>
              <w:rPr>
                <w:rFonts w:hint="eastAsia" w:ascii="Times New Roman" w:hAnsi="Times New Roman" w:eastAsia="宋体" w:cs="Times New Roman"/>
                <w:color w:val="auto"/>
                <w:sz w:val="24"/>
                <w:szCs w:val="24"/>
                <w:u w:val="none" w:color="auto"/>
                <w:lang w:eastAsia="zh-CN"/>
              </w:rPr>
              <w:t>排放的废气</w:t>
            </w:r>
            <w:r>
              <w:rPr>
                <w:rFonts w:hint="eastAsia" w:ascii="Times New Roman" w:hAnsi="Times New Roman" w:cs="Times New Roman"/>
                <w:color w:val="auto"/>
                <w:sz w:val="24"/>
                <w:szCs w:val="24"/>
                <w:u w:val="none" w:color="auto"/>
                <w:lang w:val="en-US" w:eastAsia="zh-CN"/>
              </w:rPr>
              <w:t>能够满足</w:t>
            </w:r>
            <w:r>
              <w:rPr>
                <w:rFonts w:hint="default" w:ascii="Times New Roman" w:hAnsi="Times New Roman" w:cs="Times New Roman"/>
                <w:color w:val="auto"/>
                <w:sz w:val="24"/>
                <w:szCs w:val="28"/>
                <w:u w:val="none" w:color="auto"/>
                <w:lang w:eastAsia="zh-CN"/>
              </w:rPr>
              <w:t>《</w:t>
            </w:r>
            <w:r>
              <w:rPr>
                <w:rFonts w:hint="eastAsia" w:ascii="Times New Roman" w:hAnsi="Times New Roman" w:cs="Times New Roman"/>
                <w:color w:val="auto"/>
                <w:sz w:val="24"/>
                <w:szCs w:val="28"/>
                <w:u w:val="none" w:color="auto"/>
                <w:lang w:eastAsia="zh-CN"/>
              </w:rPr>
              <w:t>合成树脂工业污染物排放标准</w:t>
            </w:r>
            <w:r>
              <w:rPr>
                <w:rFonts w:hint="default" w:ascii="Times New Roman" w:hAnsi="Times New Roman" w:cs="Times New Roman"/>
                <w:color w:val="auto"/>
                <w:sz w:val="24"/>
                <w:szCs w:val="28"/>
                <w:u w:val="none" w:color="auto"/>
                <w:lang w:eastAsia="zh-CN"/>
              </w:rPr>
              <w:t>》（</w:t>
            </w:r>
            <w:r>
              <w:rPr>
                <w:rFonts w:hint="eastAsia" w:ascii="Times New Roman" w:hAnsi="Times New Roman" w:cs="Times New Roman"/>
                <w:color w:val="auto"/>
                <w:sz w:val="24"/>
                <w:szCs w:val="28"/>
                <w:u w:val="none" w:color="auto"/>
                <w:lang w:val="en-US" w:eastAsia="zh-CN"/>
              </w:rPr>
              <w:t>G</w:t>
            </w:r>
            <w:r>
              <w:rPr>
                <w:rFonts w:hint="default" w:ascii="Times New Roman" w:hAnsi="Times New Roman" w:cs="Times New Roman"/>
                <w:color w:val="auto"/>
                <w:sz w:val="24"/>
                <w:szCs w:val="28"/>
                <w:u w:val="none" w:color="auto"/>
                <w:lang w:eastAsia="zh-CN"/>
              </w:rPr>
              <w:t>B</w:t>
            </w:r>
            <w:r>
              <w:rPr>
                <w:rFonts w:hint="eastAsia" w:ascii="Times New Roman" w:hAnsi="Times New Roman" w:cs="Times New Roman"/>
                <w:color w:val="auto"/>
                <w:sz w:val="24"/>
                <w:szCs w:val="28"/>
                <w:u w:val="none" w:color="auto"/>
                <w:lang w:val="en-US" w:eastAsia="zh-CN"/>
              </w:rPr>
              <w:t>31572-2015</w:t>
            </w:r>
            <w:r>
              <w:rPr>
                <w:rFonts w:hint="default" w:ascii="Times New Roman" w:hAnsi="Times New Roman" w:cs="Times New Roman"/>
                <w:color w:val="auto"/>
                <w:sz w:val="24"/>
                <w:szCs w:val="28"/>
                <w:u w:val="none" w:color="auto"/>
                <w:lang w:eastAsia="zh-CN"/>
              </w:rPr>
              <w:t>）</w:t>
            </w:r>
            <w:r>
              <w:rPr>
                <w:rFonts w:hint="eastAsia" w:ascii="Times New Roman" w:hAnsi="Times New Roman" w:cs="Times New Roman"/>
                <w:color w:val="auto"/>
                <w:sz w:val="24"/>
                <w:szCs w:val="28"/>
                <w:u w:val="none" w:color="auto"/>
                <w:lang w:eastAsia="zh-CN"/>
              </w:rPr>
              <w:t>中排放标准</w:t>
            </w:r>
            <w:r>
              <w:rPr>
                <w:rFonts w:hint="default" w:ascii="Times New Roman" w:hAnsi="Times New Roman" w:eastAsia="宋体" w:cs="Times New Roman"/>
                <w:color w:val="auto"/>
                <w:sz w:val="24"/>
                <w:szCs w:val="24"/>
                <w:u w:val="none" w:color="auto"/>
              </w:rPr>
              <w:t>。</w:t>
            </w:r>
          </w:p>
          <w:p>
            <w:pPr>
              <w:spacing w:line="360" w:lineRule="auto"/>
              <w:ind w:firstLine="466" w:firstLineChars="200"/>
              <w:rPr>
                <w:rFonts w:hint="default" w:ascii="Times New Roman" w:hAnsi="Times New Roman" w:cs="Times New Roman"/>
                <w:sz w:val="24"/>
                <w:szCs w:val="24"/>
                <w:u w:val="none" w:color="auto"/>
                <w:lang w:val="en-US" w:eastAsia="zh-CN"/>
              </w:rPr>
            </w:pPr>
            <w:r>
              <w:rPr>
                <w:rFonts w:hint="default" w:ascii="Times New Roman" w:hAnsi="Times New Roman" w:eastAsia="宋体" w:cs="Times New Roman"/>
                <w:color w:val="auto"/>
                <w:sz w:val="24"/>
                <w:szCs w:val="24"/>
                <w:u w:val="none" w:color="auto"/>
              </w:rPr>
              <w:t>综上分析，项目大气环境影响可接受</w:t>
            </w:r>
            <w:r>
              <w:rPr>
                <w:rFonts w:hint="default" w:ascii="Times New Roman" w:hAnsi="Times New Roman" w:cs="Times New Roman"/>
                <w:sz w:val="24"/>
                <w:szCs w:val="24"/>
                <w:u w:val="none" w:color="auto"/>
                <w:lang w:val="en-US" w:eastAsia="zh-CN"/>
              </w:rPr>
              <w:t>。</w:t>
            </w:r>
          </w:p>
          <w:p>
            <w:pPr>
              <w:pStyle w:val="167"/>
              <w:numPr>
                <w:ilvl w:val="0"/>
                <w:numId w:val="0"/>
              </w:numPr>
              <w:spacing w:line="360" w:lineRule="auto"/>
              <w:ind w:left="400" w:leftChars="0"/>
              <w:jc w:val="left"/>
              <w:rPr>
                <w:rFonts w:hint="default" w:ascii="Times New Roman" w:hAnsi="Times New Roman" w:cs="Times New Roman"/>
                <w:sz w:val="24"/>
                <w:szCs w:val="24"/>
                <w:u w:val="none" w:color="auto"/>
              </w:rPr>
            </w:pPr>
            <w:r>
              <w:rPr>
                <w:rFonts w:hint="eastAsia" w:cs="Times New Roman"/>
                <w:sz w:val="24"/>
                <w:szCs w:val="24"/>
                <w:u w:val="none" w:color="auto"/>
                <w:lang w:eastAsia="zh-CN"/>
              </w:rPr>
              <w:t>（</w:t>
            </w:r>
            <w:r>
              <w:rPr>
                <w:rFonts w:hint="eastAsia" w:cs="Times New Roman"/>
                <w:sz w:val="24"/>
                <w:szCs w:val="24"/>
                <w:u w:val="none" w:color="auto"/>
                <w:lang w:val="en-US" w:eastAsia="zh-CN"/>
              </w:rPr>
              <w:t>4</w:t>
            </w:r>
            <w:r>
              <w:rPr>
                <w:rFonts w:hint="eastAsia" w:cs="Times New Roman"/>
                <w:sz w:val="24"/>
                <w:szCs w:val="24"/>
                <w:u w:val="none" w:color="auto"/>
                <w:lang w:eastAsia="zh-CN"/>
              </w:rPr>
              <w:t>）排气筒高度合理性</w:t>
            </w:r>
            <w:r>
              <w:rPr>
                <w:rFonts w:hint="default" w:ascii="Times New Roman" w:hAnsi="Times New Roman" w:cs="Times New Roman"/>
                <w:sz w:val="24"/>
                <w:szCs w:val="24"/>
                <w:u w:val="none" w:color="auto"/>
              </w:rPr>
              <w:t>分析</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根据《大气污染物综合排放标准》（GB16297-1996）由“7.4新污染源的排气筒一般不低于15米”；“7.1还应高出周围200米半径范围的建筑5m以上”；</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本项目</w:t>
            </w:r>
            <w:r>
              <w:rPr>
                <w:rFonts w:hint="eastAsia" w:cs="Times New Roman"/>
                <w:sz w:val="24"/>
                <w:szCs w:val="24"/>
                <w:u w:val="none" w:color="auto"/>
                <w:lang w:eastAsia="zh-CN"/>
              </w:rPr>
              <w:t>共</w:t>
            </w:r>
            <w:r>
              <w:rPr>
                <w:rFonts w:hint="default" w:ascii="Times New Roman" w:hAnsi="Times New Roman" w:cs="Times New Roman"/>
                <w:sz w:val="24"/>
                <w:szCs w:val="24"/>
                <w:u w:val="none" w:color="auto"/>
              </w:rPr>
              <w:t>设置</w:t>
            </w:r>
            <w:r>
              <w:rPr>
                <w:rFonts w:hint="eastAsia" w:cs="Times New Roman"/>
                <w:sz w:val="24"/>
                <w:szCs w:val="24"/>
                <w:u w:val="none" w:color="auto"/>
                <w:lang w:val="en-US" w:eastAsia="zh-CN"/>
              </w:rPr>
              <w:t>1个排气筒，其</w:t>
            </w:r>
            <w:r>
              <w:rPr>
                <w:rFonts w:hint="default" w:ascii="Times New Roman" w:hAnsi="Times New Roman" w:cs="Times New Roman"/>
                <w:sz w:val="24"/>
                <w:szCs w:val="24"/>
                <w:u w:val="none" w:color="auto"/>
              </w:rPr>
              <w:t>排气筒高度为</w:t>
            </w:r>
            <w:r>
              <w:rPr>
                <w:rFonts w:hint="eastAsia" w:cs="Times New Roman"/>
                <w:sz w:val="24"/>
                <w:szCs w:val="24"/>
                <w:u w:val="none" w:color="auto"/>
                <w:lang w:val="en-US" w:eastAsia="zh-CN"/>
              </w:rPr>
              <w:t>24</w:t>
            </w:r>
            <w:r>
              <w:rPr>
                <w:rFonts w:hint="default" w:ascii="Times New Roman" w:hAnsi="Times New Roman" w:cs="Times New Roman"/>
                <w:sz w:val="24"/>
                <w:szCs w:val="24"/>
                <w:u w:val="none" w:color="auto"/>
              </w:rPr>
              <w:t>m，根据现场调查，项目厂区附近200m范围内所有建筑高度不超过</w:t>
            </w:r>
            <w:r>
              <w:rPr>
                <w:rFonts w:hint="eastAsia" w:cs="Times New Roman"/>
                <w:sz w:val="24"/>
                <w:szCs w:val="24"/>
                <w:u w:val="none" w:color="auto"/>
                <w:lang w:val="en-US" w:eastAsia="zh-CN"/>
              </w:rPr>
              <w:t>19</w:t>
            </w:r>
            <w:r>
              <w:rPr>
                <w:rFonts w:hint="default" w:ascii="Times New Roman" w:hAnsi="Times New Roman" w:cs="Times New Roman"/>
                <w:sz w:val="24"/>
                <w:szCs w:val="24"/>
                <w:u w:val="none" w:color="auto"/>
              </w:rPr>
              <w:t>米，项目生产车间等标高约为</w:t>
            </w:r>
            <w:r>
              <w:rPr>
                <w:rFonts w:hint="eastAsia" w:cs="Times New Roman"/>
                <w:sz w:val="24"/>
                <w:szCs w:val="24"/>
                <w:u w:val="none" w:color="auto"/>
                <w:lang w:val="en-US" w:eastAsia="zh-CN"/>
              </w:rPr>
              <w:t>18.3</w:t>
            </w:r>
            <w:r>
              <w:rPr>
                <w:rFonts w:hint="default" w:ascii="Times New Roman" w:hAnsi="Times New Roman" w:cs="Times New Roman"/>
                <w:sz w:val="24"/>
                <w:szCs w:val="24"/>
                <w:u w:val="none" w:color="auto"/>
              </w:rPr>
              <w:t>m。项目排气筒位置、高度均严格按照生产工艺特征、国家标准进行设置，总体而言是合理的。</w:t>
            </w:r>
          </w:p>
          <w:p>
            <w:pPr>
              <w:spacing w:line="360" w:lineRule="auto"/>
              <w:ind w:firstLine="466" w:firstLineChars="200"/>
              <w:jc w:val="left"/>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w:t>
            </w:r>
            <w:r>
              <w:rPr>
                <w:rFonts w:hint="eastAsia" w:cs="Times New Roman"/>
                <w:sz w:val="24"/>
                <w:szCs w:val="24"/>
                <w:u w:val="none" w:color="auto"/>
                <w:lang w:val="en-US" w:eastAsia="zh-CN"/>
              </w:rPr>
              <w:t>5</w:t>
            </w:r>
            <w:r>
              <w:rPr>
                <w:rFonts w:hint="default" w:ascii="Times New Roman" w:hAnsi="Times New Roman" w:cs="Times New Roman"/>
                <w:sz w:val="24"/>
                <w:szCs w:val="24"/>
                <w:u w:val="none" w:color="auto"/>
              </w:rPr>
              <w:t>）污染物排放量核算</w:t>
            </w:r>
          </w:p>
          <w:p>
            <w:pPr>
              <w:spacing w:line="360" w:lineRule="auto"/>
              <w:ind w:firstLine="466" w:firstLineChars="200"/>
              <w:jc w:val="left"/>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①有组织排放量核算</w:t>
            </w:r>
          </w:p>
          <w:p>
            <w:pPr>
              <w:spacing w:line="360" w:lineRule="auto"/>
              <w:jc w:val="center"/>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表7-</w:t>
            </w:r>
            <w:r>
              <w:rPr>
                <w:rFonts w:hint="eastAsia" w:cs="Times New Roman"/>
                <w:sz w:val="24"/>
                <w:szCs w:val="24"/>
                <w:u w:val="none" w:color="auto"/>
                <w:lang w:val="en-US" w:eastAsia="zh-CN"/>
              </w:rPr>
              <w:t>8</w:t>
            </w:r>
            <w:r>
              <w:rPr>
                <w:rFonts w:hint="default" w:ascii="Times New Roman" w:hAnsi="Times New Roman" w:cs="Times New Roman"/>
                <w:sz w:val="24"/>
                <w:szCs w:val="24"/>
                <w:u w:val="none" w:color="auto"/>
              </w:rPr>
              <w:t xml:space="preserve"> 大气污染物有组织排放量核算表</w:t>
            </w:r>
          </w:p>
          <w:tbl>
            <w:tblPr>
              <w:tblStyle w:val="40"/>
              <w:tblW w:w="90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8"/>
              <w:gridCol w:w="1595"/>
              <w:gridCol w:w="1135"/>
              <w:gridCol w:w="2127"/>
              <w:gridCol w:w="1842"/>
              <w:gridCol w:w="1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538"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序号</w:t>
                  </w:r>
                </w:p>
              </w:tc>
              <w:tc>
                <w:tcPr>
                  <w:tcW w:w="1595"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排放口编号</w:t>
                  </w:r>
                </w:p>
              </w:tc>
              <w:tc>
                <w:tcPr>
                  <w:tcW w:w="1135"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污染物</w:t>
                  </w:r>
                </w:p>
              </w:tc>
              <w:tc>
                <w:tcPr>
                  <w:tcW w:w="2127"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核算排放浓度</w:t>
                  </w:r>
                </w:p>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（mg/m</w:t>
                  </w:r>
                  <w:r>
                    <w:rPr>
                      <w:rFonts w:hint="default" w:ascii="Times New Roman" w:hAnsi="Times New Roman" w:cs="Times New Roman"/>
                      <w:sz w:val="22"/>
                      <w:szCs w:val="22"/>
                      <w:u w:val="none" w:color="auto"/>
                      <w:vertAlign w:val="superscript"/>
                    </w:rPr>
                    <w:t>3</w:t>
                  </w:r>
                  <w:r>
                    <w:rPr>
                      <w:rFonts w:hint="default" w:ascii="Times New Roman" w:hAnsi="Times New Roman" w:cs="Times New Roman"/>
                      <w:sz w:val="22"/>
                      <w:szCs w:val="22"/>
                      <w:u w:val="none" w:color="auto"/>
                    </w:rPr>
                    <w:t>）</w:t>
                  </w:r>
                </w:p>
              </w:tc>
              <w:tc>
                <w:tcPr>
                  <w:tcW w:w="1842"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核算排放速率（kg/h）</w:t>
                  </w:r>
                </w:p>
              </w:tc>
              <w:tc>
                <w:tcPr>
                  <w:tcW w:w="1785"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核算年排放量</w:t>
                  </w:r>
                </w:p>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7" w:hRule="atLeast"/>
              </w:trPr>
              <w:tc>
                <w:tcPr>
                  <w:tcW w:w="9022" w:type="dxa"/>
                  <w:gridSpan w:val="6"/>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主要排放口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538"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1</w:t>
                  </w:r>
                </w:p>
              </w:tc>
              <w:tc>
                <w:tcPr>
                  <w:tcW w:w="1595" w:type="dxa"/>
                  <w:tcBorders>
                    <w:tl2br w:val="nil"/>
                    <w:tr2bl w:val="nil"/>
                  </w:tcBorders>
                  <w:vAlign w:val="center"/>
                </w:tcPr>
                <w:p>
                  <w:pPr>
                    <w:spacing w:line="360" w:lineRule="auto"/>
                    <w:jc w:val="center"/>
                    <w:rPr>
                      <w:rFonts w:hint="eastAsia" w:cs="Times New Roman"/>
                      <w:sz w:val="22"/>
                      <w:szCs w:val="22"/>
                      <w:u w:val="none" w:color="auto"/>
                      <w:lang w:eastAsia="zh-CN"/>
                    </w:rPr>
                  </w:pPr>
                  <w:r>
                    <w:rPr>
                      <w:rFonts w:hint="eastAsia" w:cs="Times New Roman"/>
                      <w:sz w:val="22"/>
                      <w:szCs w:val="22"/>
                      <w:u w:val="none" w:color="auto"/>
                      <w:lang w:eastAsia="zh-CN"/>
                    </w:rPr>
                    <w:t>模压成型废气</w:t>
                  </w:r>
                </w:p>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排气筒</w:t>
                  </w:r>
                </w:p>
              </w:tc>
              <w:tc>
                <w:tcPr>
                  <w:tcW w:w="1135"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eastAsia" w:cs="Times New Roman"/>
                      <w:sz w:val="22"/>
                      <w:szCs w:val="22"/>
                      <w:u w:val="none" w:color="auto"/>
                      <w:lang w:eastAsia="zh-CN"/>
                    </w:rPr>
                    <w:t>非甲烷总烃</w:t>
                  </w:r>
                </w:p>
              </w:tc>
              <w:tc>
                <w:tcPr>
                  <w:tcW w:w="2127" w:type="dxa"/>
                  <w:tcBorders>
                    <w:tl2br w:val="nil"/>
                    <w:tr2bl w:val="nil"/>
                  </w:tcBorders>
                  <w:vAlign w:val="center"/>
                </w:tcPr>
                <w:p>
                  <w:pPr>
                    <w:spacing w:line="360" w:lineRule="auto"/>
                    <w:jc w:val="center"/>
                    <w:rPr>
                      <w:rFonts w:hint="default" w:ascii="Times New Roman" w:hAnsi="Times New Roman" w:cs="Times New Roman"/>
                      <w:sz w:val="22"/>
                      <w:szCs w:val="22"/>
                      <w:u w:val="none" w:color="auto"/>
                      <w:lang w:val="en-US" w:eastAsia="zh-CN"/>
                    </w:rPr>
                  </w:pPr>
                  <w:r>
                    <w:rPr>
                      <w:rFonts w:hint="eastAsia" w:cs="Times New Roman"/>
                      <w:sz w:val="22"/>
                      <w:szCs w:val="22"/>
                      <w:u w:val="none" w:color="auto"/>
                      <w:lang w:val="en-US" w:eastAsia="zh-CN"/>
                    </w:rPr>
                    <w:t>0.33</w:t>
                  </w:r>
                </w:p>
              </w:tc>
              <w:tc>
                <w:tcPr>
                  <w:tcW w:w="1842" w:type="dxa"/>
                  <w:tcBorders>
                    <w:tl2br w:val="nil"/>
                    <w:tr2bl w:val="nil"/>
                  </w:tcBorders>
                  <w:vAlign w:val="center"/>
                </w:tcPr>
                <w:p>
                  <w:pPr>
                    <w:spacing w:line="360" w:lineRule="auto"/>
                    <w:jc w:val="center"/>
                    <w:rPr>
                      <w:rFonts w:hint="default" w:ascii="Times New Roman" w:hAnsi="Times New Roman" w:cs="Times New Roman"/>
                      <w:sz w:val="22"/>
                      <w:szCs w:val="22"/>
                      <w:u w:val="none" w:color="auto"/>
                      <w:lang w:val="en-US" w:eastAsia="zh-CN"/>
                    </w:rPr>
                  </w:pPr>
                  <w:r>
                    <w:rPr>
                      <w:rFonts w:hint="eastAsia" w:cs="Times New Roman"/>
                      <w:sz w:val="22"/>
                      <w:szCs w:val="22"/>
                      <w:u w:val="none" w:color="auto"/>
                      <w:lang w:val="en-US" w:eastAsia="zh-CN"/>
                    </w:rPr>
                    <w:t>0.0010</w:t>
                  </w:r>
                </w:p>
              </w:tc>
              <w:tc>
                <w:tcPr>
                  <w:tcW w:w="1785" w:type="dxa"/>
                  <w:tcBorders>
                    <w:tl2br w:val="nil"/>
                    <w:tr2bl w:val="nil"/>
                  </w:tcBorders>
                  <w:vAlign w:val="center"/>
                </w:tcPr>
                <w:p>
                  <w:pPr>
                    <w:spacing w:line="360" w:lineRule="auto"/>
                    <w:jc w:val="center"/>
                    <w:rPr>
                      <w:rFonts w:hint="default" w:ascii="Times New Roman" w:hAnsi="Times New Roman" w:cs="Times New Roman"/>
                      <w:sz w:val="22"/>
                      <w:szCs w:val="22"/>
                      <w:u w:val="none" w:color="auto"/>
                      <w:lang w:val="en-US" w:eastAsia="zh-CN"/>
                    </w:rPr>
                  </w:pPr>
                  <w:r>
                    <w:rPr>
                      <w:rFonts w:hint="eastAsia" w:cs="Times New Roman"/>
                      <w:sz w:val="22"/>
                      <w:szCs w:val="22"/>
                      <w:u w:val="none" w:color="auto"/>
                      <w:lang w:val="en-US" w:eastAsia="zh-CN"/>
                    </w:rPr>
                    <w:t>0.0025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7237" w:type="dxa"/>
                  <w:gridSpan w:val="5"/>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有组织排放总计</w:t>
                  </w:r>
                </w:p>
              </w:tc>
              <w:tc>
                <w:tcPr>
                  <w:tcW w:w="1785" w:type="dxa"/>
                  <w:tcBorders>
                    <w:tl2br w:val="nil"/>
                    <w:tr2bl w:val="nil"/>
                  </w:tcBorders>
                  <w:vAlign w:val="center"/>
                </w:tcPr>
                <w:p>
                  <w:pPr>
                    <w:spacing w:line="360" w:lineRule="auto"/>
                    <w:jc w:val="center"/>
                    <w:rPr>
                      <w:rFonts w:hint="default" w:ascii="Times New Roman" w:hAnsi="Times New Roman" w:cs="Times New Roman"/>
                      <w:sz w:val="22"/>
                      <w:szCs w:val="22"/>
                      <w:u w:val="none" w:color="auto"/>
                      <w:lang w:val="en-US" w:eastAsia="zh-CN"/>
                    </w:rPr>
                  </w:pPr>
                  <w:r>
                    <w:rPr>
                      <w:rFonts w:hint="eastAsia" w:cs="Times New Roman"/>
                      <w:sz w:val="22"/>
                      <w:szCs w:val="22"/>
                      <w:u w:val="none" w:color="auto"/>
                      <w:lang w:val="en-US" w:eastAsia="zh-CN"/>
                    </w:rPr>
                    <w:t>0.0025</w:t>
                  </w:r>
                </w:p>
              </w:tc>
            </w:tr>
          </w:tbl>
          <w:p>
            <w:pPr>
              <w:spacing w:line="360" w:lineRule="auto"/>
              <w:ind w:firstLine="466" w:firstLineChars="200"/>
              <w:jc w:val="left"/>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②无组织排放量核算</w:t>
            </w:r>
          </w:p>
          <w:p>
            <w:pPr>
              <w:spacing w:line="360" w:lineRule="auto"/>
              <w:jc w:val="center"/>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表7-</w:t>
            </w:r>
            <w:r>
              <w:rPr>
                <w:rFonts w:hint="eastAsia" w:cs="Times New Roman"/>
                <w:sz w:val="24"/>
                <w:szCs w:val="24"/>
                <w:u w:val="none" w:color="auto"/>
                <w:lang w:val="en-US" w:eastAsia="zh-CN"/>
              </w:rPr>
              <w:t>9</w:t>
            </w:r>
            <w:r>
              <w:rPr>
                <w:rFonts w:hint="default" w:ascii="Times New Roman" w:hAnsi="Times New Roman" w:cs="Times New Roman"/>
                <w:sz w:val="24"/>
                <w:szCs w:val="24"/>
                <w:u w:val="none" w:color="auto"/>
              </w:rPr>
              <w:t xml:space="preserve"> 大气污染物无组织排放量核算表</w:t>
            </w:r>
          </w:p>
          <w:tbl>
            <w:tblPr>
              <w:tblStyle w:val="40"/>
              <w:tblW w:w="90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23"/>
              <w:gridCol w:w="1044"/>
              <w:gridCol w:w="1337"/>
              <w:gridCol w:w="785"/>
              <w:gridCol w:w="1031"/>
              <w:gridCol w:w="1996"/>
              <w:gridCol w:w="1265"/>
              <w:gridCol w:w="11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423" w:type="dxa"/>
                  <w:vMerge w:val="restart"/>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序号</w:t>
                  </w:r>
                </w:p>
              </w:tc>
              <w:tc>
                <w:tcPr>
                  <w:tcW w:w="1044" w:type="dxa"/>
                  <w:vMerge w:val="restart"/>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排放口</w:t>
                  </w:r>
                </w:p>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编号</w:t>
                  </w:r>
                </w:p>
              </w:tc>
              <w:tc>
                <w:tcPr>
                  <w:tcW w:w="1337" w:type="dxa"/>
                  <w:vMerge w:val="restart"/>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产污环节</w:t>
                  </w:r>
                </w:p>
              </w:tc>
              <w:tc>
                <w:tcPr>
                  <w:tcW w:w="785" w:type="dxa"/>
                  <w:vMerge w:val="restart"/>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污染物</w:t>
                  </w:r>
                </w:p>
              </w:tc>
              <w:tc>
                <w:tcPr>
                  <w:tcW w:w="1031" w:type="dxa"/>
                  <w:vMerge w:val="restart"/>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主要污染防治措施</w:t>
                  </w:r>
                </w:p>
              </w:tc>
              <w:tc>
                <w:tcPr>
                  <w:tcW w:w="3261" w:type="dxa"/>
                  <w:gridSpan w:val="2"/>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国家或地方污染物排放标准</w:t>
                  </w:r>
                </w:p>
              </w:tc>
              <w:tc>
                <w:tcPr>
                  <w:tcW w:w="1141" w:type="dxa"/>
                  <w:vMerge w:val="restart"/>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423" w:type="dxa"/>
                  <w:vMerge w:val="continue"/>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p>
              </w:tc>
              <w:tc>
                <w:tcPr>
                  <w:tcW w:w="1044" w:type="dxa"/>
                  <w:vMerge w:val="continue"/>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p>
              </w:tc>
              <w:tc>
                <w:tcPr>
                  <w:tcW w:w="1337" w:type="dxa"/>
                  <w:vMerge w:val="continue"/>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p>
              </w:tc>
              <w:tc>
                <w:tcPr>
                  <w:tcW w:w="785" w:type="dxa"/>
                  <w:vMerge w:val="continue"/>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p>
              </w:tc>
              <w:tc>
                <w:tcPr>
                  <w:tcW w:w="1031" w:type="dxa"/>
                  <w:vMerge w:val="continue"/>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p>
              </w:tc>
              <w:tc>
                <w:tcPr>
                  <w:tcW w:w="1996"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标准名称</w:t>
                  </w:r>
                </w:p>
              </w:tc>
              <w:tc>
                <w:tcPr>
                  <w:tcW w:w="1265"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浓度限值（mg/m</w:t>
                  </w:r>
                  <w:r>
                    <w:rPr>
                      <w:rFonts w:hint="default" w:ascii="Times New Roman" w:hAnsi="Times New Roman" w:cs="Times New Roman"/>
                      <w:sz w:val="22"/>
                      <w:szCs w:val="22"/>
                      <w:u w:val="none" w:color="auto"/>
                      <w:vertAlign w:val="superscript"/>
                    </w:rPr>
                    <w:t>3</w:t>
                  </w:r>
                  <w:r>
                    <w:rPr>
                      <w:rFonts w:hint="default" w:ascii="Times New Roman" w:hAnsi="Times New Roman" w:cs="Times New Roman"/>
                      <w:sz w:val="22"/>
                      <w:szCs w:val="22"/>
                      <w:u w:val="none" w:color="auto"/>
                    </w:rPr>
                    <w:t>）</w:t>
                  </w:r>
                </w:p>
              </w:tc>
              <w:tc>
                <w:tcPr>
                  <w:tcW w:w="1141" w:type="dxa"/>
                  <w:vMerge w:val="continue"/>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423"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1</w:t>
                  </w:r>
                </w:p>
              </w:tc>
              <w:tc>
                <w:tcPr>
                  <w:tcW w:w="1044" w:type="dxa"/>
                  <w:tcBorders>
                    <w:tl2br w:val="nil"/>
                    <w:tr2bl w:val="nil"/>
                  </w:tcBorders>
                  <w:vAlign w:val="center"/>
                </w:tcPr>
                <w:p>
                  <w:pPr>
                    <w:spacing w:line="360" w:lineRule="auto"/>
                    <w:jc w:val="center"/>
                    <w:rPr>
                      <w:rFonts w:hint="eastAsia" w:cs="Times New Roman"/>
                      <w:sz w:val="22"/>
                      <w:szCs w:val="22"/>
                      <w:u w:val="none" w:color="auto"/>
                      <w:lang w:eastAsia="zh-CN"/>
                    </w:rPr>
                  </w:pPr>
                  <w:r>
                    <w:rPr>
                      <w:rFonts w:hint="eastAsia" w:cs="Times New Roman"/>
                      <w:sz w:val="22"/>
                      <w:szCs w:val="22"/>
                      <w:u w:val="none" w:color="auto"/>
                      <w:lang w:eastAsia="zh-CN"/>
                    </w:rPr>
                    <w:t>模压成</w:t>
                  </w:r>
                </w:p>
                <w:p>
                  <w:pPr>
                    <w:spacing w:line="360" w:lineRule="auto"/>
                    <w:jc w:val="center"/>
                    <w:rPr>
                      <w:rFonts w:hint="eastAsia" w:ascii="Times New Roman" w:hAnsi="Times New Roman" w:eastAsia="宋体" w:cs="Times New Roman"/>
                      <w:sz w:val="22"/>
                      <w:szCs w:val="22"/>
                      <w:u w:val="none" w:color="auto"/>
                      <w:lang w:eastAsia="zh-CN"/>
                    </w:rPr>
                  </w:pPr>
                  <w:r>
                    <w:rPr>
                      <w:rFonts w:hint="eastAsia" w:cs="Times New Roman"/>
                      <w:sz w:val="22"/>
                      <w:szCs w:val="22"/>
                      <w:u w:val="none" w:color="auto"/>
                      <w:lang w:eastAsia="zh-CN"/>
                    </w:rPr>
                    <w:t>型区</w:t>
                  </w:r>
                </w:p>
              </w:tc>
              <w:tc>
                <w:tcPr>
                  <w:tcW w:w="1337" w:type="dxa"/>
                  <w:tcBorders>
                    <w:tl2br w:val="nil"/>
                    <w:tr2bl w:val="nil"/>
                  </w:tcBorders>
                  <w:vAlign w:val="center"/>
                </w:tcPr>
                <w:p>
                  <w:pPr>
                    <w:spacing w:line="360" w:lineRule="auto"/>
                    <w:jc w:val="center"/>
                    <w:rPr>
                      <w:rFonts w:hint="eastAsia" w:ascii="Times New Roman" w:hAnsi="Times New Roman" w:eastAsia="宋体" w:cs="Times New Roman"/>
                      <w:sz w:val="22"/>
                      <w:szCs w:val="22"/>
                      <w:u w:val="none" w:color="auto"/>
                      <w:lang w:eastAsia="zh-CN"/>
                    </w:rPr>
                  </w:pPr>
                  <w:r>
                    <w:rPr>
                      <w:rFonts w:hint="eastAsia" w:cs="Times New Roman"/>
                      <w:sz w:val="22"/>
                      <w:szCs w:val="22"/>
                      <w:u w:val="none" w:color="auto"/>
                      <w:lang w:eastAsia="zh-CN"/>
                    </w:rPr>
                    <w:t>模压成型</w:t>
                  </w:r>
                </w:p>
              </w:tc>
              <w:tc>
                <w:tcPr>
                  <w:tcW w:w="785" w:type="dxa"/>
                  <w:tcBorders>
                    <w:tl2br w:val="nil"/>
                    <w:tr2bl w:val="nil"/>
                  </w:tcBorders>
                  <w:vAlign w:val="center"/>
                </w:tcPr>
                <w:p>
                  <w:pPr>
                    <w:spacing w:line="360" w:lineRule="auto"/>
                    <w:jc w:val="center"/>
                    <w:rPr>
                      <w:rFonts w:hint="eastAsia" w:ascii="Times New Roman" w:hAnsi="Times New Roman" w:eastAsia="宋体" w:cs="Times New Roman"/>
                      <w:sz w:val="22"/>
                      <w:szCs w:val="22"/>
                      <w:u w:val="none" w:color="auto"/>
                      <w:lang w:eastAsia="zh-CN"/>
                    </w:rPr>
                  </w:pPr>
                  <w:r>
                    <w:rPr>
                      <w:rFonts w:hint="eastAsia" w:cs="Times New Roman"/>
                      <w:sz w:val="22"/>
                      <w:szCs w:val="22"/>
                      <w:u w:val="none" w:color="auto"/>
                      <w:lang w:eastAsia="zh-CN"/>
                    </w:rPr>
                    <w:t>非甲烷总烃</w:t>
                  </w:r>
                </w:p>
              </w:tc>
              <w:tc>
                <w:tcPr>
                  <w:tcW w:w="1031" w:type="dxa"/>
                  <w:tcBorders>
                    <w:tl2br w:val="nil"/>
                    <w:tr2bl w:val="nil"/>
                  </w:tcBorders>
                  <w:vAlign w:val="center"/>
                </w:tcPr>
                <w:p>
                  <w:pPr>
                    <w:spacing w:line="360" w:lineRule="auto"/>
                    <w:jc w:val="center"/>
                    <w:rPr>
                      <w:rFonts w:hint="eastAsia" w:ascii="Times New Roman" w:hAnsi="Times New Roman" w:eastAsia="宋体" w:cs="Times New Roman"/>
                      <w:sz w:val="22"/>
                      <w:szCs w:val="22"/>
                      <w:u w:val="none" w:color="auto"/>
                      <w:lang w:eastAsia="zh-CN"/>
                    </w:rPr>
                  </w:pPr>
                  <w:r>
                    <w:rPr>
                      <w:rFonts w:hint="eastAsia" w:cs="Times New Roman"/>
                      <w:sz w:val="22"/>
                      <w:szCs w:val="22"/>
                      <w:u w:val="none" w:color="auto"/>
                      <w:lang w:val="en-US" w:eastAsia="zh-CN"/>
                    </w:rPr>
                    <w:t>/</w:t>
                  </w:r>
                </w:p>
              </w:tc>
              <w:tc>
                <w:tcPr>
                  <w:tcW w:w="1996"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w:t>
                  </w:r>
                  <w:r>
                    <w:rPr>
                      <w:rFonts w:hint="eastAsia"/>
                      <w:sz w:val="24"/>
                      <w:szCs w:val="24"/>
                      <w:u w:val="none" w:color="auto"/>
                      <w:lang w:val="en-US" w:eastAsia="zh-CN"/>
                    </w:rPr>
                    <w:t>GB31572-2015</w:t>
                  </w:r>
                  <w:r>
                    <w:rPr>
                      <w:rFonts w:hint="default" w:ascii="Times New Roman" w:hAnsi="Times New Roman" w:cs="Times New Roman"/>
                      <w:sz w:val="22"/>
                      <w:szCs w:val="22"/>
                      <w:u w:val="none" w:color="auto"/>
                    </w:rPr>
                    <w:t>）</w:t>
                  </w:r>
                </w:p>
              </w:tc>
              <w:tc>
                <w:tcPr>
                  <w:tcW w:w="1265" w:type="dxa"/>
                  <w:tcBorders>
                    <w:tl2br w:val="nil"/>
                    <w:tr2bl w:val="nil"/>
                  </w:tcBorders>
                  <w:vAlign w:val="center"/>
                </w:tcPr>
                <w:p>
                  <w:pPr>
                    <w:spacing w:line="360" w:lineRule="auto"/>
                    <w:jc w:val="center"/>
                    <w:rPr>
                      <w:rFonts w:hint="default" w:ascii="Times New Roman" w:hAnsi="Times New Roman" w:eastAsia="宋体" w:cs="Times New Roman"/>
                      <w:sz w:val="22"/>
                      <w:szCs w:val="22"/>
                      <w:u w:val="none" w:color="auto"/>
                      <w:lang w:val="en-US" w:eastAsia="zh-CN"/>
                    </w:rPr>
                  </w:pPr>
                  <w:r>
                    <w:rPr>
                      <w:rFonts w:hint="eastAsia" w:cs="Times New Roman"/>
                      <w:sz w:val="22"/>
                      <w:szCs w:val="22"/>
                      <w:u w:val="none" w:color="auto"/>
                      <w:lang w:val="en-US" w:eastAsia="zh-CN"/>
                    </w:rPr>
                    <w:t>4.0</w:t>
                  </w:r>
                </w:p>
              </w:tc>
              <w:tc>
                <w:tcPr>
                  <w:tcW w:w="1141" w:type="dxa"/>
                  <w:tcBorders>
                    <w:tl2br w:val="nil"/>
                    <w:tr2bl w:val="nil"/>
                  </w:tcBorders>
                  <w:vAlign w:val="center"/>
                </w:tcPr>
                <w:p>
                  <w:pPr>
                    <w:spacing w:line="360" w:lineRule="auto"/>
                    <w:jc w:val="center"/>
                    <w:rPr>
                      <w:rFonts w:hint="default" w:ascii="Times New Roman" w:hAnsi="Times New Roman" w:cs="Times New Roman"/>
                      <w:sz w:val="22"/>
                      <w:szCs w:val="22"/>
                      <w:u w:val="none" w:color="auto"/>
                      <w:lang w:val="en-US" w:eastAsia="zh-CN"/>
                    </w:rPr>
                  </w:pPr>
                  <w:r>
                    <w:rPr>
                      <w:rFonts w:hint="eastAsia" w:cs="Times New Roman"/>
                      <w:sz w:val="22"/>
                      <w:szCs w:val="22"/>
                      <w:u w:val="none" w:color="auto"/>
                      <w:lang w:val="en-US" w:eastAsia="zh-CN"/>
                    </w:rPr>
                    <w:t>0.00141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423" w:type="dxa"/>
                  <w:tcBorders>
                    <w:tl2br w:val="nil"/>
                    <w:tr2bl w:val="nil"/>
                  </w:tcBorders>
                  <w:vAlign w:val="center"/>
                </w:tcPr>
                <w:p>
                  <w:pPr>
                    <w:spacing w:line="360" w:lineRule="auto"/>
                    <w:jc w:val="center"/>
                    <w:rPr>
                      <w:rFonts w:hint="eastAsia" w:ascii="Times New Roman" w:hAnsi="Times New Roman" w:eastAsia="宋体" w:cs="Times New Roman"/>
                      <w:sz w:val="22"/>
                      <w:szCs w:val="22"/>
                      <w:u w:val="none" w:color="auto"/>
                      <w:lang w:val="en-US" w:eastAsia="zh-CN"/>
                    </w:rPr>
                  </w:pPr>
                  <w:r>
                    <w:rPr>
                      <w:rFonts w:hint="eastAsia" w:cs="Times New Roman"/>
                      <w:sz w:val="22"/>
                      <w:szCs w:val="22"/>
                      <w:u w:val="none" w:color="auto"/>
                      <w:lang w:val="en-US" w:eastAsia="zh-CN"/>
                    </w:rPr>
                    <w:t>2</w:t>
                  </w:r>
                </w:p>
              </w:tc>
              <w:tc>
                <w:tcPr>
                  <w:tcW w:w="1044" w:type="dxa"/>
                  <w:tcBorders>
                    <w:tl2br w:val="nil"/>
                    <w:tr2bl w:val="nil"/>
                  </w:tcBorders>
                  <w:vAlign w:val="center"/>
                </w:tcPr>
                <w:p>
                  <w:pPr>
                    <w:spacing w:line="360" w:lineRule="auto"/>
                    <w:jc w:val="center"/>
                    <w:rPr>
                      <w:rFonts w:hint="eastAsia" w:cs="Times New Roman"/>
                      <w:sz w:val="22"/>
                      <w:szCs w:val="22"/>
                      <w:u w:val="none" w:color="auto"/>
                      <w:lang w:eastAsia="zh-CN"/>
                    </w:rPr>
                  </w:pPr>
                  <w:r>
                    <w:rPr>
                      <w:rFonts w:hint="eastAsia" w:cs="Times New Roman"/>
                      <w:sz w:val="22"/>
                      <w:szCs w:val="22"/>
                      <w:u w:val="none" w:color="auto"/>
                      <w:lang w:eastAsia="zh-CN"/>
                    </w:rPr>
                    <w:t>印刷区</w:t>
                  </w:r>
                </w:p>
              </w:tc>
              <w:tc>
                <w:tcPr>
                  <w:tcW w:w="1337" w:type="dxa"/>
                  <w:tcBorders>
                    <w:tl2br w:val="nil"/>
                    <w:tr2bl w:val="nil"/>
                  </w:tcBorders>
                  <w:vAlign w:val="center"/>
                </w:tcPr>
                <w:p>
                  <w:pPr>
                    <w:spacing w:line="360" w:lineRule="auto"/>
                    <w:jc w:val="center"/>
                    <w:rPr>
                      <w:rFonts w:hint="eastAsia" w:cs="Times New Roman"/>
                      <w:sz w:val="22"/>
                      <w:szCs w:val="22"/>
                      <w:u w:val="none" w:color="auto"/>
                      <w:lang w:eastAsia="zh-CN"/>
                    </w:rPr>
                  </w:pPr>
                  <w:r>
                    <w:rPr>
                      <w:rFonts w:hint="eastAsia" w:cs="Times New Roman"/>
                      <w:sz w:val="22"/>
                      <w:szCs w:val="22"/>
                      <w:u w:val="none" w:color="auto"/>
                      <w:lang w:eastAsia="zh-CN"/>
                    </w:rPr>
                    <w:t>印刷</w:t>
                  </w:r>
                </w:p>
              </w:tc>
              <w:tc>
                <w:tcPr>
                  <w:tcW w:w="785" w:type="dxa"/>
                  <w:tcBorders>
                    <w:tl2br w:val="nil"/>
                    <w:tr2bl w:val="nil"/>
                  </w:tcBorders>
                  <w:vAlign w:val="center"/>
                </w:tcPr>
                <w:p>
                  <w:pPr>
                    <w:spacing w:line="360" w:lineRule="auto"/>
                    <w:jc w:val="center"/>
                    <w:rPr>
                      <w:rFonts w:hint="eastAsia" w:cs="Times New Roman"/>
                      <w:sz w:val="22"/>
                      <w:szCs w:val="22"/>
                      <w:u w:val="none" w:color="auto"/>
                      <w:lang w:eastAsia="zh-CN"/>
                    </w:rPr>
                  </w:pPr>
                  <w:r>
                    <w:rPr>
                      <w:rFonts w:hint="eastAsia" w:cs="Times New Roman"/>
                      <w:sz w:val="22"/>
                      <w:szCs w:val="22"/>
                      <w:u w:val="none" w:color="auto"/>
                      <w:lang w:eastAsia="zh-CN"/>
                    </w:rPr>
                    <w:t>非甲烷总烃</w:t>
                  </w:r>
                </w:p>
              </w:tc>
              <w:tc>
                <w:tcPr>
                  <w:tcW w:w="1031" w:type="dxa"/>
                  <w:tcBorders>
                    <w:tl2br w:val="nil"/>
                    <w:tr2bl w:val="nil"/>
                  </w:tcBorders>
                  <w:vAlign w:val="center"/>
                </w:tcPr>
                <w:p>
                  <w:pPr>
                    <w:spacing w:line="360" w:lineRule="auto"/>
                    <w:jc w:val="center"/>
                    <w:rPr>
                      <w:rFonts w:hint="eastAsia" w:cs="Times New Roman"/>
                      <w:sz w:val="22"/>
                      <w:szCs w:val="22"/>
                      <w:u w:val="none" w:color="auto"/>
                      <w:lang w:val="en-US" w:eastAsia="zh-CN"/>
                    </w:rPr>
                  </w:pPr>
                  <w:r>
                    <w:rPr>
                      <w:rFonts w:hint="eastAsia" w:cs="Times New Roman"/>
                      <w:sz w:val="22"/>
                      <w:szCs w:val="22"/>
                      <w:u w:val="none" w:color="auto"/>
                      <w:lang w:val="en-US" w:eastAsia="zh-CN"/>
                    </w:rPr>
                    <w:t>排风扇</w:t>
                  </w:r>
                </w:p>
              </w:tc>
              <w:tc>
                <w:tcPr>
                  <w:tcW w:w="1996" w:type="dxa"/>
                  <w:tcBorders>
                    <w:tl2br w:val="nil"/>
                    <w:tr2bl w:val="nil"/>
                  </w:tcBorders>
                  <w:vAlign w:val="center"/>
                </w:tcPr>
                <w:p>
                  <w:pPr>
                    <w:spacing w:line="360" w:lineRule="auto"/>
                    <w:jc w:val="center"/>
                    <w:rPr>
                      <w:rFonts w:hint="eastAsia" w:ascii="Times New Roman" w:hAnsi="Times New Roman" w:eastAsia="宋体" w:cs="Times New Roman"/>
                      <w:sz w:val="22"/>
                      <w:szCs w:val="22"/>
                      <w:u w:val="none" w:color="auto"/>
                      <w:lang w:val="en-US" w:eastAsia="zh-CN"/>
                    </w:rPr>
                  </w:pPr>
                  <w:r>
                    <w:rPr>
                      <w:rFonts w:hint="eastAsia" w:cs="Times New Roman"/>
                      <w:color w:val="auto"/>
                      <w:kern w:val="0"/>
                      <w:sz w:val="24"/>
                      <w:szCs w:val="24"/>
                      <w:u w:val="none" w:color="auto"/>
                      <w:lang w:val="en-US" w:eastAsia="zh-CN" w:bidi="ar"/>
                    </w:rPr>
                    <w:t>（DB43/1357-2017）</w:t>
                  </w:r>
                </w:p>
              </w:tc>
              <w:tc>
                <w:tcPr>
                  <w:tcW w:w="1265" w:type="dxa"/>
                  <w:tcBorders>
                    <w:tl2br w:val="nil"/>
                    <w:tr2bl w:val="nil"/>
                  </w:tcBorders>
                  <w:vAlign w:val="center"/>
                </w:tcPr>
                <w:p>
                  <w:pPr>
                    <w:spacing w:line="360" w:lineRule="auto"/>
                    <w:jc w:val="center"/>
                    <w:rPr>
                      <w:rFonts w:hint="default" w:cs="Times New Roman"/>
                      <w:sz w:val="22"/>
                      <w:szCs w:val="22"/>
                      <w:u w:val="none" w:color="auto"/>
                      <w:lang w:val="en-US" w:eastAsia="zh-CN"/>
                    </w:rPr>
                  </w:pPr>
                  <w:r>
                    <w:rPr>
                      <w:rFonts w:hint="eastAsia" w:cs="Times New Roman"/>
                      <w:sz w:val="22"/>
                      <w:szCs w:val="22"/>
                      <w:u w:val="none" w:color="auto"/>
                      <w:lang w:val="en-US" w:eastAsia="zh-CN"/>
                    </w:rPr>
                    <w:t>/</w:t>
                  </w:r>
                </w:p>
              </w:tc>
              <w:tc>
                <w:tcPr>
                  <w:tcW w:w="1141" w:type="dxa"/>
                  <w:tcBorders>
                    <w:tl2br w:val="nil"/>
                    <w:tr2bl w:val="nil"/>
                  </w:tcBorders>
                  <w:vAlign w:val="center"/>
                </w:tcPr>
                <w:p>
                  <w:pPr>
                    <w:spacing w:line="360" w:lineRule="auto"/>
                    <w:jc w:val="center"/>
                    <w:rPr>
                      <w:rFonts w:hint="eastAsia" w:cs="Times New Roman"/>
                      <w:sz w:val="22"/>
                      <w:szCs w:val="22"/>
                      <w:u w:val="none" w:color="auto"/>
                      <w:lang w:val="en-US" w:eastAsia="zh-CN"/>
                    </w:rPr>
                  </w:pPr>
                  <w:r>
                    <w:rPr>
                      <w:rFonts w:hint="eastAsia" w:cs="Times New Roman"/>
                      <w:sz w:val="22"/>
                      <w:szCs w:val="22"/>
                      <w:u w:val="none" w:color="auto"/>
                      <w:lang w:val="en-US" w:eastAsia="zh-CN"/>
                    </w:rPr>
                    <w:t>少量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6" w:hRule="atLeast"/>
              </w:trPr>
              <w:tc>
                <w:tcPr>
                  <w:tcW w:w="7881" w:type="dxa"/>
                  <w:gridSpan w:val="7"/>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无组织排放量总计</w:t>
                  </w:r>
                </w:p>
              </w:tc>
              <w:tc>
                <w:tcPr>
                  <w:tcW w:w="1141" w:type="dxa"/>
                  <w:tcBorders>
                    <w:tl2br w:val="nil"/>
                    <w:tr2bl w:val="nil"/>
                  </w:tcBorders>
                  <w:vAlign w:val="center"/>
                </w:tcPr>
                <w:p>
                  <w:pPr>
                    <w:spacing w:line="360" w:lineRule="auto"/>
                    <w:jc w:val="center"/>
                    <w:rPr>
                      <w:rFonts w:hint="default" w:ascii="Times New Roman" w:hAnsi="Times New Roman" w:cs="Times New Roman"/>
                      <w:sz w:val="22"/>
                      <w:szCs w:val="22"/>
                      <w:u w:val="none" w:color="auto"/>
                      <w:lang w:val="en-US" w:eastAsia="zh-CN"/>
                    </w:rPr>
                  </w:pPr>
                  <w:r>
                    <w:rPr>
                      <w:rFonts w:hint="eastAsia" w:cs="Times New Roman"/>
                      <w:sz w:val="22"/>
                      <w:szCs w:val="22"/>
                      <w:u w:val="none" w:color="auto"/>
                      <w:lang w:val="en-US" w:eastAsia="zh-CN"/>
                    </w:rPr>
                    <w:t>0.00141</w:t>
                  </w:r>
                </w:p>
              </w:tc>
            </w:tr>
          </w:tbl>
          <w:p>
            <w:pPr>
              <w:spacing w:line="360" w:lineRule="auto"/>
              <w:ind w:firstLine="466" w:firstLineChars="200"/>
              <w:jc w:val="left"/>
              <w:rPr>
                <w:rFonts w:hint="default" w:ascii="Times New Roman" w:hAnsi="Times New Roman" w:cs="Times New Roman"/>
                <w:sz w:val="24"/>
                <w:szCs w:val="24"/>
                <w:u w:val="none" w:color="auto"/>
              </w:rPr>
            </w:pPr>
          </w:p>
          <w:p>
            <w:pPr>
              <w:spacing w:line="360" w:lineRule="auto"/>
              <w:ind w:firstLine="466" w:firstLineChars="200"/>
              <w:jc w:val="left"/>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③项目大气污染物年排放量核算</w:t>
            </w:r>
          </w:p>
          <w:p>
            <w:pPr>
              <w:spacing w:line="360" w:lineRule="auto"/>
              <w:jc w:val="center"/>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表7-</w:t>
            </w:r>
            <w:r>
              <w:rPr>
                <w:rFonts w:hint="eastAsia" w:cs="Times New Roman"/>
                <w:sz w:val="24"/>
                <w:szCs w:val="24"/>
                <w:u w:val="none" w:color="auto"/>
                <w:lang w:val="en-US" w:eastAsia="zh-CN"/>
              </w:rPr>
              <w:t>10</w:t>
            </w:r>
            <w:r>
              <w:rPr>
                <w:rFonts w:hint="default" w:ascii="Times New Roman" w:hAnsi="Times New Roman" w:cs="Times New Roman"/>
                <w:sz w:val="24"/>
                <w:szCs w:val="24"/>
                <w:u w:val="none" w:color="auto"/>
              </w:rPr>
              <w:t xml:space="preserve"> 大气污染物年排放量核算表</w:t>
            </w:r>
          </w:p>
          <w:tbl>
            <w:tblPr>
              <w:tblStyle w:val="40"/>
              <w:tblW w:w="90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2"/>
              <w:gridCol w:w="2999"/>
              <w:gridCol w:w="42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trPr>
              <w:tc>
                <w:tcPr>
                  <w:tcW w:w="1812" w:type="dxa"/>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序号</w:t>
                  </w:r>
                </w:p>
              </w:tc>
              <w:tc>
                <w:tcPr>
                  <w:tcW w:w="2999" w:type="dxa"/>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污染物</w:t>
                  </w:r>
                </w:p>
              </w:tc>
              <w:tc>
                <w:tcPr>
                  <w:tcW w:w="4211" w:type="dxa"/>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1812" w:type="dxa"/>
                  <w:vAlign w:val="center"/>
                </w:tcPr>
                <w:p>
                  <w:pPr>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1</w:t>
                  </w:r>
                </w:p>
              </w:tc>
              <w:tc>
                <w:tcPr>
                  <w:tcW w:w="2999" w:type="dxa"/>
                  <w:vAlign w:val="center"/>
                </w:tcPr>
                <w:p>
                  <w:pPr>
                    <w:spacing w:line="360" w:lineRule="auto"/>
                    <w:jc w:val="center"/>
                    <w:rPr>
                      <w:rFonts w:hint="eastAsia" w:ascii="Times New Roman" w:hAnsi="Times New Roman" w:eastAsia="宋体" w:cs="Times New Roman"/>
                      <w:sz w:val="22"/>
                      <w:szCs w:val="22"/>
                      <w:u w:val="none" w:color="auto"/>
                      <w:lang w:eastAsia="zh-CN"/>
                    </w:rPr>
                  </w:pPr>
                  <w:r>
                    <w:rPr>
                      <w:rFonts w:hint="eastAsia" w:cs="Times New Roman"/>
                      <w:sz w:val="22"/>
                      <w:szCs w:val="22"/>
                      <w:u w:val="none" w:color="auto"/>
                      <w:lang w:eastAsia="zh-CN"/>
                    </w:rPr>
                    <w:t>非甲烷总烃</w:t>
                  </w:r>
                </w:p>
              </w:tc>
              <w:tc>
                <w:tcPr>
                  <w:tcW w:w="4211" w:type="dxa"/>
                  <w:vAlign w:val="center"/>
                </w:tcPr>
                <w:p>
                  <w:pPr>
                    <w:spacing w:line="360" w:lineRule="auto"/>
                    <w:jc w:val="center"/>
                    <w:rPr>
                      <w:rFonts w:hint="default" w:ascii="Times New Roman" w:hAnsi="Times New Roman" w:cs="Times New Roman"/>
                      <w:sz w:val="22"/>
                      <w:szCs w:val="22"/>
                      <w:u w:val="none" w:color="auto"/>
                      <w:lang w:val="en-US" w:eastAsia="zh-CN"/>
                    </w:rPr>
                  </w:pPr>
                  <w:r>
                    <w:rPr>
                      <w:rFonts w:hint="eastAsia" w:cs="Times New Roman"/>
                      <w:sz w:val="22"/>
                      <w:szCs w:val="22"/>
                      <w:u w:val="none" w:color="auto"/>
                      <w:lang w:val="en-US" w:eastAsia="zh-CN"/>
                    </w:rPr>
                    <w:t>0.0025</w:t>
                  </w:r>
                </w:p>
              </w:tc>
            </w:tr>
          </w:tbl>
          <w:p>
            <w:pPr>
              <w:pStyle w:val="34"/>
              <w:spacing w:line="360" w:lineRule="auto"/>
              <w:ind w:left="4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w:t>
            </w:r>
            <w:r>
              <w:rPr>
                <w:rFonts w:hint="eastAsia" w:cs="Times New Roman"/>
                <w:sz w:val="24"/>
                <w:szCs w:val="24"/>
                <w:u w:val="none" w:color="auto"/>
                <w:lang w:val="en-US" w:eastAsia="zh-CN"/>
              </w:rPr>
              <w:t>4</w:t>
            </w:r>
            <w:r>
              <w:rPr>
                <w:rFonts w:hint="default" w:ascii="Times New Roman" w:hAnsi="Times New Roman" w:cs="Times New Roman"/>
                <w:sz w:val="24"/>
                <w:szCs w:val="24"/>
                <w:u w:val="none" w:color="auto"/>
              </w:rPr>
              <w:t>）废气处理措施可行性分析</w:t>
            </w:r>
          </w:p>
          <w:p>
            <w:pPr>
              <w:pStyle w:val="34"/>
              <w:spacing w:line="360" w:lineRule="auto"/>
              <w:ind w:left="400"/>
              <w:rPr>
                <w:rFonts w:hint="default" w:ascii="Times New Roman" w:hAnsi="Times New Roman" w:cs="Times New Roman"/>
                <w:sz w:val="24"/>
                <w:szCs w:val="32"/>
                <w:u w:val="none" w:color="auto"/>
              </w:rPr>
            </w:pPr>
            <w:r>
              <w:rPr>
                <w:rFonts w:hint="eastAsia" w:cs="Times New Roman"/>
                <w:sz w:val="24"/>
                <w:szCs w:val="24"/>
                <w:u w:val="none" w:color="auto"/>
                <w:lang w:eastAsia="zh-CN"/>
              </w:rPr>
              <w:t>有机废气</w:t>
            </w:r>
            <w:r>
              <w:rPr>
                <w:rFonts w:hint="default" w:ascii="Times New Roman" w:hAnsi="Times New Roman" w:cs="Times New Roman"/>
                <w:sz w:val="24"/>
                <w:szCs w:val="24"/>
                <w:u w:val="none" w:color="auto"/>
              </w:rPr>
              <w:t>处理可行性分析：</w:t>
            </w:r>
          </w:p>
          <w:p>
            <w:pPr>
              <w:spacing w:line="360" w:lineRule="auto"/>
              <w:ind w:firstLine="466" w:firstLineChars="200"/>
              <w:rPr>
                <w:rFonts w:hint="default" w:ascii="Times New Roman" w:hAnsi="Times New Roman" w:eastAsia="宋体" w:cs="Times New Roman"/>
                <w:sz w:val="24"/>
                <w:szCs w:val="32"/>
                <w:u w:val="none" w:color="auto"/>
                <w:lang w:val="en-US" w:eastAsia="zh-CN"/>
              </w:rPr>
            </w:pPr>
            <w:r>
              <w:rPr>
                <w:rFonts w:hint="eastAsia" w:cs="Times New Roman"/>
                <w:sz w:val="24"/>
                <w:szCs w:val="32"/>
                <w:u w:val="none" w:color="auto"/>
                <w:lang w:eastAsia="zh-CN"/>
              </w:rPr>
              <w:t>本项目模压成型废气经</w:t>
            </w:r>
            <w:r>
              <w:rPr>
                <w:rFonts w:hint="eastAsia" w:cs="Times New Roman"/>
                <w:sz w:val="24"/>
                <w:szCs w:val="32"/>
                <w:u w:val="none" w:color="auto"/>
                <w:lang w:val="en-US" w:eastAsia="zh-CN"/>
              </w:rPr>
              <w:t>集气罩+活性炭吸附设备处理后由24m高排气筒高空排放。</w:t>
            </w:r>
          </w:p>
          <w:p>
            <w:pPr>
              <w:spacing w:line="360" w:lineRule="auto"/>
              <w:ind w:firstLine="466" w:firstLineChars="200"/>
              <w:rPr>
                <w:rFonts w:hint="default" w:ascii="Times New Roman" w:hAnsi="Times New Roman" w:cs="Times New Roman"/>
                <w:sz w:val="24"/>
                <w:szCs w:val="24"/>
                <w:u w:val="none" w:color="auto"/>
              </w:rPr>
            </w:pPr>
            <w:r>
              <w:rPr>
                <w:rFonts w:hint="eastAsia"/>
                <w:b/>
                <w:sz w:val="24"/>
                <w:szCs w:val="24"/>
                <w:u w:val="none" w:color="auto"/>
              </w:rPr>
              <w:t>活性炭吸附：</w:t>
            </w:r>
            <w:r>
              <w:rPr>
                <w:rFonts w:hint="eastAsia"/>
                <w:sz w:val="24"/>
                <w:szCs w:val="24"/>
                <w:u w:val="none" w:color="auto"/>
              </w:rPr>
              <w:t>产生的</w:t>
            </w:r>
            <w:r>
              <w:rPr>
                <w:rFonts w:hint="eastAsia"/>
                <w:sz w:val="24"/>
                <w:szCs w:val="24"/>
                <w:u w:val="none" w:color="auto"/>
                <w:lang w:eastAsia="zh-CN"/>
              </w:rPr>
              <w:t>有机</w:t>
            </w:r>
            <w:r>
              <w:rPr>
                <w:rFonts w:hint="eastAsia"/>
                <w:sz w:val="24"/>
                <w:szCs w:val="24"/>
                <w:u w:val="none" w:color="auto"/>
              </w:rPr>
              <w:t>废气净化采用活性炭吸附处理，活性炭是国内最为有效的办法。吸附作用是一种界面现象。所谓吸附，是当两相存在时，在相与相的界面附近的浓度与相内部不一样的现象，吸附的物质称作吸附剂或吸附载体。活性炭的吸附是用活性炭作为载体的吸附。吸附的作用力是吸附载体与吸附物质（有机废气）之间在能量方面的相互作用，承担这种相互作用的是电子。吸附载体表面上的原子与吸附质（有机废气）分子互相接近时，即使是无极性，也会瞬时性地造成电子分布的不对称而形成电极，并诱导与其相对应的原子或分子产生分电极。在这两个分电极之间，便产生微弱的静电相互作用力。活性炭也能通过使用氧化剂、还原剂进行处理，让比表面积及比孔容积大，单位重量的吸附量也大。活性炭应定期更换</w:t>
            </w:r>
            <w:r>
              <w:rPr>
                <w:rFonts w:hint="eastAsia" w:cs="Times New Roman"/>
                <w:color w:val="auto"/>
                <w:sz w:val="24"/>
                <w:szCs w:val="24"/>
                <w:u w:val="none" w:color="auto"/>
                <w:lang w:eastAsia="zh-CN"/>
              </w:rPr>
              <w:t>。</w:t>
            </w:r>
          </w:p>
          <w:p>
            <w:pPr>
              <w:numPr>
                <w:ilvl w:val="0"/>
                <w:numId w:val="7"/>
              </w:numPr>
              <w:adjustRightInd w:val="0"/>
              <w:snapToGrid w:val="0"/>
              <w:spacing w:line="360" w:lineRule="auto"/>
              <w:ind w:firstLine="466" w:firstLineChars="200"/>
              <w:rPr>
                <w:rFonts w:hint="default" w:ascii="Times New Roman" w:hAnsi="Times New Roman" w:cs="Times New Roman"/>
                <w:sz w:val="24"/>
                <w:szCs w:val="24"/>
                <w:u w:val="single" w:color="auto"/>
              </w:rPr>
            </w:pPr>
            <w:r>
              <w:rPr>
                <w:rFonts w:hint="default" w:ascii="Times New Roman" w:hAnsi="Times New Roman" w:cs="Times New Roman"/>
                <w:sz w:val="24"/>
                <w:szCs w:val="24"/>
                <w:u w:val="single" w:color="auto"/>
              </w:rPr>
              <w:t>地表水环境影响分析</w:t>
            </w:r>
          </w:p>
          <w:p>
            <w:pPr>
              <w:pStyle w:val="34"/>
              <w:adjustRightInd w:val="0"/>
              <w:snapToGrid w:val="0"/>
              <w:spacing w:line="360" w:lineRule="auto"/>
              <w:ind w:left="400"/>
              <w:rPr>
                <w:rFonts w:hint="default" w:ascii="Times New Roman" w:hAnsi="Times New Roman" w:cs="Times New Roman"/>
                <w:sz w:val="24"/>
                <w:szCs w:val="24"/>
                <w:u w:val="single" w:color="auto"/>
              </w:rPr>
            </w:pPr>
            <w:r>
              <w:rPr>
                <w:rFonts w:hint="default" w:ascii="Times New Roman" w:hAnsi="Times New Roman" w:cs="Times New Roman"/>
                <w:sz w:val="24"/>
                <w:szCs w:val="24"/>
                <w:u w:val="single" w:color="auto"/>
              </w:rPr>
              <w:t>根据工程分析内容可知，本项目产生的废水主要来自于员工的生活污水</w:t>
            </w:r>
            <w:r>
              <w:rPr>
                <w:rFonts w:hint="eastAsia" w:cs="Times New Roman"/>
                <w:sz w:val="24"/>
                <w:szCs w:val="24"/>
                <w:u w:val="single" w:color="auto"/>
                <w:lang w:eastAsia="zh-CN"/>
              </w:rPr>
              <w:t>和冷却水</w:t>
            </w:r>
            <w:r>
              <w:rPr>
                <w:rFonts w:hint="default" w:ascii="Times New Roman" w:hAnsi="Times New Roman" w:cs="Times New Roman"/>
                <w:sz w:val="24"/>
                <w:szCs w:val="24"/>
                <w:u w:val="single" w:color="auto"/>
              </w:rPr>
              <w:t>。</w:t>
            </w:r>
          </w:p>
          <w:p>
            <w:pPr>
              <w:pStyle w:val="4"/>
              <w:adjustRightInd w:val="0"/>
              <w:snapToGrid w:val="0"/>
              <w:spacing w:line="360" w:lineRule="auto"/>
              <w:ind w:firstLineChars="175"/>
              <w:rPr>
                <w:rFonts w:hint="default" w:ascii="Times New Roman" w:hAnsi="Times New Roman" w:cs="Times New Roman"/>
                <w:color w:val="auto"/>
                <w:sz w:val="24"/>
                <w:szCs w:val="24"/>
                <w:u w:val="single" w:color="auto"/>
                <w:lang w:val="en-US" w:eastAsia="zh-CN"/>
              </w:rPr>
            </w:pPr>
            <w:r>
              <w:rPr>
                <w:sz w:val="24"/>
                <w:u w:val="single" w:color="auto"/>
              </w:rPr>
              <w:t>项目厂区排水管网按雨污分流考虑。雨水经屋面雨水斗汇集后排入工业区雨水管网，</w:t>
            </w:r>
            <w:r>
              <w:rPr>
                <w:rFonts w:hint="eastAsia"/>
                <w:sz w:val="24"/>
                <w:szCs w:val="24"/>
                <w:u w:val="single" w:color="auto"/>
                <w:lang w:val="en-US" w:eastAsia="zh-CN"/>
              </w:rPr>
              <w:t>湘阴县第三污水处理厂建成且接通前：</w:t>
            </w:r>
            <w:r>
              <w:rPr>
                <w:sz w:val="24"/>
                <w:szCs w:val="24"/>
                <w:u w:val="single" w:color="auto"/>
              </w:rPr>
              <w:t>项目</w:t>
            </w:r>
            <w:r>
              <w:rPr>
                <w:rFonts w:hint="eastAsia"/>
                <w:sz w:val="24"/>
                <w:szCs w:val="24"/>
                <w:u w:val="single" w:color="auto"/>
                <w:lang w:val="en-US" w:eastAsia="zh-CN"/>
              </w:rPr>
              <w:t>生活</w:t>
            </w:r>
            <w:r>
              <w:rPr>
                <w:sz w:val="24"/>
                <w:szCs w:val="24"/>
                <w:u w:val="single" w:color="auto"/>
              </w:rPr>
              <w:t>污水通过化粪池处理后排入园区污水管网再进入</w:t>
            </w:r>
            <w:r>
              <w:rPr>
                <w:rFonts w:hint="eastAsia"/>
                <w:sz w:val="24"/>
                <w:szCs w:val="24"/>
                <w:u w:val="single" w:color="auto"/>
                <w:lang w:eastAsia="zh-CN"/>
              </w:rPr>
              <w:t>卓达金谷创业园自建的污水处理站</w:t>
            </w:r>
            <w:r>
              <w:rPr>
                <w:sz w:val="24"/>
                <w:szCs w:val="24"/>
                <w:u w:val="single" w:color="auto"/>
              </w:rPr>
              <w:t>处理</w:t>
            </w:r>
            <w:r>
              <w:rPr>
                <w:rFonts w:hAnsi="宋体"/>
                <w:sz w:val="24"/>
                <w:szCs w:val="24"/>
                <w:u w:val="single" w:color="auto"/>
              </w:rPr>
              <w:t>达</w:t>
            </w:r>
            <w:r>
              <w:rPr>
                <w:rFonts w:hint="eastAsia" w:hAnsi="宋体"/>
                <w:sz w:val="24"/>
                <w:szCs w:val="24"/>
                <w:u w:val="single" w:color="auto"/>
                <w:lang w:eastAsia="zh-CN"/>
              </w:rPr>
              <w:t>到</w:t>
            </w:r>
            <w:r>
              <w:rPr>
                <w:sz w:val="24"/>
                <w:szCs w:val="24"/>
                <w:u w:val="single" w:color="auto"/>
              </w:rPr>
              <w:t>《城镇污水处理厂污染物排放标准（GB18918—2002）》中一级标准的A类标准后</w:t>
            </w:r>
            <w:r>
              <w:rPr>
                <w:rFonts w:hint="eastAsia"/>
                <w:sz w:val="24"/>
                <w:szCs w:val="24"/>
                <w:u w:val="single" w:color="auto"/>
                <w:lang w:eastAsia="zh-CN"/>
              </w:rPr>
              <w:t>进入洋沙河</w:t>
            </w:r>
            <w:r>
              <w:rPr>
                <w:rFonts w:hint="eastAsia"/>
                <w:sz w:val="24"/>
                <w:szCs w:val="24"/>
                <w:u w:val="single" w:color="auto"/>
                <w:lang w:val="en-US" w:eastAsia="zh-CN"/>
              </w:rPr>
              <w:t>排入洋沙湖</w:t>
            </w:r>
            <w:r>
              <w:rPr>
                <w:sz w:val="24"/>
                <w:szCs w:val="24"/>
                <w:u w:val="single" w:color="auto"/>
              </w:rPr>
              <w:t>，最终汇入湘江</w:t>
            </w:r>
            <w:r>
              <w:rPr>
                <w:rFonts w:hint="eastAsia"/>
                <w:sz w:val="24"/>
                <w:szCs w:val="24"/>
                <w:u w:val="single" w:color="auto"/>
                <w:lang w:eastAsia="zh-CN"/>
              </w:rPr>
              <w:t>。</w:t>
            </w:r>
            <w:r>
              <w:rPr>
                <w:rFonts w:hint="eastAsia"/>
                <w:sz w:val="24"/>
                <w:szCs w:val="24"/>
                <w:u w:val="single" w:color="auto"/>
                <w:lang w:val="en-US" w:eastAsia="zh-CN"/>
              </w:rPr>
              <w:t>湘阴县第三污水处理厂建成且接通后：</w:t>
            </w:r>
            <w:r>
              <w:rPr>
                <w:sz w:val="24"/>
                <w:szCs w:val="24"/>
                <w:u w:val="single" w:color="auto"/>
              </w:rPr>
              <w:t>项目</w:t>
            </w:r>
            <w:r>
              <w:rPr>
                <w:rFonts w:hint="eastAsia"/>
                <w:sz w:val="24"/>
                <w:szCs w:val="24"/>
                <w:u w:val="single" w:color="auto"/>
                <w:lang w:val="en-US" w:eastAsia="zh-CN"/>
              </w:rPr>
              <w:t>生活</w:t>
            </w:r>
            <w:r>
              <w:rPr>
                <w:sz w:val="24"/>
                <w:szCs w:val="24"/>
                <w:u w:val="single" w:color="auto"/>
              </w:rPr>
              <w:t>污水通过化粪池处理后排入园区污水管网</w:t>
            </w:r>
            <w:r>
              <w:rPr>
                <w:rFonts w:hint="eastAsia"/>
                <w:sz w:val="24"/>
                <w:szCs w:val="24"/>
                <w:u w:val="single" w:color="auto"/>
                <w:lang w:val="en-US" w:eastAsia="zh-CN"/>
              </w:rPr>
              <w:t>进入湘阴县第三污水处理厂处理后排入洋沙河流入洋沙湖，最终进入湘江</w:t>
            </w:r>
            <w:r>
              <w:rPr>
                <w:rFonts w:hint="eastAsia"/>
                <w:sz w:val="24"/>
                <w:u w:val="single" w:color="auto"/>
                <w:lang w:eastAsia="zh-CN"/>
              </w:rPr>
              <w:t>；冷却水经循环水池收集后循环使用，不外排</w:t>
            </w:r>
            <w:r>
              <w:rPr>
                <w:rFonts w:hint="default" w:ascii="Times New Roman" w:hAnsi="Times New Roman" w:cs="Times New Roman"/>
                <w:sz w:val="24"/>
                <w:szCs w:val="24"/>
                <w:u w:val="single" w:color="auto"/>
              </w:rPr>
              <w:t>。因此对区域水环境影响较小。</w:t>
            </w:r>
          </w:p>
          <w:p>
            <w:pPr>
              <w:pStyle w:val="185"/>
              <w:keepNext w:val="0"/>
              <w:keepLines w:val="0"/>
              <w:pageBreakBefore w:val="0"/>
              <w:widowControl w:val="0"/>
              <w:kinsoku/>
              <w:wordWrap/>
              <w:overflowPunct/>
              <w:topLinePunct w:val="0"/>
              <w:autoSpaceDE/>
              <w:autoSpaceDN/>
              <w:bidi w:val="0"/>
              <w:adjustRightInd/>
              <w:snapToGrid/>
              <w:spacing w:line="360" w:lineRule="auto"/>
              <w:ind w:left="0" w:right="0"/>
              <w:jc w:val="both"/>
              <w:rPr>
                <w:rFonts w:hint="default" w:ascii="Times New Roman" w:hAnsi="Times New Roman" w:cs="Times New Roman"/>
                <w:color w:val="auto"/>
                <w:sz w:val="24"/>
                <w:szCs w:val="24"/>
                <w:u w:val="single" w:color="auto"/>
                <w:lang w:val="en-US" w:eastAsia="zh-CN"/>
              </w:rPr>
            </w:pPr>
            <w:r>
              <w:rPr>
                <w:rFonts w:hint="default" w:ascii="Times New Roman" w:hAnsi="Times New Roman" w:cs="Times New Roman"/>
                <w:color w:val="auto"/>
                <w:sz w:val="24"/>
                <w:szCs w:val="24"/>
                <w:u w:val="single" w:color="auto"/>
                <w:lang w:val="en-US" w:eastAsia="zh-CN"/>
              </w:rPr>
              <w:t>地表水评价等级确定</w:t>
            </w:r>
          </w:p>
          <w:p>
            <w:pPr>
              <w:pStyle w:val="34"/>
              <w:adjustRightInd w:val="0"/>
              <w:snapToGrid w:val="0"/>
              <w:spacing w:line="360" w:lineRule="auto"/>
              <w:ind w:left="0" w:leftChars="0" w:firstLine="466" w:firstLineChars="200"/>
              <w:rPr>
                <w:rFonts w:hint="default" w:ascii="Times New Roman" w:hAnsi="Times New Roman" w:cs="Times New Roman"/>
                <w:sz w:val="24"/>
                <w:szCs w:val="24"/>
                <w:u w:val="single" w:color="auto"/>
              </w:rPr>
            </w:pPr>
            <w:r>
              <w:rPr>
                <w:rFonts w:hint="default" w:ascii="Times New Roman" w:hAnsi="Times New Roman" w:cs="Times New Roman"/>
                <w:color w:val="auto"/>
                <w:sz w:val="24"/>
                <w:szCs w:val="24"/>
                <w:u w:val="single" w:color="auto"/>
                <w:lang w:val="en-US" w:eastAsia="zh-CN"/>
              </w:rPr>
              <w:t>根据《环境评价技术导则地面 水环境》（HJ/T2.3-2018）分级原则</w:t>
            </w:r>
            <w:r>
              <w:rPr>
                <w:rFonts w:hint="eastAsia" w:cs="Times New Roman"/>
                <w:color w:val="auto"/>
                <w:sz w:val="24"/>
                <w:szCs w:val="24"/>
                <w:u w:val="single" w:color="auto"/>
                <w:lang w:val="en-US" w:eastAsia="zh-CN"/>
              </w:rPr>
              <w:t>，</w:t>
            </w:r>
            <w:r>
              <w:rPr>
                <w:rFonts w:hint="eastAsia"/>
                <w:sz w:val="24"/>
                <w:szCs w:val="24"/>
                <w:u w:val="single" w:color="auto"/>
                <w:lang w:val="en-US" w:eastAsia="zh-CN"/>
              </w:rPr>
              <w:t>湘阴县第三污水处理厂建成且接通前：</w:t>
            </w:r>
            <w:r>
              <w:rPr>
                <w:sz w:val="24"/>
                <w:szCs w:val="24"/>
                <w:u w:val="single" w:color="auto"/>
              </w:rPr>
              <w:t>项目</w:t>
            </w:r>
            <w:r>
              <w:rPr>
                <w:rFonts w:hint="eastAsia"/>
                <w:sz w:val="24"/>
                <w:szCs w:val="24"/>
                <w:u w:val="single" w:color="auto"/>
                <w:lang w:val="en-US" w:eastAsia="zh-CN"/>
              </w:rPr>
              <w:t>生活</w:t>
            </w:r>
            <w:r>
              <w:rPr>
                <w:sz w:val="24"/>
                <w:szCs w:val="24"/>
                <w:u w:val="single" w:color="auto"/>
              </w:rPr>
              <w:t>污水通过化粪池处理后排入园区污水管网再进入</w:t>
            </w:r>
            <w:r>
              <w:rPr>
                <w:rFonts w:hint="eastAsia"/>
                <w:sz w:val="24"/>
                <w:szCs w:val="24"/>
                <w:u w:val="single" w:color="auto"/>
                <w:lang w:eastAsia="zh-CN"/>
              </w:rPr>
              <w:t>卓达金谷创业园自建的污水处理站</w:t>
            </w:r>
            <w:r>
              <w:rPr>
                <w:sz w:val="24"/>
                <w:szCs w:val="24"/>
                <w:u w:val="single" w:color="auto"/>
              </w:rPr>
              <w:t>处理</w:t>
            </w:r>
            <w:r>
              <w:rPr>
                <w:rFonts w:hAnsi="宋体"/>
                <w:sz w:val="24"/>
                <w:szCs w:val="24"/>
                <w:u w:val="single" w:color="auto"/>
              </w:rPr>
              <w:t>达</w:t>
            </w:r>
            <w:r>
              <w:rPr>
                <w:rFonts w:hint="eastAsia" w:hAnsi="宋体"/>
                <w:sz w:val="24"/>
                <w:szCs w:val="24"/>
                <w:u w:val="single" w:color="auto"/>
                <w:lang w:eastAsia="zh-CN"/>
              </w:rPr>
              <w:t>到</w:t>
            </w:r>
            <w:r>
              <w:rPr>
                <w:sz w:val="24"/>
                <w:szCs w:val="24"/>
                <w:u w:val="single" w:color="auto"/>
              </w:rPr>
              <w:t>《城镇污水处理厂污染物排放标准（GB18918—2002）》中一级标准的A类标准后</w:t>
            </w:r>
            <w:r>
              <w:rPr>
                <w:rFonts w:hint="eastAsia"/>
                <w:sz w:val="24"/>
                <w:szCs w:val="24"/>
                <w:u w:val="single" w:color="auto"/>
                <w:lang w:eastAsia="zh-CN"/>
              </w:rPr>
              <w:t>进入洋沙河</w:t>
            </w:r>
            <w:r>
              <w:rPr>
                <w:rFonts w:hint="eastAsia"/>
                <w:sz w:val="24"/>
                <w:szCs w:val="24"/>
                <w:u w:val="single" w:color="auto"/>
                <w:lang w:val="en-US" w:eastAsia="zh-CN"/>
              </w:rPr>
              <w:t>排入洋沙湖</w:t>
            </w:r>
            <w:r>
              <w:rPr>
                <w:sz w:val="24"/>
                <w:szCs w:val="24"/>
                <w:u w:val="single" w:color="auto"/>
              </w:rPr>
              <w:t>，最终汇入湘江</w:t>
            </w:r>
            <w:r>
              <w:rPr>
                <w:rFonts w:hint="eastAsia"/>
                <w:sz w:val="24"/>
                <w:szCs w:val="24"/>
                <w:u w:val="single" w:color="auto"/>
                <w:lang w:eastAsia="zh-CN"/>
              </w:rPr>
              <w:t>。</w:t>
            </w:r>
            <w:r>
              <w:rPr>
                <w:rFonts w:hint="eastAsia"/>
                <w:sz w:val="24"/>
                <w:szCs w:val="24"/>
                <w:u w:val="single" w:color="auto"/>
                <w:lang w:val="en-US" w:eastAsia="zh-CN"/>
              </w:rPr>
              <w:t>湘阴县第三污水处理厂建成且接通后：</w:t>
            </w:r>
            <w:r>
              <w:rPr>
                <w:sz w:val="24"/>
                <w:szCs w:val="24"/>
                <w:u w:val="single" w:color="auto"/>
              </w:rPr>
              <w:t>项目</w:t>
            </w:r>
            <w:r>
              <w:rPr>
                <w:rFonts w:hint="eastAsia"/>
                <w:sz w:val="24"/>
                <w:szCs w:val="24"/>
                <w:u w:val="single" w:color="auto"/>
                <w:lang w:val="en-US" w:eastAsia="zh-CN"/>
              </w:rPr>
              <w:t>生活</w:t>
            </w:r>
            <w:r>
              <w:rPr>
                <w:sz w:val="24"/>
                <w:szCs w:val="24"/>
                <w:u w:val="single" w:color="auto"/>
              </w:rPr>
              <w:t>污水通过化粪池处理后排入园区污水管网</w:t>
            </w:r>
            <w:r>
              <w:rPr>
                <w:rFonts w:hint="eastAsia"/>
                <w:sz w:val="24"/>
                <w:szCs w:val="24"/>
                <w:u w:val="single" w:color="auto"/>
                <w:lang w:val="en-US" w:eastAsia="zh-CN"/>
              </w:rPr>
              <w:t>进入湘阴县第三污水处理厂处理后排入洋沙河流入洋沙湖，最终进入湘江</w:t>
            </w:r>
            <w:r>
              <w:rPr>
                <w:rFonts w:hint="default" w:ascii="Times New Roman" w:hAnsi="Times New Roman" w:cs="Times New Roman"/>
                <w:color w:val="auto"/>
                <w:sz w:val="24"/>
                <w:szCs w:val="24"/>
                <w:u w:val="single" w:color="auto"/>
                <w:lang w:val="en-US" w:eastAsia="zh-CN"/>
              </w:rPr>
              <w:t>，结合本项目的工程特点和项目所在地的环境特征，确定项目地表水环境影响评价等级为</w:t>
            </w:r>
            <w:r>
              <w:rPr>
                <w:rFonts w:hint="default" w:ascii="Times New Roman" w:hAnsi="Times New Roman" w:cs="Times New Roman"/>
                <w:b w:val="0"/>
                <w:bCs w:val="0"/>
                <w:color w:val="auto"/>
                <w:sz w:val="24"/>
                <w:szCs w:val="24"/>
                <w:u w:val="single" w:color="auto"/>
                <w:lang w:val="en-US" w:eastAsia="zh-CN"/>
              </w:rPr>
              <w:t>三级</w:t>
            </w:r>
            <w:r>
              <w:rPr>
                <w:rFonts w:hint="eastAsia" w:cs="Times New Roman"/>
                <w:b w:val="0"/>
                <w:bCs w:val="0"/>
                <w:color w:val="auto"/>
                <w:sz w:val="24"/>
                <w:szCs w:val="24"/>
                <w:u w:val="single" w:color="auto"/>
                <w:lang w:val="en-US" w:eastAsia="zh-CN"/>
              </w:rPr>
              <w:t>B。需对其进行简单分析</w:t>
            </w:r>
            <w:r>
              <w:rPr>
                <w:rFonts w:hint="eastAsia" w:ascii="Times New Roman" w:hAnsi="Times New Roman"/>
                <w:color w:val="auto"/>
                <w:sz w:val="24"/>
                <w:szCs w:val="24"/>
                <w:highlight w:val="none"/>
                <w:u w:val="single" w:color="auto"/>
                <w:lang w:val="en-US" w:eastAsia="zh-CN"/>
              </w:rPr>
              <w:t>。</w:t>
            </w:r>
          </w:p>
          <w:p>
            <w:pPr>
              <w:adjustRightInd w:val="0"/>
              <w:snapToGrid w:val="0"/>
              <w:spacing w:line="360" w:lineRule="auto"/>
              <w:ind w:firstLine="466" w:firstLineChars="200"/>
              <w:rPr>
                <w:b/>
                <w:bCs/>
                <w:sz w:val="24"/>
                <w:szCs w:val="24"/>
                <w:u w:val="single" w:color="auto"/>
              </w:rPr>
            </w:pPr>
            <w:r>
              <w:rPr>
                <w:rFonts w:hint="eastAsia" w:cs="Times New Roman"/>
                <w:b/>
                <w:bCs/>
                <w:sz w:val="24"/>
                <w:szCs w:val="24"/>
                <w:u w:val="single" w:color="auto"/>
                <w:lang w:eastAsia="zh-CN"/>
              </w:rPr>
              <w:t>卓达金谷创业园自建污水处理站</w:t>
            </w:r>
            <w:r>
              <w:rPr>
                <w:b/>
                <w:bCs/>
                <w:sz w:val="24"/>
                <w:szCs w:val="24"/>
                <w:u w:val="single" w:color="auto"/>
              </w:rPr>
              <w:t>可行性分析</w:t>
            </w:r>
          </w:p>
          <w:p>
            <w:pPr>
              <w:pStyle w:val="4"/>
              <w:adjustRightInd w:val="0"/>
              <w:snapToGrid w:val="0"/>
              <w:spacing w:line="360" w:lineRule="auto"/>
              <w:ind w:firstLineChars="175"/>
              <w:rPr>
                <w:rFonts w:hint="eastAsia"/>
                <w:sz w:val="24"/>
                <w:szCs w:val="24"/>
                <w:u w:val="single" w:color="auto"/>
                <w:lang w:eastAsia="zh-CN"/>
              </w:rPr>
            </w:pPr>
            <w:r>
              <w:rPr>
                <w:rFonts w:hint="eastAsia"/>
                <w:sz w:val="24"/>
                <w:u w:val="single" w:color="auto"/>
                <w:lang w:val="en-US" w:eastAsia="zh-CN"/>
              </w:rPr>
              <w:t>本项目建成后若湘阴县第三污水处理厂尚未投入运行，本</w:t>
            </w:r>
            <w:r>
              <w:rPr>
                <w:sz w:val="24"/>
                <w:szCs w:val="24"/>
                <w:u w:val="single" w:color="auto"/>
              </w:rPr>
              <w:t>项目</w:t>
            </w:r>
            <w:r>
              <w:rPr>
                <w:rFonts w:hint="eastAsia"/>
                <w:sz w:val="24"/>
                <w:szCs w:val="24"/>
                <w:u w:val="single" w:color="auto"/>
                <w:lang w:val="en-US" w:eastAsia="zh-CN"/>
              </w:rPr>
              <w:t>生活</w:t>
            </w:r>
            <w:r>
              <w:rPr>
                <w:sz w:val="24"/>
                <w:szCs w:val="24"/>
                <w:u w:val="single" w:color="auto"/>
              </w:rPr>
              <w:t>污水通过化粪池处理后排入园区污水管网再进入</w:t>
            </w:r>
            <w:r>
              <w:rPr>
                <w:rFonts w:hint="eastAsia"/>
                <w:sz w:val="24"/>
                <w:szCs w:val="24"/>
                <w:u w:val="single" w:color="auto"/>
                <w:lang w:eastAsia="zh-CN"/>
              </w:rPr>
              <w:t>卓达金谷创业园自建的污水处理站</w:t>
            </w:r>
            <w:r>
              <w:rPr>
                <w:sz w:val="24"/>
                <w:szCs w:val="24"/>
                <w:u w:val="single" w:color="auto"/>
              </w:rPr>
              <w:t>处理</w:t>
            </w:r>
            <w:r>
              <w:rPr>
                <w:rFonts w:hAnsi="宋体"/>
                <w:sz w:val="24"/>
                <w:szCs w:val="24"/>
                <w:u w:val="single" w:color="auto"/>
              </w:rPr>
              <w:t>达</w:t>
            </w:r>
            <w:r>
              <w:rPr>
                <w:rFonts w:hint="eastAsia" w:hAnsi="宋体"/>
                <w:sz w:val="24"/>
                <w:szCs w:val="24"/>
                <w:u w:val="single" w:color="auto"/>
                <w:lang w:eastAsia="zh-CN"/>
              </w:rPr>
              <w:t>到</w:t>
            </w:r>
            <w:r>
              <w:rPr>
                <w:sz w:val="24"/>
                <w:szCs w:val="24"/>
                <w:u w:val="single" w:color="auto"/>
              </w:rPr>
              <w:t>《城镇污水处理厂污染物排放标准（GB18918—2002）》中一级标准的A类标准后</w:t>
            </w:r>
            <w:r>
              <w:rPr>
                <w:rFonts w:hint="eastAsia"/>
                <w:sz w:val="24"/>
                <w:szCs w:val="24"/>
                <w:u w:val="single" w:color="auto"/>
                <w:lang w:eastAsia="zh-CN"/>
              </w:rPr>
              <w:t>进入洋沙河</w:t>
            </w:r>
            <w:r>
              <w:rPr>
                <w:rFonts w:hint="eastAsia"/>
                <w:sz w:val="24"/>
                <w:szCs w:val="24"/>
                <w:u w:val="single" w:color="auto"/>
                <w:lang w:val="en-US" w:eastAsia="zh-CN"/>
              </w:rPr>
              <w:t>排入洋沙湖</w:t>
            </w:r>
            <w:r>
              <w:rPr>
                <w:sz w:val="24"/>
                <w:szCs w:val="24"/>
                <w:u w:val="single" w:color="auto"/>
              </w:rPr>
              <w:t>，最终汇入湘江</w:t>
            </w:r>
            <w:r>
              <w:rPr>
                <w:rFonts w:hint="eastAsia"/>
                <w:sz w:val="24"/>
                <w:szCs w:val="24"/>
                <w:u w:val="single" w:color="auto"/>
                <w:lang w:eastAsia="zh-CN"/>
              </w:rPr>
              <w:t>。</w:t>
            </w:r>
          </w:p>
          <w:p>
            <w:pPr>
              <w:pStyle w:val="4"/>
              <w:adjustRightInd w:val="0"/>
              <w:snapToGrid w:val="0"/>
              <w:spacing w:line="360" w:lineRule="auto"/>
              <w:ind w:firstLineChars="175"/>
              <w:rPr>
                <w:rFonts w:hint="eastAsia"/>
                <w:sz w:val="24"/>
                <w:u w:val="single" w:color="auto"/>
                <w:lang w:val="en-US" w:eastAsia="zh-CN"/>
              </w:rPr>
            </w:pPr>
            <w:r>
              <w:rPr>
                <w:rFonts w:hint="eastAsia"/>
                <w:sz w:val="24"/>
                <w:u w:val="single" w:color="auto"/>
                <w:lang w:eastAsia="zh-CN"/>
              </w:rPr>
              <w:t>卓达金谷</w:t>
            </w:r>
            <w:r>
              <w:rPr>
                <w:rFonts w:hint="eastAsia"/>
                <w:sz w:val="24"/>
                <w:u w:val="single" w:color="auto"/>
                <w:lang w:val="en-US" w:eastAsia="zh-CN"/>
              </w:rPr>
              <w:t>创业园</w:t>
            </w:r>
            <w:r>
              <w:rPr>
                <w:rFonts w:hint="eastAsia"/>
                <w:sz w:val="24"/>
                <w:u w:val="single" w:color="auto"/>
                <w:lang w:eastAsia="zh-CN"/>
              </w:rPr>
              <w:t>自建污水处理站位于位于金谷</w:t>
            </w:r>
            <w:r>
              <w:rPr>
                <w:rFonts w:hint="eastAsia"/>
                <w:sz w:val="24"/>
                <w:u w:val="single" w:color="auto"/>
                <w:lang w:val="en-US" w:eastAsia="zh-CN"/>
              </w:rPr>
              <w:t>置业公司</w:t>
            </w:r>
            <w:r>
              <w:rPr>
                <w:rFonts w:hint="eastAsia"/>
                <w:sz w:val="24"/>
                <w:u w:val="single" w:color="auto"/>
                <w:lang w:eastAsia="zh-CN"/>
              </w:rPr>
              <w:t>内，</w:t>
            </w:r>
            <w:r>
              <w:rPr>
                <w:rFonts w:hint="eastAsia"/>
                <w:sz w:val="24"/>
                <w:u w:val="single" w:color="auto"/>
                <w:lang w:val="en-US" w:eastAsia="zh-CN"/>
              </w:rPr>
              <w:t>其污水处理工艺主要为：污水收集--预处理--生化处理--生物过滤--物化处理--过滤--消毒--达标排放，污水处理过程中产生的废气统一收集，采用UV光解工艺处理后达标排放，污水处理站主体结构为地埋式。建设有格栅池、沉砂池、调节池、事故池、水解酸化池、缺氧池、接触氧化池、中间沉淀池、IBAF池、加药池、二级沉淀池、中间水池、清水池、排放堰、污泥池、污泥脱水间、风机房、设备间、办公室、电控室、在线监控室等设施。</w:t>
            </w:r>
          </w:p>
          <w:p>
            <w:pPr>
              <w:pStyle w:val="4"/>
              <w:adjustRightInd w:val="0"/>
              <w:snapToGrid w:val="0"/>
              <w:spacing w:line="360" w:lineRule="auto"/>
              <w:ind w:firstLineChars="175"/>
              <w:rPr>
                <w:rFonts w:hint="eastAsia"/>
                <w:sz w:val="24"/>
                <w:u w:val="single" w:color="auto"/>
                <w:lang w:val="en-US" w:eastAsia="zh-CN"/>
              </w:rPr>
            </w:pPr>
            <w:r>
              <w:rPr>
                <w:rFonts w:hint="eastAsia"/>
                <w:sz w:val="24"/>
                <w:u w:val="single" w:color="auto"/>
                <w:lang w:val="en-US" w:eastAsia="zh-CN"/>
              </w:rPr>
              <w:drawing>
                <wp:anchor distT="0" distB="0" distL="114300" distR="114300" simplePos="0" relativeHeight="1862439936" behindDoc="0" locked="0" layoutInCell="1" allowOverlap="1">
                  <wp:simplePos x="0" y="0"/>
                  <wp:positionH relativeFrom="column">
                    <wp:posOffset>168275</wp:posOffset>
                  </wp:positionH>
                  <wp:positionV relativeFrom="paragraph">
                    <wp:posOffset>159385</wp:posOffset>
                  </wp:positionV>
                  <wp:extent cx="5345430" cy="2580640"/>
                  <wp:effectExtent l="0" t="0" r="7620" b="10160"/>
                  <wp:wrapNone/>
                  <wp:docPr id="46" name="图片 46" descr="1597135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597135463(1)"/>
                          <pic:cNvPicPr>
                            <a:picLocks noChangeAspect="1"/>
                          </pic:cNvPicPr>
                        </pic:nvPicPr>
                        <pic:blipFill>
                          <a:blip r:embed="rId15"/>
                          <a:stretch>
                            <a:fillRect/>
                          </a:stretch>
                        </pic:blipFill>
                        <pic:spPr>
                          <a:xfrm>
                            <a:off x="0" y="0"/>
                            <a:ext cx="5345430" cy="2580640"/>
                          </a:xfrm>
                          <a:prstGeom prst="rect">
                            <a:avLst/>
                          </a:prstGeom>
                        </pic:spPr>
                      </pic:pic>
                    </a:graphicData>
                  </a:graphic>
                </wp:anchor>
              </w:drawing>
            </w:r>
          </w:p>
          <w:p>
            <w:pPr>
              <w:pStyle w:val="4"/>
              <w:adjustRightInd w:val="0"/>
              <w:snapToGrid w:val="0"/>
              <w:spacing w:line="360" w:lineRule="auto"/>
              <w:ind w:firstLineChars="175"/>
              <w:rPr>
                <w:rFonts w:hint="eastAsia"/>
                <w:sz w:val="24"/>
                <w:u w:val="single" w:color="auto"/>
                <w:lang w:val="en-US" w:eastAsia="zh-CN"/>
              </w:rPr>
            </w:pPr>
          </w:p>
          <w:p>
            <w:pPr>
              <w:pStyle w:val="4"/>
              <w:adjustRightInd w:val="0"/>
              <w:snapToGrid w:val="0"/>
              <w:spacing w:line="360" w:lineRule="auto"/>
              <w:ind w:firstLineChars="175"/>
              <w:rPr>
                <w:rFonts w:hint="eastAsia"/>
                <w:sz w:val="24"/>
                <w:u w:val="single" w:color="auto"/>
                <w:lang w:val="en-US" w:eastAsia="zh-CN"/>
              </w:rPr>
            </w:pPr>
          </w:p>
          <w:p>
            <w:pPr>
              <w:pStyle w:val="4"/>
              <w:adjustRightInd w:val="0"/>
              <w:snapToGrid w:val="0"/>
              <w:spacing w:line="360" w:lineRule="auto"/>
              <w:ind w:firstLineChars="175"/>
              <w:rPr>
                <w:rFonts w:hint="eastAsia"/>
                <w:sz w:val="24"/>
                <w:u w:val="single" w:color="auto"/>
                <w:lang w:val="en-US" w:eastAsia="zh-CN"/>
              </w:rPr>
            </w:pPr>
          </w:p>
          <w:p>
            <w:pPr>
              <w:pStyle w:val="4"/>
              <w:adjustRightInd w:val="0"/>
              <w:snapToGrid w:val="0"/>
              <w:spacing w:line="360" w:lineRule="auto"/>
              <w:ind w:left="0" w:leftChars="0" w:firstLine="0" w:firstLineChars="0"/>
              <w:rPr>
                <w:rFonts w:hint="eastAsia"/>
                <w:sz w:val="24"/>
                <w:u w:val="single" w:color="auto"/>
                <w:lang w:val="en-US" w:eastAsia="zh-CN"/>
              </w:rPr>
            </w:pPr>
          </w:p>
          <w:p>
            <w:pPr>
              <w:pStyle w:val="4"/>
              <w:adjustRightInd w:val="0"/>
              <w:snapToGrid w:val="0"/>
              <w:spacing w:line="360" w:lineRule="auto"/>
              <w:ind w:firstLineChars="175"/>
              <w:jc w:val="center"/>
              <w:rPr>
                <w:rFonts w:hint="eastAsia"/>
                <w:sz w:val="24"/>
                <w:u w:val="single" w:color="auto"/>
                <w:lang w:val="en-US" w:eastAsia="zh-CN"/>
              </w:rPr>
            </w:pPr>
          </w:p>
          <w:p>
            <w:pPr>
              <w:pStyle w:val="4"/>
              <w:adjustRightInd w:val="0"/>
              <w:snapToGrid w:val="0"/>
              <w:spacing w:line="360" w:lineRule="auto"/>
              <w:ind w:firstLineChars="175"/>
              <w:jc w:val="center"/>
              <w:rPr>
                <w:rFonts w:hint="eastAsia"/>
                <w:sz w:val="24"/>
                <w:u w:val="single" w:color="auto"/>
                <w:lang w:val="en-US" w:eastAsia="zh-CN"/>
              </w:rPr>
            </w:pPr>
          </w:p>
          <w:p>
            <w:pPr>
              <w:pStyle w:val="4"/>
              <w:adjustRightInd w:val="0"/>
              <w:snapToGrid w:val="0"/>
              <w:spacing w:line="360" w:lineRule="auto"/>
              <w:ind w:firstLineChars="175"/>
              <w:jc w:val="center"/>
              <w:rPr>
                <w:rFonts w:hint="eastAsia"/>
                <w:sz w:val="24"/>
                <w:u w:val="single" w:color="auto"/>
                <w:lang w:val="en-US" w:eastAsia="zh-CN"/>
              </w:rPr>
            </w:pPr>
          </w:p>
          <w:p>
            <w:pPr>
              <w:pStyle w:val="4"/>
              <w:adjustRightInd w:val="0"/>
              <w:snapToGrid w:val="0"/>
              <w:spacing w:line="360" w:lineRule="auto"/>
              <w:ind w:firstLineChars="175"/>
              <w:jc w:val="center"/>
              <w:rPr>
                <w:rFonts w:hint="default"/>
                <w:sz w:val="24"/>
                <w:u w:val="single" w:color="auto"/>
                <w:lang w:val="en-US" w:eastAsia="zh-CN"/>
              </w:rPr>
            </w:pPr>
            <w:r>
              <w:rPr>
                <w:rFonts w:hint="eastAsia"/>
                <w:sz w:val="24"/>
                <w:u w:val="single" w:color="auto"/>
                <w:lang w:val="en-US" w:eastAsia="zh-CN"/>
              </w:rPr>
              <w:t>表7-1  卓达金谷创业园污水处理工艺</w:t>
            </w:r>
          </w:p>
          <w:p>
            <w:pPr>
              <w:pStyle w:val="4"/>
              <w:adjustRightInd w:val="0"/>
              <w:snapToGrid w:val="0"/>
              <w:spacing w:line="360" w:lineRule="auto"/>
              <w:ind w:firstLineChars="175"/>
              <w:rPr>
                <w:rFonts w:hint="default" w:eastAsia="宋体"/>
                <w:sz w:val="24"/>
                <w:u w:val="single" w:color="auto"/>
                <w:lang w:val="en-US" w:eastAsia="zh-CN"/>
              </w:rPr>
            </w:pPr>
            <w:r>
              <w:rPr>
                <w:rFonts w:hint="eastAsia"/>
                <w:sz w:val="24"/>
                <w:u w:val="single" w:color="auto"/>
                <w:lang w:val="en-US" w:eastAsia="zh-CN"/>
              </w:rPr>
              <w:t>本项目生活污水总排放量为300m</w:t>
            </w:r>
            <w:r>
              <w:rPr>
                <w:rFonts w:hint="eastAsia"/>
                <w:sz w:val="24"/>
                <w:u w:val="single" w:color="auto"/>
                <w:vertAlign w:val="superscript"/>
                <w:lang w:val="en-US" w:eastAsia="zh-CN"/>
              </w:rPr>
              <w:t>3</w:t>
            </w:r>
            <w:r>
              <w:rPr>
                <w:rFonts w:hint="eastAsia"/>
                <w:sz w:val="24"/>
                <w:u w:val="single" w:color="auto"/>
                <w:lang w:val="en-US" w:eastAsia="zh-CN"/>
              </w:rPr>
              <w:t>/a（约</w:t>
            </w:r>
            <w:r>
              <w:rPr>
                <w:rFonts w:hint="eastAsia" w:cs="Times New Roman"/>
                <w:sz w:val="24"/>
                <w:szCs w:val="24"/>
                <w:u w:val="single" w:color="auto"/>
                <w:lang w:val="en-US" w:eastAsia="zh-CN"/>
              </w:rPr>
              <w:t>1</w:t>
            </w:r>
            <w:r>
              <w:rPr>
                <w:rFonts w:hint="default" w:ascii="Times New Roman" w:hAnsi="Times New Roman" w:cs="Times New Roman"/>
                <w:bCs/>
                <w:sz w:val="24"/>
                <w:szCs w:val="24"/>
                <w:u w:val="single" w:color="auto"/>
              </w:rPr>
              <w:t>m</w:t>
            </w:r>
            <w:r>
              <w:rPr>
                <w:rFonts w:hint="default" w:ascii="Times New Roman" w:hAnsi="Times New Roman" w:cs="Times New Roman"/>
                <w:bCs/>
                <w:sz w:val="24"/>
                <w:szCs w:val="24"/>
                <w:u w:val="single" w:color="auto"/>
                <w:vertAlign w:val="superscript"/>
              </w:rPr>
              <w:t>3</w:t>
            </w:r>
            <w:r>
              <w:rPr>
                <w:rFonts w:hint="default" w:ascii="Times New Roman" w:hAnsi="Times New Roman" w:cs="Times New Roman"/>
                <w:bCs/>
                <w:sz w:val="24"/>
                <w:szCs w:val="24"/>
                <w:u w:val="single" w:color="auto"/>
              </w:rPr>
              <w:t>/d</w:t>
            </w:r>
            <w:r>
              <w:rPr>
                <w:rFonts w:hint="eastAsia"/>
                <w:sz w:val="24"/>
                <w:u w:val="single" w:color="auto"/>
                <w:lang w:val="en-US" w:eastAsia="zh-CN"/>
              </w:rPr>
              <w:t>），自建的污水处理站处理量为1500m</w:t>
            </w:r>
            <w:r>
              <w:rPr>
                <w:rFonts w:hint="eastAsia"/>
                <w:sz w:val="24"/>
                <w:u w:val="single" w:color="auto"/>
                <w:vertAlign w:val="superscript"/>
                <w:lang w:val="en-US" w:eastAsia="zh-CN"/>
              </w:rPr>
              <w:t>3</w:t>
            </w:r>
            <w:r>
              <w:rPr>
                <w:rFonts w:hint="eastAsia"/>
                <w:sz w:val="24"/>
                <w:u w:val="single" w:color="auto"/>
                <w:lang w:val="en-US" w:eastAsia="zh-CN"/>
              </w:rPr>
              <w:t>/d，目前自建的污水处理站实际处理水量约为1075</w:t>
            </w:r>
            <w:r>
              <w:rPr>
                <w:rFonts w:hint="default" w:ascii="Times New Roman" w:hAnsi="Times New Roman" w:cs="Times New Roman"/>
                <w:bCs/>
                <w:sz w:val="24"/>
                <w:szCs w:val="24"/>
                <w:u w:val="single" w:color="auto"/>
              </w:rPr>
              <w:t>m</w:t>
            </w:r>
            <w:r>
              <w:rPr>
                <w:rFonts w:hint="default" w:ascii="Times New Roman" w:hAnsi="Times New Roman" w:cs="Times New Roman"/>
                <w:bCs/>
                <w:sz w:val="24"/>
                <w:szCs w:val="24"/>
                <w:u w:val="single" w:color="auto"/>
                <w:vertAlign w:val="superscript"/>
              </w:rPr>
              <w:t>3</w:t>
            </w:r>
            <w:r>
              <w:rPr>
                <w:rFonts w:hint="default" w:ascii="Times New Roman" w:hAnsi="Times New Roman" w:cs="Times New Roman"/>
                <w:bCs/>
                <w:sz w:val="24"/>
                <w:szCs w:val="24"/>
                <w:u w:val="single" w:color="auto"/>
              </w:rPr>
              <w:t>/d</w:t>
            </w:r>
            <w:r>
              <w:rPr>
                <w:rFonts w:hint="eastAsia" w:cs="Times New Roman"/>
                <w:bCs/>
                <w:sz w:val="24"/>
                <w:szCs w:val="24"/>
                <w:u w:val="single" w:color="auto"/>
                <w:lang w:eastAsia="zh-CN"/>
              </w:rPr>
              <w:t>，</w:t>
            </w:r>
            <w:r>
              <w:rPr>
                <w:rFonts w:hint="eastAsia" w:cs="Times New Roman"/>
                <w:bCs/>
                <w:sz w:val="24"/>
                <w:szCs w:val="24"/>
                <w:u w:val="single" w:color="auto"/>
                <w:lang w:val="en-US" w:eastAsia="zh-CN"/>
              </w:rPr>
              <w:t>还有余量接收本项目产生的生活污水。该自建的污水处理站现处理金龙新区工业园污水（在湘阴县第三污水处理厂未建成前的过渡污水处理设施），本项目位于该自建的污水处理站纳污范围内，废水可排入污水处理站内处理，本项目生活污水预处理后经自建的污水处理站处理后，各污染物的浓度均可达到园区污水处理厂的进水设计要求，故本项目污水排入园区污水处理厂是可行的。</w:t>
            </w:r>
          </w:p>
          <w:p>
            <w:pPr>
              <w:pStyle w:val="187"/>
              <w:spacing w:line="360" w:lineRule="auto"/>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污水进入湖南</w:t>
            </w:r>
            <w:r>
              <w:rPr>
                <w:rFonts w:hint="default" w:ascii="Times New Roman" w:hAnsi="Times New Roman" w:cs="Times New Roman"/>
                <w:color w:val="auto"/>
                <w:sz w:val="24"/>
                <w:szCs w:val="24"/>
                <w:u w:val="single" w:color="auto"/>
                <w:lang w:eastAsia="zh-CN"/>
              </w:rPr>
              <w:t>湘阴县</w:t>
            </w:r>
            <w:r>
              <w:rPr>
                <w:rFonts w:hint="default" w:ascii="Times New Roman" w:hAnsi="Times New Roman" w:cs="Times New Roman"/>
                <w:color w:val="auto"/>
                <w:sz w:val="24"/>
                <w:szCs w:val="24"/>
                <w:u w:val="single" w:color="auto"/>
              </w:rPr>
              <w:t>金龙新区污水处理厂</w:t>
            </w:r>
            <w:r>
              <w:rPr>
                <w:rFonts w:hint="eastAsia" w:cs="Times New Roman"/>
                <w:color w:val="auto"/>
                <w:sz w:val="24"/>
                <w:szCs w:val="24"/>
                <w:u w:val="single" w:color="auto"/>
                <w:lang w:eastAsia="zh-CN"/>
              </w:rPr>
              <w:t>（湘阴县第三污水处理厂）</w:t>
            </w:r>
            <w:r>
              <w:rPr>
                <w:rFonts w:hint="default" w:ascii="Times New Roman" w:hAnsi="Times New Roman" w:cs="Times New Roman"/>
                <w:color w:val="auto"/>
                <w:sz w:val="24"/>
                <w:szCs w:val="24"/>
                <w:u w:val="single" w:color="auto"/>
              </w:rPr>
              <w:t>可行性分析</w:t>
            </w:r>
          </w:p>
          <w:p>
            <w:pPr>
              <w:pStyle w:val="174"/>
              <w:spacing w:line="360" w:lineRule="auto"/>
              <w:ind w:firstLine="466" w:firstLineChars="200"/>
              <w:rPr>
                <w:rFonts w:hint="default" w:ascii="Times New Roman" w:hAnsi="Times New Roman" w:cs="Times New Roman"/>
                <w:color w:val="auto"/>
                <w:sz w:val="24"/>
                <w:szCs w:val="24"/>
                <w:u w:val="single" w:color="auto"/>
              </w:rPr>
            </w:pPr>
            <w:r>
              <w:rPr>
                <w:rFonts w:hint="eastAsia" w:ascii="宋体" w:hAnsi="宋体"/>
                <w:color w:val="auto"/>
                <w:sz w:val="24"/>
                <w:u w:val="single" w:color="auto"/>
              </w:rPr>
              <w:t>湖南湘阴县第三污水处理厂位于湖南</w:t>
            </w:r>
            <w:r>
              <w:rPr>
                <w:rFonts w:hint="eastAsia"/>
                <w:snapToGrid w:val="0"/>
                <w:color w:val="auto"/>
                <w:sz w:val="24"/>
                <w:u w:val="single" w:color="auto"/>
              </w:rPr>
              <w:t>金龙镇金华村</w:t>
            </w:r>
            <w:r>
              <w:rPr>
                <w:rFonts w:hint="eastAsia" w:ascii="宋体" w:hAnsi="宋体"/>
                <w:color w:val="auto"/>
                <w:sz w:val="24"/>
                <w:u w:val="single" w:color="auto"/>
              </w:rPr>
              <w:t>，处理能力为</w:t>
            </w:r>
            <w:r>
              <w:rPr>
                <w:rFonts w:hint="eastAsia"/>
                <w:color w:val="auto"/>
                <w:sz w:val="24"/>
                <w:u w:val="single" w:color="auto"/>
              </w:rPr>
              <w:t>2</w:t>
            </w:r>
            <w:r>
              <w:rPr>
                <w:rFonts w:hint="eastAsia" w:ascii="宋体" w:hAnsi="宋体"/>
                <w:color w:val="auto"/>
                <w:sz w:val="24"/>
                <w:u w:val="single" w:color="auto"/>
              </w:rPr>
              <w:t>万</w:t>
            </w:r>
            <w:r>
              <w:rPr>
                <w:rFonts w:hint="eastAsia"/>
                <w:color w:val="auto"/>
                <w:sz w:val="24"/>
                <w:u w:val="single" w:color="auto"/>
              </w:rPr>
              <w:t>t/d</w:t>
            </w:r>
            <w:r>
              <w:rPr>
                <w:rFonts w:hint="eastAsia" w:ascii="宋体" w:hAnsi="宋体"/>
                <w:color w:val="auto"/>
                <w:sz w:val="24"/>
                <w:u w:val="single" w:color="auto"/>
              </w:rPr>
              <w:t>，采用卡鲁塞尔氧化沟工艺，污水经进水泵房提升后，进入细格栅间及涡流沉砂池处理，然后进入氧化沟进行生物处理，再进入二沉池进行泥水分离后达标排放。二沉池泥水分离过程中产生的污泥一部分通过回流泵房进入氧化沟循环利用，一部分以剩余污泥的形式进入脱水车间经脱水后形成干污泥，再外运填埋处理。湖南湘阴县第三污水处理厂主要收集金龙镇区域和金龙工业小区，项目建成后将接纳金龙镇区域生活污水和金龙工业小区工业污水</w:t>
            </w:r>
            <w:r>
              <w:rPr>
                <w:rFonts w:hint="default" w:ascii="Times New Roman" w:hAnsi="Times New Roman" w:cs="Times New Roman"/>
                <w:color w:val="auto"/>
                <w:sz w:val="24"/>
                <w:szCs w:val="24"/>
                <w:u w:val="single" w:color="auto"/>
              </w:rPr>
              <w:t>。</w:t>
            </w:r>
          </w:p>
          <w:p>
            <w:pPr>
              <w:pStyle w:val="174"/>
              <w:spacing w:line="360" w:lineRule="auto"/>
              <w:ind w:firstLine="466"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湖南</w:t>
            </w:r>
            <w:r>
              <w:rPr>
                <w:rFonts w:hint="default" w:ascii="Times New Roman" w:hAnsi="Times New Roman" w:cs="Times New Roman"/>
                <w:color w:val="auto"/>
                <w:sz w:val="24"/>
                <w:szCs w:val="24"/>
                <w:u w:val="single" w:color="auto"/>
                <w:lang w:eastAsia="zh-CN"/>
              </w:rPr>
              <w:t>湘阴县</w:t>
            </w:r>
            <w:r>
              <w:rPr>
                <w:rFonts w:hint="default" w:ascii="Times New Roman" w:hAnsi="Times New Roman" w:cs="Times New Roman"/>
                <w:color w:val="auto"/>
                <w:sz w:val="24"/>
                <w:szCs w:val="24"/>
                <w:u w:val="single" w:color="auto"/>
              </w:rPr>
              <w:t>金龙新区污水处理厂</w:t>
            </w:r>
            <w:r>
              <w:rPr>
                <w:rFonts w:hint="eastAsia" w:cs="Times New Roman"/>
                <w:color w:val="auto"/>
                <w:sz w:val="24"/>
                <w:szCs w:val="24"/>
                <w:u w:val="single" w:color="auto"/>
                <w:lang w:eastAsia="zh-CN"/>
              </w:rPr>
              <w:t>（湘阴县第三污水处理厂）</w:t>
            </w:r>
            <w:r>
              <w:rPr>
                <w:rFonts w:hint="default" w:ascii="Times New Roman" w:hAnsi="Times New Roman" w:cs="Times New Roman"/>
                <w:color w:val="auto"/>
                <w:sz w:val="24"/>
                <w:szCs w:val="24"/>
                <w:u w:val="single" w:color="auto"/>
              </w:rPr>
              <w:t>主要收集金龙新区工业园区、金龙镇的生活污水和工业废水。根据调查，本项目位于</w:t>
            </w:r>
            <w:r>
              <w:rPr>
                <w:rFonts w:hint="eastAsia" w:cs="Times New Roman"/>
                <w:color w:val="auto"/>
                <w:sz w:val="24"/>
                <w:szCs w:val="24"/>
                <w:u w:val="single" w:color="auto"/>
                <w:lang w:val="en-US" w:eastAsia="zh-CN"/>
              </w:rPr>
              <w:t>岳阳市金龙新区工业园内，属于</w:t>
            </w:r>
            <w:r>
              <w:rPr>
                <w:rFonts w:hint="default" w:ascii="Times New Roman" w:hAnsi="Times New Roman" w:cs="Times New Roman"/>
                <w:color w:val="auto"/>
                <w:sz w:val="24"/>
                <w:szCs w:val="24"/>
                <w:u w:val="single" w:color="auto"/>
              </w:rPr>
              <w:t>湖南</w:t>
            </w:r>
            <w:r>
              <w:rPr>
                <w:rFonts w:hint="default" w:ascii="Times New Roman" w:hAnsi="Times New Roman" w:cs="Times New Roman"/>
                <w:color w:val="auto"/>
                <w:sz w:val="24"/>
                <w:szCs w:val="24"/>
                <w:u w:val="single" w:color="auto"/>
                <w:lang w:eastAsia="zh-CN"/>
              </w:rPr>
              <w:t>湘阴县</w:t>
            </w:r>
            <w:r>
              <w:rPr>
                <w:rFonts w:hint="default" w:ascii="Times New Roman" w:hAnsi="Times New Roman" w:cs="Times New Roman"/>
                <w:color w:val="auto"/>
                <w:sz w:val="24"/>
                <w:szCs w:val="24"/>
                <w:u w:val="single" w:color="auto"/>
              </w:rPr>
              <w:t>金龙新区污水处理厂纳污区域</w:t>
            </w:r>
            <w:r>
              <w:rPr>
                <w:rFonts w:hint="eastAsia" w:cs="Times New Roman"/>
                <w:color w:val="auto"/>
                <w:sz w:val="24"/>
                <w:szCs w:val="24"/>
                <w:u w:val="single" w:color="auto"/>
                <w:lang w:val="en-US" w:eastAsia="zh-CN"/>
              </w:rPr>
              <w:t>内</w:t>
            </w:r>
            <w:r>
              <w:rPr>
                <w:rFonts w:hint="default" w:ascii="Times New Roman" w:hAnsi="Times New Roman" w:cs="Times New Roman"/>
                <w:color w:val="auto"/>
                <w:sz w:val="24"/>
                <w:szCs w:val="24"/>
                <w:u w:val="single" w:color="auto"/>
              </w:rPr>
              <w:t>。</w:t>
            </w:r>
          </w:p>
          <w:p>
            <w:pPr>
              <w:pStyle w:val="174"/>
              <w:spacing w:line="360" w:lineRule="auto"/>
              <w:ind w:firstLine="466"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项目处于湖南</w:t>
            </w:r>
            <w:r>
              <w:rPr>
                <w:rFonts w:hint="default" w:ascii="Times New Roman" w:hAnsi="Times New Roman" w:cs="Times New Roman"/>
                <w:color w:val="auto"/>
                <w:sz w:val="24"/>
                <w:szCs w:val="24"/>
                <w:u w:val="single" w:color="auto"/>
                <w:lang w:eastAsia="zh-CN"/>
              </w:rPr>
              <w:t>湘阴县</w:t>
            </w:r>
            <w:r>
              <w:rPr>
                <w:rFonts w:hint="default" w:ascii="Times New Roman" w:hAnsi="Times New Roman" w:cs="Times New Roman"/>
                <w:color w:val="auto"/>
                <w:sz w:val="24"/>
                <w:szCs w:val="24"/>
                <w:u w:val="single" w:color="auto"/>
              </w:rPr>
              <w:t>金龙新区污水处理厂</w:t>
            </w:r>
            <w:r>
              <w:rPr>
                <w:rFonts w:hint="eastAsia" w:cs="Times New Roman"/>
                <w:color w:val="auto"/>
                <w:sz w:val="24"/>
                <w:szCs w:val="24"/>
                <w:u w:val="single" w:color="auto"/>
                <w:lang w:eastAsia="zh-CN"/>
              </w:rPr>
              <w:t>（湘阴县第三污水处理厂）</w:t>
            </w:r>
            <w:r>
              <w:rPr>
                <w:rFonts w:hint="default" w:ascii="Times New Roman" w:hAnsi="Times New Roman" w:cs="Times New Roman"/>
                <w:color w:val="auto"/>
                <w:sz w:val="24"/>
                <w:szCs w:val="24"/>
                <w:u w:val="single" w:color="auto"/>
              </w:rPr>
              <w:t>纳污范围内，区域污水管网正在加紧建设中。项目建成营运后，污水排放量为</w:t>
            </w:r>
            <w:r>
              <w:rPr>
                <w:rFonts w:hint="eastAsia" w:cs="Times New Roman"/>
                <w:color w:val="auto"/>
                <w:sz w:val="24"/>
                <w:szCs w:val="24"/>
                <w:u w:val="single" w:color="auto"/>
                <w:lang w:val="en-US" w:eastAsia="zh-CN"/>
              </w:rPr>
              <w:t>1</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3</w:t>
            </w:r>
            <w:r>
              <w:rPr>
                <w:rFonts w:hint="default" w:ascii="Times New Roman" w:hAnsi="Times New Roman" w:cs="Times New Roman"/>
                <w:color w:val="auto"/>
                <w:sz w:val="24"/>
                <w:szCs w:val="24"/>
                <w:u w:val="single" w:color="auto"/>
              </w:rPr>
              <w:t>/d，主要来自于管理人员的生活</w:t>
            </w:r>
            <w:r>
              <w:rPr>
                <w:rFonts w:hint="default" w:ascii="Times New Roman" w:hAnsi="Times New Roman" w:cs="Times New Roman"/>
                <w:color w:val="auto"/>
                <w:sz w:val="24"/>
                <w:szCs w:val="24"/>
                <w:u w:val="single" w:color="auto"/>
                <w:lang w:eastAsia="zh-CN"/>
              </w:rPr>
              <w:t>污水</w:t>
            </w:r>
            <w:r>
              <w:rPr>
                <w:rFonts w:hint="default" w:ascii="Times New Roman" w:hAnsi="Times New Roman" w:cs="Times New Roman"/>
                <w:color w:val="auto"/>
                <w:sz w:val="24"/>
                <w:szCs w:val="24"/>
                <w:u w:val="single" w:color="auto"/>
              </w:rPr>
              <w:t>，主要污染物为COD</w:t>
            </w:r>
            <w:r>
              <w:rPr>
                <w:rFonts w:hint="default" w:ascii="Times New Roman" w:hAnsi="Times New Roman" w:cs="Times New Roman"/>
                <w:color w:val="auto"/>
                <w:sz w:val="24"/>
                <w:szCs w:val="24"/>
                <w:u w:val="single" w:color="auto"/>
                <w:vertAlign w:val="subscript"/>
              </w:rPr>
              <w:t>Cr</w:t>
            </w:r>
            <w:r>
              <w:rPr>
                <w:rFonts w:hint="default" w:ascii="Times New Roman" w:hAnsi="Times New Roman" w:cs="Times New Roman"/>
                <w:color w:val="auto"/>
                <w:sz w:val="24"/>
                <w:szCs w:val="24"/>
                <w:u w:val="single" w:color="auto"/>
              </w:rPr>
              <w:t>、BOD</w:t>
            </w:r>
            <w:r>
              <w:rPr>
                <w:rFonts w:hint="default" w:ascii="Times New Roman" w:hAnsi="Times New Roman" w:cs="Times New Roman"/>
                <w:color w:val="auto"/>
                <w:sz w:val="24"/>
                <w:szCs w:val="24"/>
                <w:u w:val="single" w:color="auto"/>
                <w:vertAlign w:val="subscript"/>
              </w:rPr>
              <w:t>5</w:t>
            </w:r>
            <w:r>
              <w:rPr>
                <w:rFonts w:hint="default" w:ascii="Times New Roman" w:hAnsi="Times New Roman" w:cs="Times New Roman"/>
                <w:color w:val="auto"/>
                <w:sz w:val="24"/>
                <w:szCs w:val="24"/>
                <w:u w:val="single" w:color="auto"/>
              </w:rPr>
              <w:t>、NH</w:t>
            </w:r>
            <w:r>
              <w:rPr>
                <w:rFonts w:hint="default" w:ascii="Times New Roman" w:hAnsi="Times New Roman" w:cs="Times New Roman"/>
                <w:color w:val="auto"/>
                <w:sz w:val="24"/>
                <w:szCs w:val="24"/>
                <w:u w:val="single" w:color="auto"/>
                <w:vertAlign w:val="subscript"/>
              </w:rPr>
              <w:t>3</w:t>
            </w:r>
            <w:r>
              <w:rPr>
                <w:rFonts w:hint="default" w:ascii="Times New Roman" w:hAnsi="Times New Roman" w:cs="Times New Roman"/>
                <w:color w:val="auto"/>
                <w:sz w:val="24"/>
                <w:szCs w:val="24"/>
                <w:u w:val="single" w:color="auto"/>
              </w:rPr>
              <w:t>-N、SS、动植物油，均为工业园污水处理厂常规处理项目。污水经</w:t>
            </w:r>
            <w:r>
              <w:rPr>
                <w:rFonts w:hint="default" w:ascii="Times New Roman" w:hAnsi="Times New Roman" w:cs="Times New Roman"/>
                <w:color w:val="auto"/>
                <w:sz w:val="24"/>
                <w:szCs w:val="24"/>
                <w:u w:val="single" w:color="auto"/>
                <w:lang w:eastAsia="zh-CN"/>
              </w:rPr>
              <w:t>化粪池</w:t>
            </w:r>
            <w:r>
              <w:rPr>
                <w:rFonts w:hint="default" w:ascii="Times New Roman" w:hAnsi="Times New Roman" w:cs="Times New Roman"/>
                <w:color w:val="auto"/>
                <w:sz w:val="24"/>
                <w:szCs w:val="24"/>
                <w:u w:val="single" w:color="auto"/>
              </w:rPr>
              <w:t>处理后进入园区污水管网汇入湖南</w:t>
            </w:r>
            <w:r>
              <w:rPr>
                <w:rFonts w:hint="default" w:ascii="Times New Roman" w:hAnsi="Times New Roman" w:cs="Times New Roman"/>
                <w:color w:val="auto"/>
                <w:sz w:val="24"/>
                <w:szCs w:val="24"/>
                <w:u w:val="single" w:color="auto"/>
                <w:lang w:eastAsia="zh-CN"/>
              </w:rPr>
              <w:t>湘阴县</w:t>
            </w:r>
            <w:r>
              <w:rPr>
                <w:rFonts w:hint="default" w:ascii="Times New Roman" w:hAnsi="Times New Roman" w:cs="Times New Roman"/>
                <w:color w:val="auto"/>
                <w:sz w:val="24"/>
                <w:szCs w:val="24"/>
                <w:u w:val="single" w:color="auto"/>
              </w:rPr>
              <w:t>金龙新区污水处理厂，不会对该厂水质、水量造成冲击。因此，本项目污水纳入工业园污水处理厂集中处理是可行可靠的。</w:t>
            </w:r>
          </w:p>
          <w:p>
            <w:pPr>
              <w:pStyle w:val="174"/>
              <w:spacing w:line="360" w:lineRule="auto"/>
              <w:ind w:firstLine="466" w:firstLineChars="200"/>
              <w:rPr>
                <w:rFonts w:hint="default" w:ascii="Times New Roman" w:hAnsi="Times New Roman" w:cs="Times New Roman"/>
                <w:color w:val="auto"/>
                <w:sz w:val="24"/>
                <w:szCs w:val="24"/>
                <w:u w:val="single" w:color="auto"/>
              </w:rPr>
            </w:pPr>
            <w:r>
              <w:rPr>
                <w:rFonts w:hint="default" w:ascii="Times New Roman" w:hAnsi="Times New Roman" w:cs="Times New Roman"/>
                <w:color w:val="auto"/>
                <w:sz w:val="24"/>
                <w:szCs w:val="24"/>
                <w:u w:val="single" w:color="auto"/>
              </w:rPr>
              <w:t>项目废水经湖南</w:t>
            </w:r>
            <w:r>
              <w:rPr>
                <w:rFonts w:hint="default" w:ascii="Times New Roman" w:hAnsi="Times New Roman" w:cs="Times New Roman"/>
                <w:color w:val="auto"/>
                <w:sz w:val="24"/>
                <w:szCs w:val="24"/>
                <w:u w:val="single" w:color="auto"/>
                <w:lang w:eastAsia="zh-CN"/>
              </w:rPr>
              <w:t>湘阴县</w:t>
            </w:r>
            <w:r>
              <w:rPr>
                <w:rFonts w:hint="default" w:ascii="Times New Roman" w:hAnsi="Times New Roman" w:cs="Times New Roman"/>
                <w:color w:val="auto"/>
                <w:sz w:val="24"/>
                <w:szCs w:val="24"/>
                <w:u w:val="single" w:color="auto"/>
              </w:rPr>
              <w:t>金龙新区污水处理厂处理后，达到《城镇污水处理厂污染物排放标准》（GB18918-2002）中的一级标准（A标准）后排入</w:t>
            </w:r>
            <w:r>
              <w:rPr>
                <w:rFonts w:hint="default" w:ascii="Times New Roman" w:hAnsi="Times New Roman" w:cs="Times New Roman"/>
                <w:color w:val="auto"/>
                <w:sz w:val="24"/>
                <w:szCs w:val="24"/>
                <w:u w:val="single" w:color="auto"/>
                <w:lang w:eastAsia="zh-CN"/>
              </w:rPr>
              <w:t>洋沙河</w:t>
            </w:r>
            <w:r>
              <w:rPr>
                <w:rFonts w:hint="eastAsia" w:cs="Times New Roman"/>
                <w:color w:val="auto"/>
                <w:sz w:val="24"/>
                <w:szCs w:val="24"/>
                <w:u w:val="single" w:color="auto"/>
                <w:lang w:val="en-US" w:eastAsia="zh-CN"/>
              </w:rPr>
              <w:t>进入洋沙湖</w:t>
            </w:r>
            <w:r>
              <w:rPr>
                <w:rFonts w:hint="default" w:ascii="Times New Roman" w:hAnsi="Times New Roman" w:cs="Times New Roman"/>
                <w:color w:val="auto"/>
                <w:sz w:val="24"/>
                <w:szCs w:val="24"/>
                <w:u w:val="single" w:color="auto"/>
                <w:lang w:eastAsia="zh-CN"/>
              </w:rPr>
              <w:t>，最终汇入</w:t>
            </w:r>
            <w:r>
              <w:rPr>
                <w:rFonts w:hint="default" w:ascii="Times New Roman" w:hAnsi="Times New Roman" w:cs="Times New Roman"/>
                <w:color w:val="auto"/>
                <w:sz w:val="24"/>
                <w:szCs w:val="24"/>
                <w:u w:val="single" w:color="auto"/>
              </w:rPr>
              <w:t>湘江。因此，项目废水达标排放后对湘江水质影响较小。</w:t>
            </w:r>
          </w:p>
          <w:p>
            <w:pPr>
              <w:pStyle w:val="4"/>
              <w:adjustRightInd w:val="0"/>
              <w:snapToGrid w:val="0"/>
              <w:spacing w:line="360" w:lineRule="auto"/>
              <w:ind w:firstLineChars="175"/>
              <w:rPr>
                <w:rFonts w:hint="default" w:eastAsia="宋体"/>
                <w:sz w:val="24"/>
                <w:szCs w:val="24"/>
                <w:u w:val="none" w:color="auto"/>
                <w:lang w:val="en-US" w:eastAsia="zh-CN"/>
              </w:rPr>
            </w:pPr>
            <w:r>
              <w:rPr>
                <w:rFonts w:hint="default" w:ascii="Times New Roman" w:hAnsi="Times New Roman" w:cs="Times New Roman"/>
                <w:color w:val="auto"/>
                <w:sz w:val="24"/>
                <w:szCs w:val="24"/>
                <w:u w:val="single" w:color="auto"/>
              </w:rPr>
              <w:t>故本项目</w:t>
            </w:r>
            <w:r>
              <w:rPr>
                <w:rFonts w:hint="default" w:ascii="Times New Roman" w:hAnsi="Times New Roman" w:cs="Times New Roman"/>
                <w:color w:val="auto"/>
                <w:sz w:val="24"/>
                <w:szCs w:val="24"/>
                <w:u w:val="single" w:color="auto"/>
                <w:lang w:eastAsia="zh-CN"/>
              </w:rPr>
              <w:t>生活污水</w:t>
            </w:r>
            <w:r>
              <w:rPr>
                <w:rFonts w:hint="default" w:ascii="Times New Roman" w:hAnsi="Times New Roman" w:cs="Times New Roman"/>
                <w:color w:val="auto"/>
                <w:sz w:val="24"/>
                <w:szCs w:val="24"/>
                <w:u w:val="single" w:color="auto"/>
              </w:rPr>
              <w:t>通过上述措施处理后可达标排放，不会对周边环境造成明显的影响</w:t>
            </w:r>
            <w:r>
              <w:rPr>
                <w:rFonts w:hint="eastAsia"/>
                <w:sz w:val="24"/>
                <w:szCs w:val="24"/>
                <w:u w:val="none" w:color="auto"/>
                <w:lang w:eastAsia="zh-CN"/>
              </w:rPr>
              <w:t>。</w:t>
            </w:r>
          </w:p>
          <w:p>
            <w:pPr>
              <w:pStyle w:val="185"/>
              <w:keepNext w:val="0"/>
              <w:keepLines w:val="0"/>
              <w:pageBreakBefore w:val="0"/>
              <w:widowControl w:val="0"/>
              <w:kinsoku/>
              <w:wordWrap/>
              <w:overflowPunct/>
              <w:topLinePunct w:val="0"/>
              <w:autoSpaceDE/>
              <w:autoSpaceDN/>
              <w:bidi w:val="0"/>
              <w:adjustRightInd/>
              <w:snapToGrid/>
              <w:spacing w:line="360" w:lineRule="auto"/>
              <w:ind w:left="0" w:leftChars="0" w:right="0" w:firstLine="466" w:firstLineChars="200"/>
              <w:jc w:val="both"/>
              <w:textAlignment w:val="baseline"/>
              <w:rPr>
                <w:rFonts w:hint="default" w:ascii="Times New Roman" w:hAnsi="Times New Roman" w:cs="Times New Roman"/>
                <w:b w:val="0"/>
                <w:bCs w:val="0"/>
                <w:color w:val="auto"/>
                <w:sz w:val="24"/>
                <w:szCs w:val="24"/>
                <w:u w:val="none" w:color="auto"/>
                <w:lang w:val="en-US" w:eastAsia="zh-CN"/>
              </w:rPr>
            </w:pPr>
            <w:r>
              <w:rPr>
                <w:rFonts w:hint="eastAsia" w:cs="Times New Roman"/>
                <w:b w:val="0"/>
                <w:bCs w:val="0"/>
                <w:color w:val="auto"/>
                <w:sz w:val="24"/>
                <w:szCs w:val="24"/>
                <w:u w:val="none" w:color="auto"/>
                <w:lang w:val="en-US" w:eastAsia="zh-CN"/>
              </w:rPr>
              <w:t>（4）</w:t>
            </w:r>
            <w:r>
              <w:rPr>
                <w:rFonts w:hint="default" w:ascii="Times New Roman" w:hAnsi="Times New Roman" w:cs="Times New Roman"/>
                <w:b w:val="0"/>
                <w:bCs w:val="0"/>
                <w:color w:val="auto"/>
                <w:sz w:val="24"/>
                <w:szCs w:val="24"/>
                <w:u w:val="none" w:color="auto"/>
                <w:lang w:val="en-US" w:eastAsia="zh-CN"/>
              </w:rPr>
              <w:t>污染物排放量核算表</w:t>
            </w:r>
          </w:p>
          <w:p>
            <w:pPr>
              <w:spacing w:line="360" w:lineRule="auto"/>
              <w:ind w:firstLine="466" w:firstLineChars="200"/>
              <w:jc w:val="both"/>
              <w:rPr>
                <w:rFonts w:hint="default" w:ascii="Times New Roman" w:hAnsi="Times New Roman" w:cs="Times New Roman"/>
                <w:color w:val="auto"/>
                <w:sz w:val="24"/>
                <w:szCs w:val="32"/>
                <w:u w:val="none" w:color="auto"/>
                <w:lang w:eastAsia="zh-CN"/>
              </w:rPr>
            </w:pPr>
            <w:r>
              <w:rPr>
                <w:rFonts w:hint="default" w:ascii="Times New Roman" w:hAnsi="Times New Roman" w:cs="Times New Roman"/>
                <w:b w:val="0"/>
                <w:bCs w:val="0"/>
                <w:color w:val="auto"/>
                <w:sz w:val="24"/>
                <w:szCs w:val="24"/>
                <w:u w:val="none" w:color="auto"/>
                <w:lang w:val="en-US" w:eastAsia="zh-CN"/>
              </w:rPr>
              <w:t>综上，</w:t>
            </w:r>
            <w:r>
              <w:rPr>
                <w:rFonts w:hint="default" w:ascii="Times New Roman" w:hAnsi="Times New Roman" w:cs="Times New Roman"/>
                <w:b w:val="0"/>
                <w:bCs w:val="0"/>
                <w:color w:val="auto"/>
                <w:sz w:val="24"/>
                <w:szCs w:val="24"/>
                <w:u w:val="none" w:color="auto"/>
              </w:rPr>
              <w:t xml:space="preserve">根据《环境评价技术导则  </w:t>
            </w:r>
            <w:r>
              <w:rPr>
                <w:rFonts w:hint="eastAsia" w:cs="Times New Roman"/>
                <w:b w:val="0"/>
                <w:bCs w:val="0"/>
                <w:color w:val="auto"/>
                <w:sz w:val="24"/>
                <w:szCs w:val="24"/>
                <w:u w:val="none" w:color="auto"/>
                <w:lang w:eastAsia="zh-CN"/>
              </w:rPr>
              <w:t>地表水</w:t>
            </w:r>
            <w:r>
              <w:rPr>
                <w:rFonts w:hint="default" w:ascii="Times New Roman" w:hAnsi="Times New Roman" w:cs="Times New Roman"/>
                <w:b w:val="0"/>
                <w:bCs w:val="0"/>
                <w:color w:val="auto"/>
                <w:sz w:val="24"/>
                <w:szCs w:val="24"/>
                <w:u w:val="none" w:color="auto"/>
              </w:rPr>
              <w:t>环境》</w:t>
            </w:r>
            <w:r>
              <w:rPr>
                <w:rFonts w:hint="default" w:ascii="Times New Roman" w:hAnsi="Times New Roman" w:cs="Times New Roman"/>
                <w:b w:val="0"/>
                <w:bCs w:val="0"/>
                <w:color w:val="auto"/>
                <w:sz w:val="24"/>
                <w:szCs w:val="24"/>
                <w:highlight w:val="none"/>
                <w:u w:val="none" w:color="auto"/>
              </w:rPr>
              <w:t>（HJ2.</w:t>
            </w:r>
            <w:r>
              <w:rPr>
                <w:rFonts w:hint="eastAsia" w:cs="Times New Roman"/>
                <w:b w:val="0"/>
                <w:bCs w:val="0"/>
                <w:color w:val="auto"/>
                <w:sz w:val="24"/>
                <w:szCs w:val="24"/>
                <w:highlight w:val="none"/>
                <w:u w:val="none" w:color="auto"/>
                <w:lang w:val="en-US" w:eastAsia="zh-CN"/>
              </w:rPr>
              <w:t>3</w:t>
            </w:r>
            <w:r>
              <w:rPr>
                <w:rFonts w:hint="default" w:ascii="Times New Roman" w:hAnsi="Times New Roman" w:cs="Times New Roman"/>
                <w:b w:val="0"/>
                <w:bCs w:val="0"/>
                <w:color w:val="auto"/>
                <w:sz w:val="24"/>
                <w:szCs w:val="24"/>
                <w:highlight w:val="none"/>
                <w:u w:val="none" w:color="auto"/>
              </w:rPr>
              <w:t>-20</w:t>
            </w:r>
            <w:r>
              <w:rPr>
                <w:rFonts w:hint="default" w:ascii="Times New Roman" w:hAnsi="Times New Roman" w:cs="Times New Roman"/>
                <w:b w:val="0"/>
                <w:bCs w:val="0"/>
                <w:color w:val="auto"/>
                <w:sz w:val="24"/>
                <w:szCs w:val="24"/>
                <w:highlight w:val="none"/>
                <w:u w:val="none" w:color="auto"/>
                <w:lang w:val="en-US" w:eastAsia="zh-CN"/>
              </w:rPr>
              <w:t>1</w:t>
            </w:r>
            <w:r>
              <w:rPr>
                <w:rFonts w:hint="default" w:ascii="Times New Roman" w:hAnsi="Times New Roman" w:cs="Times New Roman"/>
                <w:b w:val="0"/>
                <w:bCs w:val="0"/>
                <w:color w:val="auto"/>
                <w:sz w:val="24"/>
                <w:szCs w:val="24"/>
                <w:highlight w:val="none"/>
                <w:u w:val="none" w:color="auto"/>
              </w:rPr>
              <w:t>8）</w:t>
            </w:r>
            <w:r>
              <w:rPr>
                <w:rFonts w:hint="default" w:ascii="Times New Roman" w:hAnsi="Times New Roman" w:cs="Times New Roman"/>
                <w:b w:val="0"/>
                <w:bCs w:val="0"/>
                <w:color w:val="auto"/>
                <w:sz w:val="24"/>
                <w:szCs w:val="24"/>
                <w:highlight w:val="none"/>
                <w:u w:val="none" w:color="auto"/>
                <w:lang w:val="en-US" w:eastAsia="zh-CN"/>
              </w:rPr>
              <w:t>要求</w:t>
            </w:r>
            <w:r>
              <w:rPr>
                <w:rFonts w:hint="default" w:ascii="Times New Roman" w:hAnsi="Times New Roman" w:cs="Times New Roman"/>
                <w:b w:val="0"/>
                <w:bCs w:val="0"/>
                <w:color w:val="auto"/>
                <w:sz w:val="24"/>
                <w:szCs w:val="24"/>
                <w:highlight w:val="none"/>
                <w:u w:val="none" w:color="auto"/>
                <w:lang w:eastAsia="zh-CN"/>
              </w:rPr>
              <w:t>，</w:t>
            </w:r>
            <w:r>
              <w:rPr>
                <w:rFonts w:hint="eastAsia" w:cs="Times New Roman"/>
                <w:b w:val="0"/>
                <w:bCs w:val="0"/>
                <w:color w:val="auto"/>
                <w:sz w:val="24"/>
                <w:szCs w:val="24"/>
                <w:u w:val="none" w:color="auto"/>
                <w:lang w:val="en-US" w:eastAsia="zh-CN"/>
              </w:rPr>
              <w:t>水</w:t>
            </w:r>
            <w:r>
              <w:rPr>
                <w:rFonts w:hint="default" w:ascii="Times New Roman" w:hAnsi="Times New Roman" w:cs="Times New Roman"/>
                <w:b w:val="0"/>
                <w:bCs w:val="0"/>
                <w:color w:val="auto"/>
                <w:sz w:val="24"/>
                <w:szCs w:val="24"/>
                <w:u w:val="none" w:color="auto"/>
                <w:lang w:val="en-US" w:eastAsia="zh-CN"/>
              </w:rPr>
              <w:t>污染物排放核算表见下表：</w:t>
            </w:r>
          </w:p>
          <w:p>
            <w:pPr>
              <w:jc w:val="center"/>
              <w:rPr>
                <w:rFonts w:hint="default" w:ascii="Times New Roman" w:hAnsi="Times New Roman" w:cs="Times New Roman"/>
                <w:color w:val="auto"/>
                <w:sz w:val="24"/>
                <w:szCs w:val="32"/>
                <w:u w:val="none" w:color="auto"/>
                <w:lang w:eastAsia="zh-CN"/>
              </w:rPr>
            </w:pPr>
            <w:r>
              <w:rPr>
                <w:rFonts w:hint="eastAsia" w:cs="Times New Roman"/>
                <w:color w:val="auto"/>
                <w:sz w:val="24"/>
                <w:szCs w:val="32"/>
                <w:u w:val="none" w:color="auto"/>
                <w:lang w:eastAsia="zh-CN"/>
              </w:rPr>
              <w:t>表</w:t>
            </w:r>
            <w:r>
              <w:rPr>
                <w:rFonts w:hint="eastAsia" w:cs="Times New Roman"/>
                <w:color w:val="auto"/>
                <w:sz w:val="24"/>
                <w:szCs w:val="32"/>
                <w:u w:val="none" w:color="auto"/>
                <w:lang w:val="en-US" w:eastAsia="zh-CN"/>
              </w:rPr>
              <w:t>7-11</w:t>
            </w:r>
            <w:r>
              <w:rPr>
                <w:rFonts w:hint="eastAsia" w:cs="Times New Roman"/>
                <w:color w:val="auto"/>
                <w:sz w:val="24"/>
                <w:szCs w:val="32"/>
                <w:u w:val="none" w:color="auto"/>
                <w:lang w:eastAsia="zh-CN"/>
              </w:rPr>
              <w:t>废水类别、污染物及污染治理设施信息表</w:t>
            </w:r>
          </w:p>
          <w:tbl>
            <w:tblPr>
              <w:tblStyle w:val="41"/>
              <w:tblW w:w="906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3"/>
              <w:gridCol w:w="823"/>
              <w:gridCol w:w="824"/>
              <w:gridCol w:w="824"/>
              <w:gridCol w:w="825"/>
              <w:gridCol w:w="824"/>
              <w:gridCol w:w="824"/>
              <w:gridCol w:w="824"/>
              <w:gridCol w:w="824"/>
              <w:gridCol w:w="8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3"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序号</w:t>
                  </w:r>
                </w:p>
              </w:tc>
              <w:tc>
                <w:tcPr>
                  <w:tcW w:w="823"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废水类别</w:t>
                  </w:r>
                </w:p>
              </w:tc>
              <w:tc>
                <w:tcPr>
                  <w:tcW w:w="823"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污染物种类</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排放去向</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排放规律</w:t>
                  </w:r>
                </w:p>
              </w:tc>
              <w:tc>
                <w:tcPr>
                  <w:tcW w:w="2473" w:type="dxa"/>
                  <w:gridSpan w:val="3"/>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污染治理设施</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排放口编号</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排放口设置是否符合要求</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排放口类型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823"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u w:val="none" w:color="auto"/>
                      <w:vertAlign w:val="baseline"/>
                      <w:lang w:eastAsia="zh-CN"/>
                    </w:rPr>
                  </w:pPr>
                </w:p>
              </w:tc>
              <w:tc>
                <w:tcPr>
                  <w:tcW w:w="823"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u w:val="none" w:color="auto"/>
                      <w:vertAlign w:val="baseline"/>
                      <w:lang w:eastAsia="zh-CN"/>
                    </w:rPr>
                  </w:pPr>
                </w:p>
              </w:tc>
              <w:tc>
                <w:tcPr>
                  <w:tcW w:w="823"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u w:val="none" w:color="auto"/>
                      <w:vertAlign w:val="baseline"/>
                      <w:lang w:eastAsia="zh-CN"/>
                    </w:rPr>
                  </w:pPr>
                </w:p>
              </w:tc>
              <w:tc>
                <w:tcPr>
                  <w:tcW w:w="82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污染治理设施编号</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污染治理设施名称</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r>
                    <w:rPr>
                      <w:rFonts w:hint="eastAsia"/>
                      <w:color w:val="auto"/>
                      <w:u w:val="none" w:color="auto"/>
                      <w:vertAlign w:val="baseline"/>
                      <w:lang w:eastAsia="zh-CN"/>
                    </w:rPr>
                    <w:t>污染治理设施工艺</w:t>
                  </w: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u w:val="none" w:color="auto"/>
                      <w:vertAlign w:val="baseli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82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w:t>
                  </w:r>
                </w:p>
              </w:tc>
              <w:tc>
                <w:tcPr>
                  <w:tcW w:w="82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生活废水</w:t>
                  </w:r>
                </w:p>
              </w:tc>
              <w:tc>
                <w:tcPr>
                  <w:tcW w:w="82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both"/>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化学需氧量；氨氮</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val="en-US" w:eastAsia="zh-CN"/>
                    </w:rPr>
                    <w:t>洋沙河</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间断排放</w:t>
                  </w:r>
                </w:p>
              </w:tc>
              <w:tc>
                <w:tcPr>
                  <w:tcW w:w="825"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01</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eastAsia="zh-CN"/>
                    </w:rPr>
                    <w:t>化粪池</w:t>
                  </w:r>
                  <w:r>
                    <w:rPr>
                      <w:rFonts w:hint="eastAsia"/>
                      <w:color w:val="auto"/>
                      <w:sz w:val="22"/>
                      <w:szCs w:val="22"/>
                      <w:u w:val="none" w:color="auto"/>
                      <w:vertAlign w:val="baseline"/>
                      <w:lang w:val="en-US" w:eastAsia="zh-CN"/>
                    </w:rPr>
                    <w:t>（依托园区）</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eastAsia="宋体"/>
                      <w:color w:val="auto"/>
                      <w:sz w:val="22"/>
                      <w:szCs w:val="22"/>
                      <w:u w:val="none" w:color="auto"/>
                      <w:vertAlign w:val="baseline"/>
                      <w:lang w:eastAsia="zh-CN"/>
                    </w:rPr>
                  </w:pPr>
                  <w:r>
                    <w:rPr>
                      <w:rFonts w:hint="eastAsia"/>
                      <w:color w:val="auto"/>
                      <w:sz w:val="22"/>
                      <w:szCs w:val="22"/>
                      <w:u w:val="none" w:color="auto"/>
                      <w:vertAlign w:val="baseline"/>
                      <w:lang w:eastAsia="zh-CN"/>
                    </w:rPr>
                    <w:t>化粪池</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TA001</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符合</w:t>
                  </w:r>
                </w:p>
              </w:tc>
              <w:tc>
                <w:tcPr>
                  <w:tcW w:w="82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湘阴县第三污水处理厂</w:t>
                  </w:r>
                </w:p>
              </w:tc>
            </w:tr>
          </w:tbl>
          <w:p>
            <w:pPr>
              <w:pStyle w:val="39"/>
              <w:jc w:val="center"/>
              <w:rPr>
                <w:rFonts w:hint="default"/>
                <w:color w:val="auto"/>
                <w:sz w:val="24"/>
                <w:szCs w:val="32"/>
                <w:u w:val="none" w:color="auto"/>
                <w:lang w:eastAsia="zh-CN"/>
              </w:rPr>
            </w:pPr>
            <w:r>
              <w:rPr>
                <w:rFonts w:hint="eastAsia"/>
                <w:color w:val="auto"/>
                <w:sz w:val="24"/>
                <w:szCs w:val="32"/>
                <w:u w:val="none" w:color="auto"/>
                <w:lang w:eastAsia="zh-CN"/>
              </w:rPr>
              <w:t>表</w:t>
            </w:r>
            <w:r>
              <w:rPr>
                <w:rFonts w:hint="eastAsia"/>
                <w:color w:val="auto"/>
                <w:sz w:val="24"/>
                <w:szCs w:val="32"/>
                <w:u w:val="none" w:color="auto"/>
                <w:lang w:val="en-US" w:eastAsia="zh-CN"/>
              </w:rPr>
              <w:t xml:space="preserve">7-12 </w:t>
            </w:r>
            <w:r>
              <w:rPr>
                <w:rFonts w:hint="eastAsia"/>
                <w:color w:val="auto"/>
                <w:sz w:val="24"/>
                <w:szCs w:val="32"/>
                <w:u w:val="none" w:color="auto"/>
                <w:lang w:eastAsia="zh-CN"/>
              </w:rPr>
              <w:t>废水间接排放口基本情况表</w:t>
            </w:r>
          </w:p>
          <w:tbl>
            <w:tblPr>
              <w:tblStyle w:val="41"/>
              <w:tblW w:w="90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24"/>
              <w:gridCol w:w="1253"/>
              <w:gridCol w:w="1151"/>
              <w:gridCol w:w="967"/>
              <w:gridCol w:w="632"/>
              <w:gridCol w:w="618"/>
              <w:gridCol w:w="452"/>
              <w:gridCol w:w="717"/>
              <w:gridCol w:w="868"/>
              <w:gridCol w:w="11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46"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序号</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排放口编号</w:t>
                  </w:r>
                </w:p>
              </w:tc>
              <w:tc>
                <w:tcPr>
                  <w:tcW w:w="2404" w:type="dxa"/>
                  <w:gridSpan w:val="2"/>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排放口地理坐标</w:t>
                  </w:r>
                </w:p>
              </w:tc>
              <w:tc>
                <w:tcPr>
                  <w:tcW w:w="967"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eastAsia="zh-CN"/>
                    </w:rPr>
                    <w:t>废水排放量</w:t>
                  </w:r>
                  <w:r>
                    <w:rPr>
                      <w:rFonts w:hint="eastAsia"/>
                      <w:color w:val="auto"/>
                      <w:sz w:val="22"/>
                      <w:szCs w:val="22"/>
                      <w:u w:val="none" w:color="auto"/>
                      <w:vertAlign w:val="baseline"/>
                      <w:lang w:val="en-US" w:eastAsia="zh-CN"/>
                    </w:rPr>
                    <w:t>/（万t/a）</w:t>
                  </w:r>
                </w:p>
              </w:tc>
              <w:tc>
                <w:tcPr>
                  <w:tcW w:w="632"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排放去向</w:t>
                  </w:r>
                </w:p>
              </w:tc>
              <w:tc>
                <w:tcPr>
                  <w:tcW w:w="61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排放规律</w:t>
                  </w:r>
                </w:p>
              </w:tc>
              <w:tc>
                <w:tcPr>
                  <w:tcW w:w="452"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间歇排放时段</w:t>
                  </w:r>
                </w:p>
              </w:tc>
              <w:tc>
                <w:tcPr>
                  <w:tcW w:w="2729" w:type="dxa"/>
                  <w:gridSpan w:val="3"/>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汇入受纳自然水体处地理坐标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446"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1253"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经度</w:t>
                  </w:r>
                </w:p>
              </w:tc>
              <w:tc>
                <w:tcPr>
                  <w:tcW w:w="1151"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维度</w:t>
                  </w:r>
                </w:p>
              </w:tc>
              <w:tc>
                <w:tcPr>
                  <w:tcW w:w="967"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632"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61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452"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717"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名称</w:t>
                  </w:r>
                </w:p>
              </w:tc>
              <w:tc>
                <w:tcPr>
                  <w:tcW w:w="868"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r>
                    <w:rPr>
                      <w:rFonts w:hint="eastAsia"/>
                      <w:color w:val="auto"/>
                      <w:sz w:val="22"/>
                      <w:szCs w:val="22"/>
                      <w:u w:val="none" w:color="auto"/>
                      <w:vertAlign w:val="baseline"/>
                      <w:lang w:eastAsia="zh-CN"/>
                    </w:rPr>
                    <w:t>污染物</w:t>
                  </w:r>
                </w:p>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种类</w:t>
                  </w:r>
                </w:p>
              </w:tc>
              <w:tc>
                <w:tcPr>
                  <w:tcW w:w="114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eastAsia="zh-CN"/>
                    </w:rPr>
                    <w:t>国家或地方污染物排放标准浓度限值</w:t>
                  </w:r>
                  <w:r>
                    <w:rPr>
                      <w:rFonts w:hint="eastAsia"/>
                      <w:color w:val="auto"/>
                      <w:sz w:val="22"/>
                      <w:szCs w:val="22"/>
                      <w:u w:val="none" w:color="auto"/>
                      <w:vertAlign w:val="baselin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446"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1</w:t>
                  </w:r>
                </w:p>
              </w:tc>
              <w:tc>
                <w:tcPr>
                  <w:tcW w:w="824"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TA001</w:t>
                  </w:r>
                </w:p>
              </w:tc>
              <w:tc>
                <w:tcPr>
                  <w:tcW w:w="1253"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default"/>
                      <w:color w:val="auto"/>
                      <w:sz w:val="22"/>
                      <w:szCs w:val="22"/>
                      <w:u w:val="none" w:color="auto"/>
                      <w:vertAlign w:val="baseline"/>
                      <w:lang w:eastAsia="zh-CN"/>
                    </w:rPr>
                    <w:t>112.938571</w:t>
                  </w:r>
                </w:p>
              </w:tc>
              <w:tc>
                <w:tcPr>
                  <w:tcW w:w="1151"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default"/>
                      <w:color w:val="auto"/>
                      <w:sz w:val="22"/>
                      <w:szCs w:val="22"/>
                      <w:u w:val="none" w:color="auto"/>
                      <w:vertAlign w:val="baseline"/>
                      <w:lang w:eastAsia="zh-CN"/>
                    </w:rPr>
                    <w:t>28.529688</w:t>
                  </w:r>
                </w:p>
              </w:tc>
              <w:tc>
                <w:tcPr>
                  <w:tcW w:w="967"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0.03</w:t>
                  </w:r>
                </w:p>
              </w:tc>
              <w:tc>
                <w:tcPr>
                  <w:tcW w:w="632"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外排</w:t>
                  </w:r>
                </w:p>
              </w:tc>
              <w:tc>
                <w:tcPr>
                  <w:tcW w:w="61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eastAsia="zh-CN"/>
                    </w:rPr>
                    <w:t>间接排放</w:t>
                  </w:r>
                </w:p>
              </w:tc>
              <w:tc>
                <w:tcPr>
                  <w:tcW w:w="452"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w:t>
                  </w:r>
                </w:p>
              </w:tc>
              <w:tc>
                <w:tcPr>
                  <w:tcW w:w="717"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r>
                    <w:rPr>
                      <w:rFonts w:hint="eastAsia"/>
                      <w:color w:val="auto"/>
                      <w:sz w:val="22"/>
                      <w:szCs w:val="22"/>
                      <w:u w:val="none" w:color="auto"/>
                      <w:vertAlign w:val="baseline"/>
                      <w:lang w:val="en-US" w:eastAsia="zh-CN"/>
                    </w:rPr>
                    <w:t>湘阴县第三污水处理厂</w:t>
                  </w:r>
                </w:p>
              </w:tc>
              <w:tc>
                <w:tcPr>
                  <w:tcW w:w="868"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r>
                    <w:rPr>
                      <w:rFonts w:hint="eastAsia"/>
                      <w:color w:val="auto"/>
                      <w:sz w:val="22"/>
                      <w:szCs w:val="22"/>
                      <w:u w:val="none" w:color="auto"/>
                      <w:vertAlign w:val="baseline"/>
                      <w:lang w:eastAsia="zh-CN"/>
                    </w:rPr>
                    <w:t>化学需</w:t>
                  </w:r>
                </w:p>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color w:val="auto"/>
                      <w:kern w:val="2"/>
                      <w:sz w:val="22"/>
                      <w:szCs w:val="22"/>
                      <w:u w:val="none" w:color="auto"/>
                      <w:vertAlign w:val="baseline"/>
                      <w:lang w:val="en-US" w:eastAsia="zh-CN" w:bidi="ar-SA"/>
                    </w:rPr>
                  </w:pPr>
                  <w:r>
                    <w:rPr>
                      <w:rFonts w:hint="eastAsia"/>
                      <w:color w:val="auto"/>
                      <w:sz w:val="22"/>
                      <w:szCs w:val="22"/>
                      <w:u w:val="none" w:color="auto"/>
                      <w:vertAlign w:val="baseline"/>
                      <w:lang w:eastAsia="zh-CN"/>
                    </w:rPr>
                    <w:t>氧量</w:t>
                  </w:r>
                </w:p>
              </w:tc>
              <w:tc>
                <w:tcPr>
                  <w:tcW w:w="114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397" w:hRule="atLeast"/>
              </w:trPr>
              <w:tc>
                <w:tcPr>
                  <w:tcW w:w="446"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val="en-US" w:eastAsia="zh-CN"/>
                    </w:rPr>
                  </w:pPr>
                </w:p>
              </w:tc>
              <w:tc>
                <w:tcPr>
                  <w:tcW w:w="824"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val="en-US" w:eastAsia="zh-CN"/>
                    </w:rPr>
                  </w:pPr>
                </w:p>
              </w:tc>
              <w:tc>
                <w:tcPr>
                  <w:tcW w:w="1253"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1151"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eastAsia="zh-CN"/>
                    </w:rPr>
                  </w:pPr>
                </w:p>
              </w:tc>
              <w:tc>
                <w:tcPr>
                  <w:tcW w:w="967"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val="en-US" w:eastAsia="zh-CN"/>
                    </w:rPr>
                  </w:pPr>
                </w:p>
              </w:tc>
              <w:tc>
                <w:tcPr>
                  <w:tcW w:w="632"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61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452"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val="en-US" w:eastAsia="zh-CN"/>
                    </w:rPr>
                  </w:pPr>
                </w:p>
              </w:tc>
              <w:tc>
                <w:tcPr>
                  <w:tcW w:w="717"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p>
              </w:tc>
              <w:tc>
                <w:tcPr>
                  <w:tcW w:w="868"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color w:val="auto"/>
                      <w:sz w:val="22"/>
                      <w:szCs w:val="22"/>
                      <w:u w:val="none" w:color="auto"/>
                      <w:vertAlign w:val="baseline"/>
                      <w:lang w:eastAsia="zh-CN"/>
                    </w:rPr>
                  </w:pPr>
                  <w:r>
                    <w:rPr>
                      <w:rFonts w:hint="eastAsia"/>
                      <w:color w:val="auto"/>
                      <w:sz w:val="22"/>
                      <w:szCs w:val="22"/>
                      <w:u w:val="none" w:color="auto"/>
                      <w:vertAlign w:val="baseline"/>
                      <w:lang w:eastAsia="zh-CN"/>
                    </w:rPr>
                    <w:t>氨氮</w:t>
                  </w:r>
                </w:p>
              </w:tc>
              <w:tc>
                <w:tcPr>
                  <w:tcW w:w="114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color w:val="auto"/>
                      <w:sz w:val="22"/>
                      <w:szCs w:val="22"/>
                      <w:u w:val="none" w:color="auto"/>
                      <w:vertAlign w:val="baseline"/>
                      <w:lang w:val="en-US" w:eastAsia="zh-CN"/>
                    </w:rPr>
                  </w:pPr>
                  <w:r>
                    <w:rPr>
                      <w:rFonts w:hint="eastAsia"/>
                      <w:color w:val="auto"/>
                      <w:sz w:val="22"/>
                      <w:szCs w:val="22"/>
                      <w:u w:val="none" w:color="auto"/>
                      <w:vertAlign w:val="baseline"/>
                      <w:lang w:val="en-US" w:eastAsia="zh-CN"/>
                    </w:rPr>
                    <w:t>8</w:t>
                  </w:r>
                </w:p>
              </w:tc>
            </w:tr>
          </w:tbl>
          <w:p>
            <w:pPr>
              <w:pStyle w:val="39"/>
              <w:ind w:firstLine="3029" w:firstLineChars="1300"/>
              <w:jc w:val="both"/>
              <w:rPr>
                <w:rFonts w:hint="default"/>
                <w:color w:val="auto"/>
                <w:sz w:val="24"/>
                <w:szCs w:val="32"/>
                <w:u w:val="none" w:color="auto"/>
                <w:lang w:eastAsia="zh-CN"/>
              </w:rPr>
            </w:pPr>
            <w:r>
              <w:rPr>
                <w:rFonts w:hint="eastAsia"/>
                <w:color w:val="auto"/>
                <w:sz w:val="24"/>
                <w:szCs w:val="32"/>
                <w:u w:val="none" w:color="auto"/>
                <w:lang w:eastAsia="zh-CN"/>
              </w:rPr>
              <w:t>表</w:t>
            </w:r>
            <w:r>
              <w:rPr>
                <w:rFonts w:hint="eastAsia"/>
                <w:color w:val="auto"/>
                <w:sz w:val="24"/>
                <w:szCs w:val="32"/>
                <w:u w:val="none" w:color="auto"/>
                <w:lang w:val="en-US" w:eastAsia="zh-CN"/>
              </w:rPr>
              <w:t xml:space="preserve">7-13   </w:t>
            </w:r>
            <w:r>
              <w:rPr>
                <w:rFonts w:hint="eastAsia"/>
                <w:color w:val="auto"/>
                <w:sz w:val="24"/>
                <w:szCs w:val="32"/>
                <w:u w:val="none" w:color="auto"/>
                <w:lang w:eastAsia="zh-CN"/>
              </w:rPr>
              <w:t>废水污染物排放执行标准表</w:t>
            </w:r>
          </w:p>
          <w:tbl>
            <w:tblPr>
              <w:tblStyle w:val="41"/>
              <w:tblW w:w="907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68"/>
              <w:gridCol w:w="1282"/>
              <w:gridCol w:w="2686"/>
              <w:gridCol w:w="280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32"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序号</w:t>
                  </w:r>
                </w:p>
              </w:tc>
              <w:tc>
                <w:tcPr>
                  <w:tcW w:w="156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排放口编号</w:t>
                  </w:r>
                </w:p>
              </w:tc>
              <w:tc>
                <w:tcPr>
                  <w:tcW w:w="1282"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污染物种类</w:t>
                  </w:r>
                </w:p>
              </w:tc>
              <w:tc>
                <w:tcPr>
                  <w:tcW w:w="5490" w:type="dxa"/>
                  <w:gridSpan w:val="2"/>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国家或地方污染物排放标准及其他按规定商定的排放协议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32"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156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1282"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2686"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名称</w:t>
                  </w:r>
                </w:p>
              </w:tc>
              <w:tc>
                <w:tcPr>
                  <w:tcW w:w="280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eastAsia="zh-CN"/>
                    </w:rPr>
                    <w:t>浓度限值</w:t>
                  </w:r>
                  <w:r>
                    <w:rPr>
                      <w:rFonts w:hint="default" w:ascii="Times New Roman" w:hAnsi="Times New Roman" w:cs="Times New Roman"/>
                      <w:color w:val="auto"/>
                      <w:sz w:val="22"/>
                      <w:szCs w:val="22"/>
                      <w:u w:val="none" w:color="auto"/>
                      <w:vertAlign w:val="baseline"/>
                      <w:lang w:val="en-US" w:eastAsia="zh-CN"/>
                    </w:rPr>
                    <w:t>/（mg/L）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3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1</w:t>
                  </w:r>
                </w:p>
              </w:tc>
              <w:tc>
                <w:tcPr>
                  <w:tcW w:w="1568"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TA001</w:t>
                  </w:r>
                </w:p>
              </w:tc>
              <w:tc>
                <w:tcPr>
                  <w:tcW w:w="128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化学需</w:t>
                  </w:r>
                </w:p>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氧量</w:t>
                  </w:r>
                </w:p>
              </w:tc>
              <w:tc>
                <w:tcPr>
                  <w:tcW w:w="2686" w:type="dxa"/>
                  <w:vMerge w:val="restart"/>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sz w:val="22"/>
                      <w:szCs w:val="22"/>
                      <w:u w:val="none" w:color="auto"/>
                    </w:rPr>
                    <w:t>《城镇污水处理厂污染物排放标准（GB18918—2002）》中一级标准的A类标准</w:t>
                  </w:r>
                </w:p>
              </w:tc>
              <w:tc>
                <w:tcPr>
                  <w:tcW w:w="280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eastAsia" w:ascii="Times New Roman" w:hAnsi="Times New Roman" w:cs="Times New Roman"/>
                      <w:color w:val="auto"/>
                      <w:sz w:val="22"/>
                      <w:szCs w:val="22"/>
                      <w:u w:val="none" w:color="auto"/>
                      <w:vertAlign w:val="baseline"/>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3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2</w:t>
                  </w:r>
                </w:p>
              </w:tc>
              <w:tc>
                <w:tcPr>
                  <w:tcW w:w="1568"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1282"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氨氮</w:t>
                  </w:r>
                </w:p>
              </w:tc>
              <w:tc>
                <w:tcPr>
                  <w:tcW w:w="2686" w:type="dxa"/>
                  <w:vMerge w:val="continue"/>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eastAsia="zh-CN"/>
                    </w:rPr>
                  </w:pPr>
                </w:p>
              </w:tc>
              <w:tc>
                <w:tcPr>
                  <w:tcW w:w="2804" w:type="dxa"/>
                  <w:tcBorders>
                    <w:tl2br w:val="nil"/>
                    <w:tr2bl w:val="nil"/>
                  </w:tcBorders>
                  <w:noWrap w:val="0"/>
                  <w:vAlign w:val="center"/>
                </w:tcPr>
                <w:p>
                  <w:pPr>
                    <w:pStyle w:val="39"/>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cs="Times New Roman"/>
                      <w:color w:val="auto"/>
                      <w:sz w:val="22"/>
                      <w:szCs w:val="22"/>
                      <w:u w:val="none" w:color="auto"/>
                      <w:vertAlign w:val="baseline"/>
                      <w:lang w:val="en-US" w:eastAsia="zh-CN"/>
                    </w:rPr>
                  </w:pPr>
                  <w:r>
                    <w:rPr>
                      <w:rFonts w:hint="eastAsia" w:ascii="Times New Roman" w:hAnsi="Times New Roman" w:cs="Times New Roman"/>
                      <w:color w:val="auto"/>
                      <w:sz w:val="22"/>
                      <w:szCs w:val="22"/>
                      <w:u w:val="none" w:color="auto"/>
                      <w:vertAlign w:val="baseline"/>
                      <w:lang w:val="en-US" w:eastAsia="zh-CN"/>
                    </w:rPr>
                    <w:t>8</w:t>
                  </w:r>
                </w:p>
              </w:tc>
            </w:tr>
          </w:tbl>
          <w:p>
            <w:pPr>
              <w:jc w:val="center"/>
              <w:rPr>
                <w:rFonts w:hint="default" w:ascii="Times New Roman" w:hAnsi="Times New Roman" w:cs="Times New Roman"/>
                <w:color w:val="auto"/>
                <w:sz w:val="24"/>
                <w:szCs w:val="32"/>
                <w:u w:val="none" w:color="auto"/>
                <w:lang w:eastAsia="zh-CN"/>
              </w:rPr>
            </w:pPr>
            <w:r>
              <w:rPr>
                <w:rFonts w:hint="eastAsia" w:cs="Times New Roman"/>
                <w:color w:val="auto"/>
                <w:sz w:val="24"/>
                <w:szCs w:val="32"/>
                <w:u w:val="none" w:color="auto"/>
                <w:lang w:eastAsia="zh-CN"/>
              </w:rPr>
              <w:t>表</w:t>
            </w:r>
            <w:r>
              <w:rPr>
                <w:rFonts w:hint="eastAsia" w:cs="Times New Roman"/>
                <w:color w:val="auto"/>
                <w:sz w:val="24"/>
                <w:szCs w:val="32"/>
                <w:u w:val="none" w:color="auto"/>
                <w:lang w:val="en-US" w:eastAsia="zh-CN"/>
              </w:rPr>
              <w:t xml:space="preserve">7-14  </w:t>
            </w:r>
            <w:r>
              <w:rPr>
                <w:rFonts w:hint="default" w:ascii="Times New Roman" w:hAnsi="Times New Roman" w:cs="Times New Roman"/>
                <w:color w:val="auto"/>
                <w:sz w:val="24"/>
                <w:szCs w:val="32"/>
                <w:u w:val="none" w:color="auto"/>
                <w:lang w:eastAsia="zh-CN"/>
              </w:rPr>
              <w:t>废水污染物排放信息表</w:t>
            </w:r>
          </w:p>
          <w:tbl>
            <w:tblPr>
              <w:tblStyle w:val="41"/>
              <w:tblW w:w="90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74"/>
              <w:gridCol w:w="1549"/>
              <w:gridCol w:w="1549"/>
              <w:gridCol w:w="1550"/>
              <w:gridCol w:w="22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序号</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排放口编号</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污染物种类</w:t>
                  </w:r>
                </w:p>
              </w:tc>
              <w:tc>
                <w:tcPr>
                  <w:tcW w:w="15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排放浓度（</w:t>
                  </w:r>
                  <w:r>
                    <w:rPr>
                      <w:rFonts w:hint="default" w:ascii="Times New Roman" w:hAnsi="Times New Roman" w:cs="Times New Roman"/>
                      <w:color w:val="auto"/>
                      <w:sz w:val="22"/>
                      <w:szCs w:val="22"/>
                      <w:u w:val="none" w:color="auto"/>
                      <w:vertAlign w:val="baseline"/>
                      <w:lang w:val="en-US" w:eastAsia="zh-CN"/>
                    </w:rPr>
                    <w:t>mg/L</w:t>
                  </w:r>
                  <w:r>
                    <w:rPr>
                      <w:rFonts w:hint="default" w:ascii="Times New Roman" w:hAnsi="Times New Roman" w:cs="Times New Roman"/>
                      <w:color w:val="auto"/>
                      <w:sz w:val="22"/>
                      <w:szCs w:val="22"/>
                      <w:u w:val="none" w:color="auto"/>
                      <w:vertAlign w:val="baseline"/>
                      <w:lang w:eastAsia="zh-CN"/>
                    </w:rPr>
                    <w:t>）</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年排放量（</w:t>
                  </w:r>
                  <w:r>
                    <w:rPr>
                      <w:rFonts w:hint="default" w:ascii="Times New Roman" w:hAnsi="Times New Roman" w:cs="Times New Roman"/>
                      <w:color w:val="auto"/>
                      <w:sz w:val="22"/>
                      <w:szCs w:val="22"/>
                      <w:u w:val="none" w:color="auto"/>
                      <w:vertAlign w:val="baseline"/>
                      <w:lang w:val="en-US" w:eastAsia="zh-CN"/>
                    </w:rPr>
                    <w:t>t/a</w:t>
                  </w:r>
                  <w:r>
                    <w:rPr>
                      <w:rFonts w:hint="default" w:ascii="Times New Roman" w:hAnsi="Times New Roman" w:cs="Times New Roman"/>
                      <w:color w:val="auto"/>
                      <w:sz w:val="22"/>
                      <w:szCs w:val="22"/>
                      <w:u w:val="none" w:color="auto"/>
                      <w:vertAlign w:val="baseli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1</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TA001</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化学需氧量</w:t>
                  </w:r>
                </w:p>
              </w:tc>
              <w:tc>
                <w:tcPr>
                  <w:tcW w:w="15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50</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ascii="Times New Roman" w:hAnsi="Times New Roman" w:cs="Times New Roman"/>
                      <w:color w:val="auto"/>
                      <w:sz w:val="22"/>
                      <w:szCs w:val="22"/>
                      <w:u w:val="none" w:color="auto"/>
                      <w:vertAlign w:val="baseline"/>
                      <w:lang w:val="en-US" w:eastAsia="zh-CN"/>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7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2</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default" w:ascii="Times New Roman" w:hAnsi="Times New Roman" w:cs="Times New Roman"/>
                      <w:color w:val="auto"/>
                      <w:sz w:val="22"/>
                      <w:szCs w:val="22"/>
                      <w:u w:val="none" w:color="auto"/>
                      <w:vertAlign w:val="baseline"/>
                      <w:lang w:val="en-US" w:eastAsia="zh-CN"/>
                    </w:rPr>
                    <w:t>TA00</w:t>
                  </w:r>
                  <w:r>
                    <w:rPr>
                      <w:rFonts w:hint="eastAsia" w:cs="Times New Roman"/>
                      <w:color w:val="auto"/>
                      <w:sz w:val="22"/>
                      <w:szCs w:val="22"/>
                      <w:u w:val="none" w:color="auto"/>
                      <w:vertAlign w:val="baseline"/>
                      <w:lang w:val="en-US" w:eastAsia="zh-CN"/>
                    </w:rPr>
                    <w:t>1</w:t>
                  </w:r>
                </w:p>
              </w:tc>
              <w:tc>
                <w:tcPr>
                  <w:tcW w:w="1549"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氨氮</w:t>
                  </w:r>
                </w:p>
              </w:tc>
              <w:tc>
                <w:tcPr>
                  <w:tcW w:w="15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cs="Times New Roman"/>
                      <w:color w:val="auto"/>
                      <w:sz w:val="22"/>
                      <w:szCs w:val="22"/>
                      <w:u w:val="none" w:color="auto"/>
                      <w:vertAlign w:val="baseline"/>
                      <w:lang w:val="en-US" w:eastAsia="zh-CN"/>
                    </w:rPr>
                    <w:t>8</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ascii="Times New Roman" w:hAnsi="Times New Roman" w:cs="Times New Roman"/>
                      <w:color w:val="auto"/>
                      <w:sz w:val="22"/>
                      <w:szCs w:val="22"/>
                      <w:u w:val="none" w:color="auto"/>
                      <w:vertAlign w:val="baseline"/>
                      <w:lang w:val="en-US" w:eastAsia="zh-CN"/>
                    </w:rPr>
                    <w:t>0.0024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74"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全厂排放口合计</w:t>
                  </w:r>
                </w:p>
              </w:tc>
              <w:tc>
                <w:tcPr>
                  <w:tcW w:w="4648"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化学需氧量</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ascii="Times New Roman" w:hAnsi="Times New Roman" w:cs="Times New Roman"/>
                      <w:color w:val="auto"/>
                      <w:sz w:val="22"/>
                      <w:szCs w:val="22"/>
                      <w:u w:val="none" w:color="auto"/>
                      <w:vertAlign w:val="baseline"/>
                      <w:lang w:val="en-US" w:eastAsia="zh-CN"/>
                    </w:rPr>
                    <w:t>0.015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174"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p>
              </w:tc>
              <w:tc>
                <w:tcPr>
                  <w:tcW w:w="4648" w:type="dxa"/>
                  <w:gridSpan w:val="3"/>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eastAsia="zh-CN"/>
                    </w:rPr>
                  </w:pPr>
                  <w:r>
                    <w:rPr>
                      <w:rFonts w:hint="default" w:ascii="Times New Roman" w:hAnsi="Times New Roman" w:cs="Times New Roman"/>
                      <w:color w:val="auto"/>
                      <w:sz w:val="22"/>
                      <w:szCs w:val="22"/>
                      <w:u w:val="none" w:color="auto"/>
                      <w:vertAlign w:val="baseline"/>
                      <w:lang w:eastAsia="zh-CN"/>
                    </w:rPr>
                    <w:t>氨氮</w:t>
                  </w:r>
                </w:p>
              </w:tc>
              <w:tc>
                <w:tcPr>
                  <w:tcW w:w="225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vertAlign w:val="baseline"/>
                      <w:lang w:val="en-US" w:eastAsia="zh-CN"/>
                    </w:rPr>
                  </w:pPr>
                  <w:r>
                    <w:rPr>
                      <w:rFonts w:hint="eastAsia" w:ascii="Times New Roman" w:hAnsi="Times New Roman" w:cs="Times New Roman"/>
                      <w:color w:val="auto"/>
                      <w:sz w:val="22"/>
                      <w:szCs w:val="22"/>
                      <w:u w:val="none" w:color="auto"/>
                      <w:vertAlign w:val="baseline"/>
                      <w:lang w:val="en-US" w:eastAsia="zh-CN"/>
                    </w:rPr>
                    <w:t>0.0024</w:t>
                  </w:r>
                </w:p>
              </w:tc>
            </w:tr>
          </w:tbl>
          <w:p>
            <w:pPr>
              <w:pStyle w:val="34"/>
              <w:adjustRightInd w:val="0"/>
              <w:snapToGrid w:val="0"/>
              <w:spacing w:line="360" w:lineRule="auto"/>
              <w:ind w:left="0" w:leftChars="0"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3、声环境影响分析</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（1）噪声污染源</w:t>
            </w:r>
          </w:p>
          <w:p>
            <w:pPr>
              <w:pStyle w:val="174"/>
              <w:spacing w:line="360" w:lineRule="auto"/>
              <w:ind w:firstLine="466" w:firstLineChars="200"/>
              <w:rPr>
                <w:rFonts w:hint="eastAsia"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rPr>
              <w:t>本项目噪声污染源主要为设备运行过程中产生的噪声，噪声功率级为</w:t>
            </w:r>
            <w:r>
              <w:rPr>
                <w:rFonts w:hint="eastAsia"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rPr>
              <w:t>~</w:t>
            </w:r>
            <w:r>
              <w:rPr>
                <w:rFonts w:hint="default" w:ascii="Times New Roman" w:hAnsi="Times New Roman" w:cs="Times New Roman"/>
                <w:color w:val="auto"/>
                <w:sz w:val="24"/>
                <w:szCs w:val="24"/>
                <w:u w:val="none" w:color="auto"/>
                <w:lang w:val="en-US" w:eastAsia="zh-CN"/>
              </w:rPr>
              <w:t>80</w:t>
            </w:r>
            <w:r>
              <w:rPr>
                <w:rFonts w:hint="default" w:ascii="Times New Roman" w:hAnsi="Times New Roman" w:cs="Times New Roman"/>
                <w:color w:val="auto"/>
                <w:sz w:val="24"/>
                <w:szCs w:val="24"/>
                <w:u w:val="none" w:color="auto"/>
              </w:rPr>
              <w:t>dB（A）。通过选用低噪声设备，基础减震并经距离衰减后可有效减轻噪声对外界的影响</w:t>
            </w:r>
            <w:r>
              <w:rPr>
                <w:rFonts w:hint="eastAsia" w:cs="Times New Roman"/>
                <w:color w:val="auto"/>
                <w:sz w:val="24"/>
                <w:szCs w:val="24"/>
                <w:u w:val="none" w:color="auto"/>
                <w:lang w:eastAsia="zh-CN"/>
              </w:rPr>
              <w:t>。</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（2）预测模式</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①建设项目声源在预测点产生的等效声级贡献值计算公式：</w:t>
            </w:r>
          </w:p>
          <w:p>
            <w:pPr>
              <w:pStyle w:val="174"/>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drawing>
                <wp:anchor distT="0" distB="0" distL="114300" distR="114300" simplePos="0" relativeHeight="1405927424" behindDoc="0" locked="0" layoutInCell="1" allowOverlap="1">
                  <wp:simplePos x="0" y="0"/>
                  <wp:positionH relativeFrom="column">
                    <wp:posOffset>407035</wp:posOffset>
                  </wp:positionH>
                  <wp:positionV relativeFrom="paragraph">
                    <wp:posOffset>78740</wp:posOffset>
                  </wp:positionV>
                  <wp:extent cx="2486025" cy="714375"/>
                  <wp:effectExtent l="0" t="0" r="9525" b="9525"/>
                  <wp:wrapTopAndBottom/>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6"/>
                          <a:stretch>
                            <a:fillRect/>
                          </a:stretch>
                        </pic:blipFill>
                        <pic:spPr>
                          <a:xfrm>
                            <a:off x="0" y="0"/>
                            <a:ext cx="2486025" cy="714375"/>
                          </a:xfrm>
                          <a:prstGeom prst="rect">
                            <a:avLst/>
                          </a:prstGeom>
                          <a:noFill/>
                          <a:ln>
                            <a:noFill/>
                          </a:ln>
                        </pic:spPr>
                      </pic:pic>
                    </a:graphicData>
                  </a:graphic>
                </wp:anchor>
              </w:drawing>
            </w:r>
          </w:p>
          <w:p>
            <w:pPr>
              <w:pStyle w:val="174"/>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式中：Leqg——建设项目声源在预测点的等效声级贡献值，dB(A)；</w:t>
            </w:r>
          </w:p>
          <w:p>
            <w:pPr>
              <w:pStyle w:val="174"/>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LAi ——i 声源在预测点产生的 A 声级，dB(A)；</w:t>
            </w:r>
          </w:p>
          <w:p>
            <w:pPr>
              <w:pStyle w:val="174"/>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T——预测计算的时间段，s；</w:t>
            </w:r>
          </w:p>
          <w:p>
            <w:pPr>
              <w:pStyle w:val="174"/>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ti ——i 声源在 T 时段内的运行时间，s。</w:t>
            </w:r>
          </w:p>
          <w:p>
            <w:pPr>
              <w:pStyle w:val="174"/>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②预测点的预测等效声级计算公式：</w:t>
            </w:r>
          </w:p>
          <w:p>
            <w:pPr>
              <w:pStyle w:val="174"/>
              <w:spacing w:line="360" w:lineRule="auto"/>
              <w:jc w:val="both"/>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drawing>
                <wp:anchor distT="0" distB="0" distL="114300" distR="114300" simplePos="0" relativeHeight="1405928448" behindDoc="0" locked="0" layoutInCell="1" allowOverlap="1">
                  <wp:simplePos x="0" y="0"/>
                  <wp:positionH relativeFrom="column">
                    <wp:posOffset>312420</wp:posOffset>
                  </wp:positionH>
                  <wp:positionV relativeFrom="paragraph">
                    <wp:posOffset>3175</wp:posOffset>
                  </wp:positionV>
                  <wp:extent cx="2486025" cy="438150"/>
                  <wp:effectExtent l="0" t="0" r="9525" b="0"/>
                  <wp:wrapTopAndBottom/>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7"/>
                          <a:stretch>
                            <a:fillRect/>
                          </a:stretch>
                        </pic:blipFill>
                        <pic:spPr>
                          <a:xfrm>
                            <a:off x="0" y="0"/>
                            <a:ext cx="2486025" cy="438150"/>
                          </a:xfrm>
                          <a:prstGeom prst="rect">
                            <a:avLst/>
                          </a:prstGeom>
                          <a:noFill/>
                          <a:ln>
                            <a:noFill/>
                          </a:ln>
                        </pic:spPr>
                      </pic:pic>
                    </a:graphicData>
                  </a:graphic>
                </wp:anchor>
              </w:drawing>
            </w:r>
          </w:p>
          <w:p>
            <w:pPr>
              <w:pStyle w:val="174"/>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式中：Leqg——建设项目声源在预测点的等效声级贡献值，dB(A)；</w:t>
            </w:r>
          </w:p>
          <w:p>
            <w:pPr>
              <w:pStyle w:val="174"/>
              <w:spacing w:line="360" w:lineRule="auto"/>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Leqb——预测点的背景值，dB(A)。</w:t>
            </w:r>
          </w:p>
          <w:p>
            <w:pPr>
              <w:pStyle w:val="174"/>
              <w:spacing w:line="360" w:lineRule="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（3）噪声预测结果及影响分析根据噪声预测模式，场界四周噪声</w:t>
            </w:r>
            <w:r>
              <w:rPr>
                <w:rFonts w:hint="eastAsia" w:cs="Times New Roman"/>
                <w:color w:val="auto"/>
                <w:sz w:val="24"/>
                <w:szCs w:val="24"/>
                <w:u w:val="none" w:color="auto"/>
                <w:lang w:eastAsia="zh-CN"/>
              </w:rPr>
              <w:t>预测</w:t>
            </w:r>
            <w:r>
              <w:rPr>
                <w:rFonts w:hint="default" w:ascii="Times New Roman" w:hAnsi="Times New Roman" w:cs="Times New Roman"/>
                <w:color w:val="auto"/>
                <w:sz w:val="24"/>
                <w:szCs w:val="24"/>
                <w:u w:val="none" w:color="auto"/>
              </w:rPr>
              <w:t>值见表</w:t>
            </w:r>
            <w:r>
              <w:rPr>
                <w:rFonts w:hint="default" w:ascii="Times New Roman" w:hAnsi="Times New Roman" w:cs="Times New Roman"/>
                <w:color w:val="auto"/>
                <w:sz w:val="24"/>
                <w:szCs w:val="24"/>
                <w:u w:val="none" w:color="auto"/>
                <w:lang w:val="en-US" w:eastAsia="zh-CN"/>
              </w:rPr>
              <w:t>7-</w:t>
            </w:r>
            <w:r>
              <w:rPr>
                <w:rFonts w:hint="eastAsia" w:cs="Times New Roman"/>
                <w:color w:val="auto"/>
                <w:sz w:val="24"/>
                <w:szCs w:val="24"/>
                <w:u w:val="none" w:color="auto"/>
                <w:lang w:val="en-US" w:eastAsia="zh-CN"/>
              </w:rPr>
              <w:t>15</w:t>
            </w:r>
            <w:r>
              <w:rPr>
                <w:rFonts w:hint="default" w:ascii="Times New Roman" w:hAnsi="Times New Roman" w:cs="Times New Roman"/>
                <w:color w:val="auto"/>
                <w:sz w:val="24"/>
                <w:szCs w:val="24"/>
                <w:u w:val="none" w:color="auto"/>
                <w:lang w:val="en-US" w:eastAsia="zh-CN"/>
              </w:rPr>
              <w:t>。</w:t>
            </w:r>
          </w:p>
          <w:p>
            <w:pPr>
              <w:pStyle w:val="188"/>
              <w:bidi w:val="0"/>
              <w:spacing w:line="360" w:lineRule="auto"/>
              <w:rPr>
                <w:rFonts w:hint="default" w:ascii="Times New Roman" w:hAnsi="Times New Roman" w:cs="Times New Roman"/>
                <w:sz w:val="24"/>
                <w:szCs w:val="24"/>
                <w:u w:val="none" w:color="auto"/>
              </w:rPr>
            </w:pPr>
          </w:p>
          <w:p>
            <w:pPr>
              <w:pStyle w:val="188"/>
              <w:bidi w:val="0"/>
              <w:spacing w:line="360" w:lineRule="auto"/>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表</w:t>
            </w:r>
            <w:r>
              <w:rPr>
                <w:rFonts w:hint="default" w:ascii="Times New Roman" w:hAnsi="Times New Roman" w:cs="Times New Roman"/>
                <w:sz w:val="24"/>
                <w:szCs w:val="24"/>
                <w:u w:val="none" w:color="auto"/>
                <w:lang w:val="en-US" w:eastAsia="zh-CN"/>
              </w:rPr>
              <w:t>7-</w:t>
            </w:r>
            <w:r>
              <w:rPr>
                <w:rFonts w:hint="eastAsia" w:cs="Times New Roman"/>
                <w:sz w:val="24"/>
                <w:szCs w:val="24"/>
                <w:u w:val="none" w:color="auto"/>
                <w:lang w:val="en-US" w:eastAsia="zh-CN"/>
              </w:rPr>
              <w:t>15</w:t>
            </w:r>
            <w:r>
              <w:rPr>
                <w:rFonts w:hint="default" w:ascii="Times New Roman" w:hAnsi="Times New Roman" w:cs="Times New Roman"/>
                <w:sz w:val="24"/>
                <w:szCs w:val="24"/>
                <w:u w:val="none" w:color="auto"/>
                <w:lang w:val="en-US" w:eastAsia="zh-CN"/>
              </w:rPr>
              <w:t xml:space="preserve">  </w:t>
            </w:r>
            <w:r>
              <w:rPr>
                <w:rFonts w:hint="default" w:ascii="Times New Roman" w:hAnsi="Times New Roman" w:cs="Times New Roman"/>
                <w:sz w:val="24"/>
                <w:szCs w:val="24"/>
                <w:u w:val="none" w:color="auto"/>
              </w:rPr>
              <w:t>项目场界噪声预测结果一览表</w:t>
            </w:r>
            <w:r>
              <w:rPr>
                <w:rFonts w:hint="default" w:ascii="Times New Roman" w:hAnsi="Times New Roman" w:cs="Times New Roman"/>
                <w:sz w:val="24"/>
                <w:szCs w:val="24"/>
                <w:u w:val="none" w:color="auto"/>
              </w:rPr>
              <w:tab/>
            </w:r>
            <w:r>
              <w:rPr>
                <w:rFonts w:hint="default" w:ascii="Times New Roman" w:hAnsi="Times New Roman" w:cs="Times New Roman"/>
                <w:sz w:val="24"/>
                <w:szCs w:val="24"/>
                <w:u w:val="none" w:color="auto"/>
              </w:rPr>
              <w:t>单位： dB(A)</w:t>
            </w:r>
          </w:p>
          <w:tbl>
            <w:tblPr>
              <w:tblStyle w:val="40"/>
              <w:tblW w:w="4997"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74"/>
              <w:gridCol w:w="2301"/>
              <w:gridCol w:w="2281"/>
              <w:gridCol w:w="167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01" w:type="pct"/>
                  <w:vMerge w:val="restar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序号</w:t>
                  </w:r>
                </w:p>
              </w:tc>
              <w:tc>
                <w:tcPr>
                  <w:tcW w:w="928" w:type="pct"/>
                  <w:vMerge w:val="restar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点位</w:t>
                  </w:r>
                </w:p>
              </w:tc>
              <w:tc>
                <w:tcPr>
                  <w:tcW w:w="1276" w:type="pct"/>
                  <w:vMerge w:val="restar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预测点距本项目</w:t>
                  </w:r>
                </w:p>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边界水平距离</w:t>
                  </w:r>
                </w:p>
              </w:tc>
              <w:tc>
                <w:tcPr>
                  <w:tcW w:w="2192" w:type="pct"/>
                  <w:gridSpan w:val="2"/>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预测</w:t>
                  </w:r>
                  <w:r>
                    <w:rPr>
                      <w:rFonts w:hint="default" w:ascii="Times New Roman" w:hAnsi="Times New Roman" w:cs="Times New Roman"/>
                      <w:color w:val="auto"/>
                      <w:sz w:val="22"/>
                      <w:szCs w:val="22"/>
                      <w:u w:val="none" w:color="auto"/>
                    </w:rPr>
                    <w:t>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601" w:type="pct"/>
                  <w:vMerge w:val="continue"/>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p>
              </w:tc>
              <w:tc>
                <w:tcPr>
                  <w:tcW w:w="928" w:type="pct"/>
                  <w:vMerge w:val="continue"/>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p>
              </w:tc>
              <w:tc>
                <w:tcPr>
                  <w:tcW w:w="1276" w:type="pct"/>
                  <w:vMerge w:val="continue"/>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p>
              </w:tc>
              <w:tc>
                <w:tcPr>
                  <w:tcW w:w="1265"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昼间</w:t>
                  </w:r>
                </w:p>
              </w:tc>
              <w:tc>
                <w:tcPr>
                  <w:tcW w:w="927"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夜间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01"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w:t>
                  </w:r>
                </w:p>
              </w:tc>
              <w:tc>
                <w:tcPr>
                  <w:tcW w:w="928"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东场界</w:t>
                  </w:r>
                </w:p>
              </w:tc>
              <w:tc>
                <w:tcPr>
                  <w:tcW w:w="1276"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8</w:t>
                  </w:r>
                  <w:r>
                    <w:rPr>
                      <w:rFonts w:hint="default" w:ascii="Times New Roman" w:hAnsi="Times New Roman" w:cs="Times New Roman"/>
                      <w:color w:val="auto"/>
                      <w:sz w:val="22"/>
                      <w:szCs w:val="22"/>
                      <w:u w:val="none" w:color="auto"/>
                    </w:rPr>
                    <w:t>m</w:t>
                  </w:r>
                </w:p>
              </w:tc>
              <w:tc>
                <w:tcPr>
                  <w:tcW w:w="1265"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6</w:t>
                  </w:r>
                  <w:r>
                    <w:rPr>
                      <w:rFonts w:hint="eastAsia" w:cs="Times New Roman"/>
                      <w:color w:val="auto"/>
                      <w:sz w:val="22"/>
                      <w:szCs w:val="22"/>
                      <w:u w:val="none" w:color="auto"/>
                      <w:lang w:val="en-US" w:eastAsia="zh-CN"/>
                    </w:rPr>
                    <w:t>1.21</w:t>
                  </w:r>
                </w:p>
              </w:tc>
              <w:tc>
                <w:tcPr>
                  <w:tcW w:w="927"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4</w:t>
                  </w:r>
                  <w:r>
                    <w:rPr>
                      <w:rFonts w:hint="eastAsia" w:cs="Times New Roman"/>
                      <w:color w:val="auto"/>
                      <w:sz w:val="22"/>
                      <w:szCs w:val="22"/>
                      <w:u w:val="none" w:color="auto"/>
                      <w:lang w:val="en-US" w:eastAsia="zh-CN"/>
                    </w:rPr>
                    <w:t>1</w:t>
                  </w:r>
                  <w:r>
                    <w:rPr>
                      <w:rFonts w:hint="default" w:ascii="Times New Roman" w:hAnsi="Times New Roman" w:cs="Times New Roman"/>
                      <w:color w:val="auto"/>
                      <w:sz w:val="22"/>
                      <w:szCs w:val="22"/>
                      <w:u w:val="none" w:color="auto"/>
                      <w:lang w:val="en-US" w:eastAsia="zh-CN"/>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01"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2</w:t>
                  </w:r>
                </w:p>
              </w:tc>
              <w:tc>
                <w:tcPr>
                  <w:tcW w:w="928"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南场界</w:t>
                  </w:r>
                </w:p>
              </w:tc>
              <w:tc>
                <w:tcPr>
                  <w:tcW w:w="1276"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11</w:t>
                  </w:r>
                  <w:r>
                    <w:rPr>
                      <w:rFonts w:hint="default" w:ascii="Times New Roman" w:hAnsi="Times New Roman" w:cs="Times New Roman"/>
                      <w:color w:val="auto"/>
                      <w:sz w:val="22"/>
                      <w:szCs w:val="22"/>
                      <w:u w:val="none" w:color="auto"/>
                    </w:rPr>
                    <w:t>m</w:t>
                  </w:r>
                </w:p>
              </w:tc>
              <w:tc>
                <w:tcPr>
                  <w:tcW w:w="1265"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8</w:t>
                  </w:r>
                  <w:r>
                    <w:rPr>
                      <w:rFonts w:hint="default" w:ascii="Times New Roman" w:hAnsi="Times New Roman" w:cs="Times New Roman"/>
                      <w:color w:val="auto"/>
                      <w:sz w:val="22"/>
                      <w:szCs w:val="22"/>
                      <w:u w:val="none" w:color="auto"/>
                      <w:lang w:val="en-US" w:eastAsia="zh-CN"/>
                    </w:rPr>
                    <w:t>.90</w:t>
                  </w:r>
                </w:p>
              </w:tc>
              <w:tc>
                <w:tcPr>
                  <w:tcW w:w="927"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4</w:t>
                  </w:r>
                  <w:r>
                    <w:rPr>
                      <w:rFonts w:hint="eastAsia" w:cs="Times New Roman"/>
                      <w:color w:val="auto"/>
                      <w:sz w:val="22"/>
                      <w:szCs w:val="22"/>
                      <w:u w:val="none" w:color="auto"/>
                      <w:lang w:val="en-US" w:eastAsia="zh-CN"/>
                    </w:rPr>
                    <w:t>0</w:t>
                  </w:r>
                  <w:r>
                    <w:rPr>
                      <w:rFonts w:hint="default" w:ascii="Times New Roman" w:hAnsi="Times New Roman" w:cs="Times New Roman"/>
                      <w:color w:val="auto"/>
                      <w:sz w:val="22"/>
                      <w:szCs w:val="22"/>
                      <w:u w:val="none" w:color="auto"/>
                      <w:lang w:val="en-US" w:eastAsia="zh-CN"/>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01"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3</w:t>
                  </w:r>
                </w:p>
              </w:tc>
              <w:tc>
                <w:tcPr>
                  <w:tcW w:w="928"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西场界</w:t>
                  </w:r>
                </w:p>
              </w:tc>
              <w:tc>
                <w:tcPr>
                  <w:tcW w:w="1276"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val="en-US" w:eastAsia="zh-CN"/>
                    </w:rPr>
                    <w:t>6</w:t>
                  </w:r>
                  <w:r>
                    <w:rPr>
                      <w:rFonts w:hint="default" w:ascii="Times New Roman" w:hAnsi="Times New Roman" w:cs="Times New Roman"/>
                      <w:color w:val="auto"/>
                      <w:sz w:val="22"/>
                      <w:szCs w:val="22"/>
                      <w:u w:val="none" w:color="auto"/>
                    </w:rPr>
                    <w:t>m</w:t>
                  </w:r>
                </w:p>
              </w:tc>
              <w:tc>
                <w:tcPr>
                  <w:tcW w:w="1265"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5</w:t>
                  </w:r>
                  <w:r>
                    <w:rPr>
                      <w:rFonts w:hint="eastAsia" w:cs="Times New Roman"/>
                      <w:color w:val="auto"/>
                      <w:sz w:val="22"/>
                      <w:szCs w:val="22"/>
                      <w:u w:val="none" w:color="auto"/>
                      <w:lang w:val="en-US" w:eastAsia="zh-CN"/>
                    </w:rPr>
                    <w:t>8</w:t>
                  </w:r>
                  <w:r>
                    <w:rPr>
                      <w:rFonts w:hint="default" w:ascii="Times New Roman" w:hAnsi="Times New Roman" w:cs="Times New Roman"/>
                      <w:color w:val="auto"/>
                      <w:sz w:val="22"/>
                      <w:szCs w:val="22"/>
                      <w:u w:val="none" w:color="auto"/>
                      <w:lang w:val="en-US" w:eastAsia="zh-CN"/>
                    </w:rPr>
                    <w:t>.15</w:t>
                  </w:r>
                </w:p>
              </w:tc>
              <w:tc>
                <w:tcPr>
                  <w:tcW w:w="927"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41.</w:t>
                  </w:r>
                  <w:r>
                    <w:rPr>
                      <w:rFonts w:hint="eastAsia" w:cs="Times New Roman"/>
                      <w:color w:val="auto"/>
                      <w:sz w:val="22"/>
                      <w:szCs w:val="22"/>
                      <w:u w:val="none" w:color="auto"/>
                      <w:lang w:val="en-US" w:eastAsia="zh-CN"/>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01"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4</w:t>
                  </w:r>
                </w:p>
              </w:tc>
              <w:tc>
                <w:tcPr>
                  <w:tcW w:w="928"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北场界</w:t>
                  </w:r>
                </w:p>
              </w:tc>
              <w:tc>
                <w:tcPr>
                  <w:tcW w:w="1276"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rPr>
                  </w:pPr>
                  <w:r>
                    <w:rPr>
                      <w:rFonts w:hint="eastAsia" w:ascii="Times New Roman" w:hAnsi="Times New Roman" w:cs="Times New Roman"/>
                      <w:color w:val="auto"/>
                      <w:sz w:val="22"/>
                      <w:szCs w:val="22"/>
                      <w:u w:val="none" w:color="auto"/>
                      <w:lang w:val="en-US" w:eastAsia="zh-CN"/>
                    </w:rPr>
                    <w:t>5</w:t>
                  </w:r>
                  <w:r>
                    <w:rPr>
                      <w:rFonts w:hint="default" w:ascii="Times New Roman" w:hAnsi="Times New Roman" w:cs="Times New Roman"/>
                      <w:color w:val="auto"/>
                      <w:sz w:val="22"/>
                      <w:szCs w:val="22"/>
                      <w:u w:val="none" w:color="auto"/>
                    </w:rPr>
                    <w:t>m</w:t>
                  </w:r>
                </w:p>
              </w:tc>
              <w:tc>
                <w:tcPr>
                  <w:tcW w:w="1265"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57.</w:t>
                  </w:r>
                  <w:r>
                    <w:rPr>
                      <w:rFonts w:hint="eastAsia" w:cs="Times New Roman"/>
                      <w:color w:val="auto"/>
                      <w:sz w:val="22"/>
                      <w:szCs w:val="22"/>
                      <w:u w:val="none" w:color="auto"/>
                      <w:lang w:val="en-US" w:eastAsia="zh-CN"/>
                    </w:rPr>
                    <w:t>8</w:t>
                  </w:r>
                  <w:r>
                    <w:rPr>
                      <w:rFonts w:hint="default" w:ascii="Times New Roman" w:hAnsi="Times New Roman" w:cs="Times New Roman"/>
                      <w:color w:val="auto"/>
                      <w:sz w:val="22"/>
                      <w:szCs w:val="22"/>
                      <w:u w:val="none" w:color="auto"/>
                      <w:lang w:val="en-US" w:eastAsia="zh-CN"/>
                    </w:rPr>
                    <w:t>9</w:t>
                  </w:r>
                </w:p>
              </w:tc>
              <w:tc>
                <w:tcPr>
                  <w:tcW w:w="927" w:type="pct"/>
                  <w:tcBorders>
                    <w:tl2br w:val="nil"/>
                    <w:tr2bl w:val="nil"/>
                  </w:tcBorders>
                  <w:noWrap w:val="0"/>
                  <w:vAlign w:val="center"/>
                </w:tcPr>
                <w:p>
                  <w:pPr>
                    <w:pStyle w:val="186"/>
                    <w:bidi w:val="0"/>
                    <w:spacing w:line="360" w:lineRule="auto"/>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39.</w:t>
                  </w:r>
                  <w:r>
                    <w:rPr>
                      <w:rFonts w:hint="eastAsia" w:cs="Times New Roman"/>
                      <w:color w:val="auto"/>
                      <w:sz w:val="22"/>
                      <w:szCs w:val="22"/>
                      <w:u w:val="none" w:color="auto"/>
                      <w:lang w:val="en-US" w:eastAsia="zh-CN"/>
                    </w:rPr>
                    <w:t>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000" w:type="pct"/>
                  <w:gridSpan w:val="5"/>
                  <w:tcBorders>
                    <w:tl2br w:val="nil"/>
                    <w:tr2bl w:val="nil"/>
                  </w:tcBorders>
                  <w:noWrap w:val="0"/>
                  <w:vAlign w:val="center"/>
                </w:tcPr>
                <w:p>
                  <w:pPr>
                    <w:pStyle w:val="186"/>
                    <w:spacing w:line="360" w:lineRule="auto"/>
                    <w:jc w:val="left"/>
                    <w:rPr>
                      <w:rFonts w:hint="default" w:ascii="Times New Roman" w:hAnsi="Times New Roman"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排放限值：</w:t>
                  </w:r>
                  <w:r>
                    <w:rPr>
                      <w:rFonts w:hint="eastAsia" w:ascii="Times New Roman" w:hAnsi="Times New Roman" w:cs="Times New Roman"/>
                      <w:color w:val="auto"/>
                      <w:sz w:val="22"/>
                      <w:szCs w:val="22"/>
                      <w:u w:val="none" w:color="auto"/>
                      <w:lang w:val="en-US" w:eastAsia="zh-CN"/>
                    </w:rPr>
                    <w:t>3</w:t>
                  </w:r>
                  <w:r>
                    <w:rPr>
                      <w:rFonts w:hint="default" w:ascii="Times New Roman" w:hAnsi="Times New Roman" w:cs="Times New Roman"/>
                      <w:color w:val="auto"/>
                      <w:sz w:val="22"/>
                      <w:szCs w:val="22"/>
                      <w:u w:val="none" w:color="auto"/>
                      <w:lang w:val="en-US" w:eastAsia="zh-CN"/>
                    </w:rPr>
                    <w:t>类标准：昼间6</w:t>
                  </w:r>
                  <w:r>
                    <w:rPr>
                      <w:rFonts w:hint="eastAsia" w:ascii="Times New Roman" w:hAnsi="Times New Roman" w:cs="Times New Roman"/>
                      <w:color w:val="auto"/>
                      <w:sz w:val="22"/>
                      <w:szCs w:val="22"/>
                      <w:u w:val="none" w:color="auto"/>
                      <w:lang w:val="en-US" w:eastAsia="zh-CN"/>
                    </w:rPr>
                    <w:t>5</w:t>
                  </w:r>
                  <w:r>
                    <w:rPr>
                      <w:rFonts w:hint="default" w:ascii="Times New Roman" w:hAnsi="Times New Roman" w:cs="Times New Roman"/>
                      <w:color w:val="auto"/>
                      <w:sz w:val="22"/>
                      <w:szCs w:val="22"/>
                      <w:u w:val="none" w:color="auto"/>
                      <w:lang w:val="en-US" w:eastAsia="zh-CN"/>
                    </w:rPr>
                    <w:t>dB（A），夜间5</w:t>
                  </w:r>
                  <w:r>
                    <w:rPr>
                      <w:rFonts w:hint="eastAsia" w:ascii="Times New Roman" w:hAnsi="Times New Roman" w:cs="Times New Roman"/>
                      <w:color w:val="auto"/>
                      <w:sz w:val="22"/>
                      <w:szCs w:val="22"/>
                      <w:u w:val="none" w:color="auto"/>
                      <w:lang w:val="en-US" w:eastAsia="zh-CN"/>
                    </w:rPr>
                    <w:t>5</w:t>
                  </w:r>
                  <w:r>
                    <w:rPr>
                      <w:rFonts w:hint="default" w:ascii="Times New Roman" w:hAnsi="Times New Roman" w:cs="Times New Roman"/>
                      <w:color w:val="auto"/>
                      <w:sz w:val="22"/>
                      <w:szCs w:val="22"/>
                      <w:u w:val="none" w:color="auto"/>
                      <w:lang w:val="en-US" w:eastAsia="zh-CN"/>
                    </w:rPr>
                    <w:t>dB（A）。</w:t>
                  </w:r>
                </w:p>
              </w:tc>
            </w:tr>
          </w:tbl>
          <w:p>
            <w:pPr>
              <w:pStyle w:val="174"/>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kern w:val="2"/>
                <w:sz w:val="24"/>
                <w:szCs w:val="24"/>
                <w:u w:val="none" w:color="auto"/>
                <w:lang w:val="en-US" w:eastAsia="zh-CN"/>
              </w:rPr>
              <w:t>监测结果表明，</w:t>
            </w:r>
            <w:r>
              <w:rPr>
                <w:rFonts w:hint="default" w:ascii="Times New Roman" w:hAnsi="Times New Roman" w:cs="Times New Roman"/>
                <w:color w:val="auto"/>
                <w:sz w:val="24"/>
                <w:szCs w:val="24"/>
                <w:u w:val="none" w:color="auto"/>
              </w:rPr>
              <w:t>本项</w:t>
            </w:r>
            <w:r>
              <w:rPr>
                <w:rFonts w:hint="default" w:ascii="Times New Roman" w:hAnsi="Times New Roman" w:cs="Times New Roman"/>
                <w:color w:val="auto"/>
                <w:sz w:val="24"/>
                <w:szCs w:val="24"/>
                <w:u w:val="none" w:color="auto"/>
                <w:lang w:eastAsia="zh-CN"/>
              </w:rPr>
              <w:t>目东</w:t>
            </w:r>
            <w:r>
              <w:rPr>
                <w:rFonts w:hint="eastAsia" w:ascii="Times New Roman" w:hAnsi="Times New Roman" w:cs="Times New Roman"/>
                <w:color w:val="auto"/>
                <w:sz w:val="24"/>
                <w:szCs w:val="24"/>
                <w:u w:val="none" w:color="auto"/>
                <w:lang w:eastAsia="zh-CN"/>
              </w:rPr>
              <w:t>、南、西、北</w:t>
            </w:r>
            <w:r>
              <w:rPr>
                <w:rFonts w:hint="default" w:ascii="Times New Roman" w:hAnsi="Times New Roman" w:cs="Times New Roman"/>
                <w:color w:val="auto"/>
                <w:sz w:val="24"/>
                <w:szCs w:val="24"/>
                <w:u w:val="none" w:color="auto"/>
                <w:lang w:eastAsia="zh-CN"/>
              </w:rPr>
              <w:t>厂界</w:t>
            </w:r>
            <w:r>
              <w:rPr>
                <w:rFonts w:hint="default" w:ascii="Times New Roman" w:hAnsi="Times New Roman" w:cs="Times New Roman"/>
                <w:color w:val="auto"/>
                <w:sz w:val="24"/>
                <w:szCs w:val="24"/>
                <w:u w:val="none" w:color="auto"/>
              </w:rPr>
              <w:t>噪声可满足</w:t>
            </w:r>
            <w:r>
              <w:rPr>
                <w:rFonts w:hint="default" w:ascii="Times New Roman" w:hAnsi="Times New Roman" w:cs="Times New Roman"/>
                <w:color w:val="auto"/>
                <w:kern w:val="2"/>
                <w:sz w:val="24"/>
                <w:szCs w:val="24"/>
                <w:u w:val="none" w:color="auto"/>
                <w:lang w:val="en-US" w:eastAsia="zh-CN"/>
              </w:rPr>
              <w:t>《工业企业厂界环境噪声排放标准》（GB12348-</w:t>
            </w:r>
            <w:r>
              <w:rPr>
                <w:rFonts w:hint="eastAsia" w:ascii="Times New Roman" w:hAnsi="Times New Roman" w:cs="Times New Roman"/>
                <w:color w:val="auto"/>
                <w:kern w:val="2"/>
                <w:sz w:val="24"/>
                <w:szCs w:val="24"/>
                <w:u w:val="none" w:color="auto"/>
                <w:lang w:val="en-US" w:eastAsia="zh-CN"/>
              </w:rPr>
              <w:t>20</w:t>
            </w:r>
            <w:r>
              <w:rPr>
                <w:rFonts w:hint="default" w:ascii="Times New Roman" w:hAnsi="Times New Roman" w:cs="Times New Roman"/>
                <w:color w:val="auto"/>
                <w:kern w:val="2"/>
                <w:sz w:val="24"/>
                <w:szCs w:val="24"/>
                <w:u w:val="none" w:color="auto"/>
                <w:lang w:val="en-US" w:eastAsia="zh-CN"/>
              </w:rPr>
              <w:t>08）</w:t>
            </w:r>
            <w:r>
              <w:rPr>
                <w:rFonts w:hint="eastAsia" w:ascii="Times New Roman" w:hAnsi="Times New Roman" w:cs="Times New Roman"/>
                <w:color w:val="auto"/>
                <w:kern w:val="2"/>
                <w:sz w:val="24"/>
                <w:szCs w:val="24"/>
                <w:u w:val="none" w:color="auto"/>
                <w:lang w:val="en-US" w:eastAsia="zh-CN"/>
              </w:rPr>
              <w:t>3</w:t>
            </w:r>
            <w:r>
              <w:rPr>
                <w:rFonts w:hint="default" w:ascii="Times New Roman" w:hAnsi="Times New Roman" w:cs="Times New Roman"/>
                <w:color w:val="auto"/>
                <w:kern w:val="2"/>
                <w:sz w:val="24"/>
                <w:szCs w:val="24"/>
                <w:u w:val="none" w:color="auto"/>
                <w:lang w:val="en-US" w:eastAsia="zh-CN"/>
              </w:rPr>
              <w:t>类标准</w:t>
            </w:r>
            <w:r>
              <w:rPr>
                <w:rFonts w:hint="default" w:ascii="Times New Roman" w:hAnsi="Times New Roman" w:cs="Times New Roman"/>
                <w:color w:val="auto"/>
                <w:sz w:val="24"/>
                <w:szCs w:val="24"/>
                <w:u w:val="none" w:color="auto"/>
              </w:rPr>
              <w:t>。说明正常工况下，项目运营对周围声环境影响较小。</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本项目选用的设备均属于低噪声设备，且主要噪声源均设在封闭的厂房内。但为了进一步降低噪声对周围环境的影响，根据噪声源规划分布以及发声特性，本环评提出如下噪声污染防治措施：</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①制定相关操作规程，做好对生产、装卸过程中的管理，对原料、成品的搬运、装卸做到轻拿轻放，减少原料和成品装卸时的落差，尽量减少噪声对周边环境产生的影响。</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②在设计和设备采购阶段，应优先选用先进的低噪音设备，从声源上降低设备本身噪音。风机等动力设备选用满足国际标准的低噪声、低振动设备，通风系统通风系统的风机也采用符合国家标准的设备，同时主要应选择本身带减振底座的风机。</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③在设备安装时，对高噪声设备采取减震、隔震措施。除选择低噪设备外，在设备四周设置防震沟，采用隔声屏或局部隔声罩；设备安装位置设置减振台，将其噪声影响控制在最小范围内。对于设置的风机或排气口考虑加设风机隔声罩，排风管道进出口加柔性软接头，以降低风机噪声对周围环境的影响。噪声较大的设备如各类车床等应设置相应的消声装置或者改变噪音源的运动方式（如用阻尼、隔振等措施降低固体发声体的振动）。</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④建筑物隔声。本项目所有生产设备均布置在车间内，因此噪声源均封闭在室内。车间所有门窗均采用双层隔声门窗，平时生产时尽量少开门窗以封闭隔声，并在房屋内壁铺设吸声材料，</w:t>
            </w:r>
            <w:r>
              <w:rPr>
                <w:rFonts w:hint="default" w:ascii="Times New Roman" w:hAnsi="Times New Roman" w:cs="Times New Roman"/>
                <w:color w:val="auto"/>
                <w:sz w:val="24"/>
                <w:szCs w:val="24"/>
                <w:u w:val="none" w:color="auto"/>
                <w:lang w:eastAsia="zh-CN"/>
              </w:rPr>
              <w:t>厂房内进行多层隔间，</w:t>
            </w:r>
            <w:r>
              <w:rPr>
                <w:rFonts w:hint="default" w:ascii="Times New Roman" w:hAnsi="Times New Roman" w:cs="Times New Roman"/>
                <w:color w:val="auto"/>
                <w:sz w:val="24"/>
                <w:szCs w:val="24"/>
                <w:u w:val="none" w:color="auto"/>
              </w:rPr>
              <w:t>充分利用生产厂房</w:t>
            </w:r>
            <w:r>
              <w:rPr>
                <w:rFonts w:hint="default" w:ascii="Times New Roman" w:hAnsi="Times New Roman" w:cs="Times New Roman"/>
                <w:color w:val="auto"/>
                <w:sz w:val="24"/>
                <w:szCs w:val="24"/>
                <w:u w:val="none" w:color="auto"/>
                <w:lang w:eastAsia="zh-CN"/>
              </w:rPr>
              <w:t>墙壁和</w:t>
            </w:r>
            <w:r>
              <w:rPr>
                <w:rFonts w:hint="default" w:ascii="Times New Roman" w:hAnsi="Times New Roman" w:cs="Times New Roman"/>
                <w:color w:val="auto"/>
                <w:sz w:val="24"/>
                <w:szCs w:val="24"/>
                <w:u w:val="none" w:color="auto"/>
              </w:rPr>
              <w:t>围墙隔声。应至少可以降低噪声20个分贝以上。</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⑤日常生产需加强对各设备的维修、保养，确保设备处于良好的运转状态，杜绝因设备不正常运转而产生的高噪音现象。</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⑥厂界及车间外，应加强绿化种植树木，以增加噪声传播过程的衰减量，减少对厂界的影响。</w:t>
            </w:r>
          </w:p>
          <w:p>
            <w:pPr>
              <w:pStyle w:val="174"/>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⑦加强运输车辆的管理：在原辅材料及产品运输、装卸时做到文明操作，严格规范运输车辆停车秩序、禁鸣喇叭、减少启动和怠速等。</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color w:val="auto"/>
                <w:sz w:val="24"/>
                <w:szCs w:val="24"/>
                <w:u w:val="none" w:color="auto"/>
              </w:rPr>
              <w:t>综上所述，项目在采取上述措施治理后</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可确保本项目东</w:t>
            </w:r>
            <w:r>
              <w:rPr>
                <w:rFonts w:hint="eastAsia" w:cs="Times New Roman"/>
                <w:color w:val="auto"/>
                <w:sz w:val="24"/>
                <w:szCs w:val="24"/>
                <w:u w:val="none" w:color="auto"/>
                <w:lang w:eastAsia="zh-CN"/>
              </w:rPr>
              <w:t>、南、西、北</w:t>
            </w:r>
            <w:r>
              <w:rPr>
                <w:rFonts w:hint="default" w:ascii="Times New Roman" w:hAnsi="Times New Roman" w:cs="Times New Roman"/>
                <w:color w:val="auto"/>
                <w:sz w:val="24"/>
                <w:szCs w:val="24"/>
                <w:u w:val="none" w:color="auto"/>
              </w:rPr>
              <w:t>厂界噪声可满足</w:t>
            </w:r>
            <w:r>
              <w:rPr>
                <w:rFonts w:hint="default" w:ascii="Times New Roman" w:hAnsi="Times New Roman" w:cs="Times New Roman"/>
                <w:color w:val="auto"/>
                <w:sz w:val="24"/>
                <w:szCs w:val="24"/>
                <w:u w:val="none" w:color="auto"/>
                <w:lang w:eastAsia="zh-CN"/>
              </w:rPr>
              <w:t>《工业企业厂界环境噪声排放标准》</w:t>
            </w:r>
            <w:r>
              <w:rPr>
                <w:rFonts w:hint="default" w:ascii="Times New Roman" w:hAnsi="Times New Roman" w:cs="Times New Roman"/>
                <w:color w:val="auto"/>
                <w:sz w:val="24"/>
                <w:szCs w:val="24"/>
                <w:u w:val="none" w:color="auto"/>
              </w:rPr>
              <w:t>（GB12348-08）</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类标准</w:t>
            </w:r>
            <w:r>
              <w:rPr>
                <w:rFonts w:hint="default" w:ascii="Times New Roman" w:hAnsi="Times New Roman" w:cs="Times New Roman"/>
                <w:sz w:val="24"/>
                <w:szCs w:val="24"/>
                <w:u w:val="none" w:color="auto"/>
              </w:rPr>
              <w:t>。</w:t>
            </w:r>
          </w:p>
          <w:p>
            <w:pPr>
              <w:adjustRightInd w:val="0"/>
              <w:snapToGrid w:val="0"/>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4、固体废物影响分析</w:t>
            </w:r>
          </w:p>
          <w:p>
            <w:pPr>
              <w:spacing w:line="360" w:lineRule="auto"/>
              <w:ind w:firstLine="466" w:firstLineChars="200"/>
              <w:jc w:val="left"/>
              <w:rPr>
                <w:rFonts w:hint="default" w:ascii="Times New Roman" w:hAnsi="Times New Roman" w:cs="Times New Roman"/>
                <w:sz w:val="24"/>
                <w:szCs w:val="24"/>
                <w:u w:val="none" w:color="auto"/>
              </w:rPr>
            </w:pPr>
            <w:r>
              <w:rPr>
                <w:rFonts w:hint="eastAsia" w:ascii="宋体" w:hAnsi="宋体"/>
                <w:sz w:val="24"/>
                <w:szCs w:val="32"/>
                <w:u w:val="none" w:color="auto"/>
              </w:rPr>
              <w:t>本项目产生的固体废物有废</w:t>
            </w:r>
            <w:r>
              <w:rPr>
                <w:rFonts w:hint="eastAsia" w:ascii="宋体" w:hAnsi="宋体"/>
                <w:sz w:val="24"/>
                <w:szCs w:val="32"/>
                <w:u w:val="none" w:color="auto"/>
                <w:lang w:eastAsia="zh-CN"/>
              </w:rPr>
              <w:t>边角料</w:t>
            </w:r>
            <w:r>
              <w:rPr>
                <w:rFonts w:hint="eastAsia" w:ascii="宋体" w:hAnsi="宋体"/>
                <w:sz w:val="24"/>
                <w:szCs w:val="32"/>
                <w:u w:val="none" w:color="auto"/>
              </w:rPr>
              <w:t>、生活垃圾</w:t>
            </w:r>
            <w:r>
              <w:rPr>
                <w:rFonts w:hint="eastAsia" w:ascii="宋体" w:hAnsi="宋体"/>
                <w:sz w:val="24"/>
                <w:szCs w:val="32"/>
                <w:u w:val="none" w:color="auto"/>
                <w:lang w:eastAsia="zh-CN"/>
              </w:rPr>
              <w:t>、废油墨桶、废活性炭</w:t>
            </w:r>
            <w:r>
              <w:rPr>
                <w:rFonts w:hint="eastAsia" w:ascii="宋体" w:hAnsi="宋体"/>
                <w:sz w:val="24"/>
                <w:szCs w:val="32"/>
                <w:u w:val="none" w:color="auto"/>
              </w:rPr>
              <w:t>等。</w:t>
            </w:r>
            <w:r>
              <w:rPr>
                <w:rFonts w:hint="eastAsia" w:ascii="宋体" w:hAnsi="宋体"/>
                <w:sz w:val="24"/>
                <w:szCs w:val="32"/>
                <w:u w:val="none" w:color="auto"/>
                <w:lang w:eastAsia="zh-CN"/>
              </w:rPr>
              <w:t>其中废边角料</w:t>
            </w:r>
            <w:r>
              <w:rPr>
                <w:rFonts w:hint="default" w:ascii="Times New Roman" w:hAnsi="Times New Roman" w:cs="Times New Roman"/>
                <w:sz w:val="24"/>
                <w:u w:val="none" w:color="auto"/>
              </w:rPr>
              <w:t>收集后均</w:t>
            </w:r>
            <w:r>
              <w:rPr>
                <w:rFonts w:hint="eastAsia" w:cs="Times New Roman"/>
                <w:sz w:val="24"/>
                <w:u w:val="none" w:color="auto"/>
                <w:lang w:eastAsia="zh-CN"/>
              </w:rPr>
              <w:t>交由环卫部门进行收集处置；</w:t>
            </w:r>
            <w:r>
              <w:rPr>
                <w:rFonts w:hint="default" w:ascii="Times New Roman" w:hAnsi="Times New Roman" w:cs="Times New Roman"/>
                <w:sz w:val="24"/>
                <w:u w:val="none" w:color="auto"/>
              </w:rPr>
              <w:t>生活垃圾</w:t>
            </w:r>
            <w:r>
              <w:rPr>
                <w:rFonts w:hint="default" w:ascii="Times New Roman" w:hAnsi="Times New Roman" w:cs="Times New Roman"/>
                <w:sz w:val="24"/>
                <w:szCs w:val="24"/>
                <w:u w:val="none" w:color="auto"/>
              </w:rPr>
              <w:t>集中收集后交环卫部门统一清运处理</w:t>
            </w:r>
            <w:r>
              <w:rPr>
                <w:rFonts w:hint="eastAsia" w:ascii="Times New Roman" w:hAnsi="Times New Roman" w:cs="Times New Roman"/>
                <w:sz w:val="24"/>
                <w:szCs w:val="24"/>
                <w:u w:val="none" w:color="auto"/>
                <w:lang w:eastAsia="zh-CN"/>
              </w:rPr>
              <w:t>；</w:t>
            </w:r>
            <w:r>
              <w:rPr>
                <w:rFonts w:hint="eastAsia" w:hAnsi="宋体"/>
                <w:sz w:val="24"/>
                <w:u w:val="none" w:color="auto"/>
                <w:lang w:val="en-US" w:eastAsia="zh-CN"/>
              </w:rPr>
              <w:t xml:space="preserve">废活性炭属于危险废物（代码：HW49  900-039-49 </w:t>
            </w:r>
            <w:r>
              <w:rPr>
                <w:rFonts w:hint="eastAsia" w:hAnsi="宋体"/>
                <w:sz w:val="24"/>
                <w:u w:val="none" w:color="auto"/>
                <w:lang w:eastAsia="zh-CN"/>
              </w:rPr>
              <w:t>），收集于危险废物储存间内，再交由有资质单位进行处理</w:t>
            </w:r>
            <w:r>
              <w:rPr>
                <w:rFonts w:hint="eastAsia"/>
                <w:sz w:val="24"/>
                <w:szCs w:val="24"/>
                <w:u w:val="none" w:color="auto"/>
                <w:lang w:val="en-US" w:eastAsia="zh-CN"/>
              </w:rPr>
              <w:t>；</w:t>
            </w:r>
            <w:r>
              <w:rPr>
                <w:rFonts w:hint="eastAsia" w:hAnsi="宋体"/>
                <w:sz w:val="24"/>
                <w:u w:val="none" w:color="auto"/>
                <w:lang w:val="en-US" w:eastAsia="zh-CN"/>
              </w:rPr>
              <w:t>项目废油墨桶属于危险废物（代码：HW12  264-013-12），需收集于危险废物储存间，再交由生产厂家回收或交由有资质单位进行处置</w:t>
            </w:r>
            <w:r>
              <w:rPr>
                <w:rFonts w:hint="default" w:ascii="Times New Roman" w:hAnsi="Times New Roman" w:cs="Times New Roman"/>
                <w:sz w:val="24"/>
                <w:szCs w:val="24"/>
                <w:u w:val="none" w:color="auto"/>
              </w:rPr>
              <w:t>。</w:t>
            </w:r>
          </w:p>
          <w:p>
            <w:pPr>
              <w:keepNext w:val="0"/>
              <w:keepLines w:val="0"/>
              <w:pageBreakBefore w:val="0"/>
              <w:widowControl w:val="0"/>
              <w:kinsoku/>
              <w:wordWrap/>
              <w:overflowPunct/>
              <w:topLinePunct w:val="0"/>
              <w:autoSpaceDE/>
              <w:autoSpaceDN/>
              <w:bidi w:val="0"/>
              <w:spacing w:line="360" w:lineRule="auto"/>
              <w:ind w:firstLine="466" w:firstLineChars="200"/>
              <w:textAlignment w:val="auto"/>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固体废物在外售前，分类放入仓库暂存，避免下雨冲刷，污染环境，并做好防渗措施，避免因雨水淋溶而污染区域地表水和地下水。</w:t>
            </w:r>
          </w:p>
          <w:p>
            <w:pPr>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sz w:val="24"/>
                <w:szCs w:val="24"/>
                <w:u w:val="none" w:color="auto"/>
                <w:lang w:eastAsia="zh-CN"/>
              </w:rPr>
            </w:pPr>
            <w:r>
              <w:rPr>
                <w:rFonts w:hint="default" w:ascii="Times New Roman" w:hAnsi="Times New Roman" w:cs="Times New Roman"/>
                <w:sz w:val="24"/>
                <w:szCs w:val="24"/>
                <w:u w:val="none" w:color="auto"/>
              </w:rPr>
              <w:t>一般固体废物暂存库建设要求：（1）为防止雨水径流进入暂存场地，场地周边应设置导流渠和集水池；（2）为加强监督管理，暂存场地应按环境《保护图形标志--固体废物贮存(处置)场》(GB 15562.2-1995) 设置环境保护图形标志</w:t>
            </w:r>
            <w:r>
              <w:rPr>
                <w:rFonts w:hint="default" w:ascii="Times New Roman" w:hAnsi="Times New Roman" w:cs="Times New Roman"/>
                <w:sz w:val="24"/>
                <w:szCs w:val="24"/>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hint="default" w:ascii="Times New Roman" w:hAnsi="Times New Roman" w:cs="Times New Roman"/>
                <w:sz w:val="24"/>
                <w:szCs w:val="24"/>
                <w:u w:val="none" w:color="auto"/>
              </w:rPr>
            </w:pPr>
            <w:r>
              <w:rPr>
                <w:rFonts w:hint="default" w:ascii="Times New Roman" w:hAnsi="Times New Roman" w:cs="Times New Roman"/>
                <w:color w:val="auto"/>
                <w:sz w:val="24"/>
                <w:szCs w:val="24"/>
                <w:u w:val="none" w:color="auto"/>
                <w:lang w:eastAsia="zh-CN"/>
              </w:rPr>
              <w:t>环评建议危险废物储存间设置于项目</w:t>
            </w:r>
            <w:r>
              <w:rPr>
                <w:rFonts w:hint="eastAsia" w:cs="Times New Roman"/>
                <w:color w:val="auto"/>
                <w:sz w:val="24"/>
                <w:szCs w:val="24"/>
                <w:u w:val="none" w:color="auto"/>
                <w:lang w:eastAsia="zh-CN"/>
              </w:rPr>
              <w:t>一楼</w:t>
            </w:r>
            <w:r>
              <w:rPr>
                <w:rFonts w:hint="default" w:ascii="Times New Roman" w:hAnsi="Times New Roman" w:cs="Times New Roman"/>
                <w:color w:val="auto"/>
                <w:sz w:val="24"/>
                <w:szCs w:val="24"/>
                <w:u w:val="none" w:color="auto"/>
                <w:lang w:eastAsia="zh-CN"/>
              </w:rPr>
              <w:t>车间</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面积为50m</w:t>
            </w:r>
            <w:r>
              <w:rPr>
                <w:rFonts w:hint="eastAsia" w:cs="Times New Roman"/>
                <w:color w:val="auto"/>
                <w:sz w:val="24"/>
                <w:szCs w:val="24"/>
                <w:u w:val="none" w:color="auto"/>
                <w:vertAlign w:val="superscript"/>
                <w:lang w:val="en-US" w:eastAsia="zh-CN"/>
              </w:rPr>
              <w:t>2</w:t>
            </w:r>
            <w:r>
              <w:rPr>
                <w:rFonts w:hint="eastAsia" w:cs="Times New Roman"/>
                <w:color w:val="auto"/>
                <w:sz w:val="24"/>
                <w:szCs w:val="24"/>
                <w:u w:val="none" w:color="auto"/>
                <w:lang w:eastAsia="zh-CN"/>
              </w:rPr>
              <w:t>）</w:t>
            </w:r>
            <w:r>
              <w:rPr>
                <w:rFonts w:hint="default" w:ascii="Times New Roman" w:hAnsi="Times New Roman" w:cs="Times New Roman"/>
                <w:color w:val="auto"/>
                <w:sz w:val="24"/>
                <w:szCs w:val="24"/>
                <w:u w:val="none" w:color="auto"/>
                <w:lang w:eastAsia="zh-CN"/>
              </w:rPr>
              <w:t>，且危险废物</w:t>
            </w:r>
            <w:r>
              <w:rPr>
                <w:rFonts w:hint="default" w:ascii="Times New Roman" w:hAnsi="Times New Roman" w:cs="Times New Roman"/>
                <w:sz w:val="24"/>
                <w:szCs w:val="24"/>
                <w:u w:val="none" w:color="auto"/>
                <w:lang w:eastAsia="zh-CN"/>
              </w:rPr>
              <w:t>储存区建设要求：</w:t>
            </w:r>
            <w:r>
              <w:rPr>
                <w:rFonts w:hint="default" w:ascii="Times New Roman" w:hAnsi="Times New Roman" w:cs="Times New Roman"/>
                <w:sz w:val="24"/>
                <w:szCs w:val="24"/>
                <w:u w:val="none" w:color="auto"/>
              </w:rPr>
              <w:t>根据国家《危险废物贮存污染控制标准》（GB18597-2001）的有关规定，危险废物在厂内存放期间，储存间地面进行防渗处理，同时采取“防扬散、防流失、防渗漏”的三防措施，用标签明示危险废物种类，在堆放场地处设置标志，并远离电源、火源，并设专人管理。</w:t>
            </w:r>
          </w:p>
          <w:p>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hint="default" w:ascii="Times New Roman" w:hAnsi="Times New Roman" w:cs="Times New Roman"/>
                <w:sz w:val="24"/>
                <w:szCs w:val="24"/>
                <w:u w:val="none" w:color="auto"/>
                <w:lang w:eastAsia="zh-CN"/>
              </w:rPr>
            </w:pPr>
            <w:r>
              <w:rPr>
                <w:rFonts w:hint="default" w:ascii="Times New Roman" w:hAnsi="Times New Roman" w:cs="Times New Roman"/>
                <w:sz w:val="24"/>
                <w:szCs w:val="24"/>
                <w:u w:val="none" w:color="auto"/>
              </w:rPr>
              <w:t>危险废物不可以随意排放、放置和转移，由专人负责管理其入、完善出入登记台帐，应集中收集后交由具有危险废物经营许可证的单位统一处理，并签订危废处理协议。盛装危险废物的容器和胶带必须贴符合《危险废物贮存污染控制标准》（GB18597-2001）附录A所示的标签等，防止造成二次污染。</w:t>
            </w:r>
          </w:p>
          <w:p>
            <w:pPr>
              <w:snapToGrid w:val="0"/>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采取上述措施后，本工程固体废物可得到妥善的处理，对周围环境造影响较小。</w:t>
            </w:r>
          </w:p>
          <w:p>
            <w:pPr>
              <w:pStyle w:val="187"/>
              <w:spacing w:line="360" w:lineRule="auto"/>
              <w:rPr>
                <w:rFonts w:hint="default" w:ascii="Times New Roman" w:hAnsi="Times New Roman" w:cs="Times New Roman"/>
                <w:sz w:val="24"/>
                <w:szCs w:val="24"/>
                <w:u w:val="none" w:color="auto"/>
                <w:lang w:val="en-US" w:eastAsia="zh-CN"/>
              </w:rPr>
            </w:pPr>
            <w:r>
              <w:rPr>
                <w:rFonts w:hint="eastAsia" w:cs="Times New Roman"/>
                <w:sz w:val="24"/>
                <w:szCs w:val="24"/>
                <w:u w:val="none" w:color="auto"/>
                <w:lang w:val="en-US" w:eastAsia="zh-CN"/>
              </w:rPr>
              <w:t>5、土壤环境质量分析</w:t>
            </w:r>
          </w:p>
          <w:p>
            <w:pPr>
              <w:pStyle w:val="24"/>
              <w:spacing w:after="0" w:line="360" w:lineRule="auto"/>
              <w:ind w:left="0" w:leftChars="0" w:firstLine="466" w:firstLineChars="200"/>
              <w:rPr>
                <w:rFonts w:hint="default" w:eastAsia="宋体"/>
                <w:bCs/>
                <w:color w:val="auto"/>
                <w:spacing w:val="4"/>
                <w:sz w:val="24"/>
                <w:u w:val="none" w:color="auto"/>
                <w:lang w:val="en-US" w:eastAsia="zh-CN"/>
              </w:rPr>
            </w:pPr>
            <w:r>
              <w:rPr>
                <w:rFonts w:hint="eastAsia"/>
                <w:color w:val="auto"/>
                <w:sz w:val="24"/>
                <w:szCs w:val="22"/>
                <w:u w:val="none" w:color="auto"/>
                <w:lang w:val="en-US" w:eastAsia="zh-CN"/>
              </w:rPr>
              <w:t>根据《环境影响评价技术导则---土壤环境》（HJ964-2018）中可知，本项目属于污染影响型，本项目为硅胶制品生产项目，土壤环境影响评价项目类别中，属于“其他行业”，因此类别为</w:t>
            </w:r>
            <w:r>
              <w:rPr>
                <w:rFonts w:hint="eastAsia"/>
                <w:color w:val="auto"/>
                <w:sz w:val="24"/>
                <w:szCs w:val="22"/>
                <w:u w:val="none" w:color="auto"/>
                <w:lang w:val="en-US" w:eastAsia="zh-CN"/>
              </w:rPr>
              <w:fldChar w:fldCharType="begin"/>
            </w:r>
            <w:r>
              <w:rPr>
                <w:rFonts w:hint="eastAsia"/>
                <w:color w:val="auto"/>
                <w:sz w:val="24"/>
                <w:szCs w:val="22"/>
                <w:u w:val="none" w:color="auto"/>
                <w:lang w:val="en-US" w:eastAsia="zh-CN"/>
              </w:rPr>
              <w:instrText xml:space="preserve"> = 4 \* ROMAN \* MERGEFORMAT </w:instrText>
            </w:r>
            <w:r>
              <w:rPr>
                <w:rFonts w:hint="eastAsia"/>
                <w:color w:val="auto"/>
                <w:sz w:val="24"/>
                <w:szCs w:val="22"/>
                <w:u w:val="none" w:color="auto"/>
                <w:lang w:val="en-US" w:eastAsia="zh-CN"/>
              </w:rPr>
              <w:fldChar w:fldCharType="separate"/>
            </w:r>
            <w:r>
              <w:rPr>
                <w:color w:val="auto"/>
                <w:sz w:val="24"/>
                <w:szCs w:val="22"/>
                <w:u w:val="none" w:color="auto"/>
              </w:rPr>
              <w:t>IV</w:t>
            </w:r>
            <w:r>
              <w:rPr>
                <w:rFonts w:hint="eastAsia"/>
                <w:color w:val="auto"/>
                <w:sz w:val="24"/>
                <w:szCs w:val="22"/>
                <w:u w:val="none" w:color="auto"/>
                <w:lang w:val="en-US" w:eastAsia="zh-CN"/>
              </w:rPr>
              <w:fldChar w:fldCharType="end"/>
            </w:r>
            <w:r>
              <w:rPr>
                <w:rFonts w:hint="eastAsia"/>
                <w:color w:val="auto"/>
                <w:sz w:val="24"/>
                <w:szCs w:val="22"/>
                <w:u w:val="none" w:color="auto"/>
                <w:lang w:val="en-US" w:eastAsia="zh-CN"/>
              </w:rPr>
              <w:t>类。直接判定本项目可不开展土壤环境评价工作</w:t>
            </w:r>
            <w:r>
              <w:rPr>
                <w:rFonts w:hint="eastAsia"/>
                <w:bCs/>
                <w:color w:val="auto"/>
                <w:spacing w:val="4"/>
                <w:sz w:val="24"/>
                <w:u w:val="none" w:color="auto"/>
                <w:lang w:val="en-US" w:eastAsia="zh-CN"/>
              </w:rPr>
              <w:t>。</w:t>
            </w:r>
          </w:p>
          <w:p>
            <w:pPr>
              <w:pStyle w:val="187"/>
              <w:spacing w:line="360" w:lineRule="auto"/>
              <w:rPr>
                <w:rFonts w:hint="default" w:ascii="Times New Roman" w:hAnsi="Times New Roman" w:cs="Times New Roman"/>
                <w:color w:val="auto"/>
                <w:sz w:val="24"/>
                <w:szCs w:val="24"/>
                <w:u w:val="none" w:color="auto"/>
              </w:rPr>
            </w:pPr>
            <w:r>
              <w:rPr>
                <w:rFonts w:hint="eastAsia"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rPr>
              <w:t>、环境风险分析及防范措施</w:t>
            </w:r>
          </w:p>
          <w:p>
            <w:pPr>
              <w:pStyle w:val="174"/>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环境风险评价的目的是分析和预测建设项目存在的潜在危险、有害因素，建设项目建设和运行期间可能发生的突发性事件或事故，引起有毒有害和易燃易爆等物质泄漏，所造成的人身安全与环境影响和损害程度，提出合理可行的防范、应急与减缓措施，以使建设项目事故率、损失和环境影响达到可接受水平。</w:t>
            </w:r>
          </w:p>
          <w:p>
            <w:pPr>
              <w:pStyle w:val="174"/>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《建设项目环境风险评价技术导则》（HJ/T169-20</w:t>
            </w:r>
            <w:r>
              <w:rPr>
                <w:rFonts w:hint="default" w:ascii="Times New Roman" w:hAnsi="Times New Roman" w:cs="Times New Roman"/>
                <w:color w:val="auto"/>
                <w:sz w:val="24"/>
                <w:szCs w:val="24"/>
                <w:u w:val="none" w:color="auto"/>
                <w:lang w:val="en-US" w:eastAsia="zh-CN"/>
              </w:rPr>
              <w:t>18</w:t>
            </w:r>
            <w:r>
              <w:rPr>
                <w:rFonts w:hint="default" w:ascii="Times New Roman" w:hAnsi="Times New Roman" w:cs="Times New Roman"/>
                <w:color w:val="auto"/>
                <w:sz w:val="24"/>
                <w:szCs w:val="24"/>
                <w:u w:val="none" w:color="auto"/>
              </w:rPr>
              <w:t>）适用于涉及有毒有害和易燃易爆物质的生产、使用和贮运等的新建、改建、扩建和技术改造项目，本次评价以该导则为基准，通过对工程的风险识别、分析和后果预测，提出本项目的风险防范措施和应急预案，把项目环境风险尽可能降低至可接受水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textAlignment w:val="auto"/>
              <w:rPr>
                <w:rFonts w:hint="default" w:ascii="Times New Roman" w:hAnsi="Times New Roman" w:cs="Times New Roman"/>
                <w:b/>
                <w:bCs/>
                <w:color w:val="auto"/>
                <w:sz w:val="24"/>
                <w:u w:val="none" w:color="auto"/>
                <w:lang w:val="en-US" w:eastAsia="zh-CN"/>
              </w:rPr>
            </w:pPr>
            <w:r>
              <w:rPr>
                <w:rFonts w:hint="default" w:ascii="Times New Roman" w:hAnsi="Times New Roman" w:cs="Times New Roman"/>
                <w:color w:val="auto"/>
                <w:sz w:val="24"/>
                <w:szCs w:val="24"/>
                <w:u w:val="none" w:color="auto"/>
                <w:lang w:val="en-US" w:eastAsia="zh-CN"/>
              </w:rPr>
              <w:t>本次环境风险评价采用《建设项目环境风险评价技术导则》（HJ169-2018）中要求对建设项目的环境风险进行分析、计算和评估，提出环境风险预防、控制、减缓措施，明确环境风险监控及应急建议要求，为建设项目环境风险防控提供科学依据。</w:t>
            </w:r>
          </w:p>
          <w:p>
            <w:pPr>
              <w:pStyle w:val="189"/>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default" w:ascii="Times New Roman" w:hAnsi="Times New Roman" w:cs="Times New Roman"/>
                <w:b/>
                <w:bCs/>
                <w:color w:val="auto"/>
                <w:sz w:val="24"/>
                <w:u w:val="none" w:color="auto"/>
                <w:lang w:val="en-US" w:eastAsia="zh-CN"/>
              </w:rPr>
            </w:pPr>
            <w:r>
              <w:rPr>
                <w:rFonts w:hint="default" w:ascii="Times New Roman" w:hAnsi="Times New Roman" w:cs="Times New Roman"/>
                <w:b/>
                <w:bCs/>
                <w:color w:val="auto"/>
                <w:sz w:val="24"/>
                <w:u w:val="none" w:color="auto"/>
                <w:lang w:val="en-US" w:eastAsia="zh-CN"/>
              </w:rPr>
              <w:t>风险调查</w:t>
            </w:r>
          </w:p>
          <w:p>
            <w:pPr>
              <w:pStyle w:val="189"/>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default" w:ascii="Times New Roman" w:hAnsi="Times New Roman" w:cs="Times New Roman"/>
                <w:b/>
                <w:bCs/>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通过对项目进行分析，可判断项目营运期</w:t>
            </w:r>
            <w:r>
              <w:rPr>
                <w:rFonts w:hint="eastAsia" w:ascii="Times New Roman" w:hAnsi="Times New Roman" w:cs="Times New Roman"/>
                <w:b w:val="0"/>
                <w:bCs w:val="0"/>
                <w:color w:val="auto"/>
                <w:sz w:val="24"/>
                <w:u w:val="none" w:color="auto"/>
                <w:lang w:val="en-US" w:eastAsia="zh-CN"/>
              </w:rPr>
              <w:t>有组织废气超标排放、原辅材料</w:t>
            </w:r>
            <w:r>
              <w:rPr>
                <w:rFonts w:hint="default" w:ascii="Times New Roman" w:hAnsi="Times New Roman" w:cs="Times New Roman"/>
                <w:b w:val="0"/>
                <w:bCs w:val="0"/>
                <w:color w:val="auto"/>
                <w:sz w:val="24"/>
                <w:u w:val="none" w:color="auto"/>
                <w:lang w:val="en-US" w:eastAsia="zh-CN"/>
              </w:rPr>
              <w:t>泄漏风险等。</w:t>
            </w:r>
          </w:p>
          <w:p>
            <w:pPr>
              <w:pStyle w:val="174"/>
              <w:spacing w:line="360" w:lineRule="auto"/>
              <w:ind w:firstLine="480"/>
              <w:rPr>
                <w:rFonts w:hint="default" w:ascii="Times New Roman" w:hAnsi="Times New Roman" w:cs="Times New Roman"/>
                <w:b/>
                <w:bCs/>
                <w:color w:val="auto"/>
                <w:sz w:val="24"/>
                <w:szCs w:val="24"/>
                <w:u w:val="none" w:color="auto"/>
              </w:rPr>
            </w:pPr>
            <w:r>
              <w:rPr>
                <w:rFonts w:hint="eastAsia" w:cs="Times New Roman"/>
                <w:b/>
                <w:bCs/>
                <w:color w:val="auto"/>
                <w:sz w:val="24"/>
                <w:szCs w:val="24"/>
                <w:u w:val="none" w:color="auto"/>
                <w:lang w:eastAsia="zh-CN"/>
              </w:rPr>
              <w:t>环境风险分析</w:t>
            </w:r>
          </w:p>
          <w:p>
            <w:pPr>
              <w:pStyle w:val="174"/>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（1）物质识别</w:t>
            </w:r>
          </w:p>
          <w:p>
            <w:pPr>
              <w:pStyle w:val="174"/>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详见下表。</w:t>
            </w:r>
          </w:p>
          <w:p>
            <w:pPr>
              <w:pStyle w:val="188"/>
              <w:spacing w:line="360" w:lineRule="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表7-</w:t>
            </w:r>
            <w:r>
              <w:rPr>
                <w:rFonts w:hint="eastAsia" w:cs="Times New Roman"/>
                <w:color w:val="auto"/>
                <w:sz w:val="24"/>
                <w:szCs w:val="24"/>
                <w:u w:val="none" w:color="auto"/>
                <w:lang w:val="en-US" w:eastAsia="zh-CN"/>
              </w:rPr>
              <w:t>16</w:t>
            </w:r>
            <w:r>
              <w:rPr>
                <w:rFonts w:hint="default" w:ascii="Times New Roman" w:hAnsi="Times New Roman" w:cs="Times New Roman"/>
                <w:color w:val="auto"/>
                <w:sz w:val="24"/>
                <w:szCs w:val="24"/>
                <w:u w:val="none" w:color="auto"/>
              </w:rPr>
              <w:t xml:space="preserve">  物质危险性识别表</w:t>
            </w:r>
          </w:p>
          <w:tbl>
            <w:tblPr>
              <w:tblStyle w:val="40"/>
              <w:tblW w:w="90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685"/>
              <w:gridCol w:w="1983"/>
              <w:gridCol w:w="24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21" w:type="dxa"/>
                  <w:noWrap w:val="0"/>
                  <w:vAlign w:val="center"/>
                </w:tcPr>
                <w:p>
                  <w:pPr>
                    <w:pStyle w:val="186"/>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品名</w:t>
                  </w:r>
                </w:p>
              </w:tc>
              <w:tc>
                <w:tcPr>
                  <w:tcW w:w="2685" w:type="dxa"/>
                  <w:noWrap w:val="0"/>
                  <w:vAlign w:val="center"/>
                </w:tcPr>
                <w:p>
                  <w:pPr>
                    <w:pStyle w:val="186"/>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主（次）危险性类别</w:t>
                  </w:r>
                </w:p>
              </w:tc>
              <w:tc>
                <w:tcPr>
                  <w:tcW w:w="1983" w:type="dxa"/>
                  <w:noWrap w:val="0"/>
                  <w:vAlign w:val="center"/>
                </w:tcPr>
                <w:p>
                  <w:pPr>
                    <w:pStyle w:val="186"/>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类别</w:t>
                  </w:r>
                </w:p>
              </w:tc>
              <w:tc>
                <w:tcPr>
                  <w:tcW w:w="2433" w:type="dxa"/>
                  <w:noWrap w:val="0"/>
                  <w:vAlign w:val="center"/>
                </w:tcPr>
                <w:p>
                  <w:pPr>
                    <w:pStyle w:val="186"/>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是否是环境风险物质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921" w:type="dxa"/>
                  <w:noWrap w:val="0"/>
                  <w:vAlign w:val="center"/>
                </w:tcPr>
                <w:p>
                  <w:pPr>
                    <w:pStyle w:val="186"/>
                    <w:spacing w:line="360" w:lineRule="auto"/>
                    <w:rPr>
                      <w:rFonts w:hint="default" w:ascii="Times New Roman" w:hAnsi="Times New Roman" w:cs="Times New Roman"/>
                      <w:color w:val="auto"/>
                      <w:sz w:val="21"/>
                      <w:szCs w:val="21"/>
                      <w:u w:val="none" w:color="auto"/>
                      <w:lang w:eastAsia="zh-CN"/>
                    </w:rPr>
                  </w:pPr>
                  <w:r>
                    <w:rPr>
                      <w:rFonts w:hint="eastAsia" w:cs="Times New Roman"/>
                      <w:b w:val="0"/>
                      <w:bCs w:val="0"/>
                      <w:color w:val="auto"/>
                      <w:sz w:val="21"/>
                      <w:szCs w:val="16"/>
                      <w:u w:val="none" w:color="auto"/>
                      <w:lang w:val="en-US" w:eastAsia="zh-CN"/>
                    </w:rPr>
                    <w:t>油墨</w:t>
                  </w:r>
                </w:p>
              </w:tc>
              <w:tc>
                <w:tcPr>
                  <w:tcW w:w="2685" w:type="dxa"/>
                  <w:noWrap w:val="0"/>
                  <w:vAlign w:val="center"/>
                </w:tcPr>
                <w:p>
                  <w:pPr>
                    <w:spacing w:line="360" w:lineRule="auto"/>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lang w:eastAsia="zh-CN"/>
                    </w:rPr>
                    <w:t>泄漏</w:t>
                  </w:r>
                  <w:r>
                    <w:rPr>
                      <w:rFonts w:hint="eastAsia" w:ascii="Times New Roman" w:hAnsi="Times New Roman" w:cs="Times New Roman"/>
                      <w:color w:val="auto"/>
                      <w:sz w:val="21"/>
                      <w:szCs w:val="21"/>
                      <w:u w:val="none" w:color="auto"/>
                      <w:lang w:eastAsia="zh-CN"/>
                    </w:rPr>
                    <w:t>、火灾</w:t>
                  </w:r>
                </w:p>
              </w:tc>
              <w:tc>
                <w:tcPr>
                  <w:tcW w:w="1983" w:type="dxa"/>
                  <w:noWrap w:val="0"/>
                  <w:vAlign w:val="center"/>
                </w:tcPr>
                <w:p>
                  <w:pPr>
                    <w:pStyle w:val="186"/>
                    <w:spacing w:line="360" w:lineRule="auto"/>
                    <w:rPr>
                      <w:rFonts w:hint="eastAsia" w:ascii="Times New Roman" w:hAnsi="Times New Roman" w:cs="Times New Roman"/>
                      <w:color w:val="auto"/>
                      <w:sz w:val="21"/>
                      <w:szCs w:val="21"/>
                      <w:u w:val="none" w:color="auto"/>
                      <w:lang w:eastAsia="zh-CN"/>
                    </w:rPr>
                  </w:pPr>
                  <w:r>
                    <w:rPr>
                      <w:rFonts w:hint="eastAsia" w:cs="Times New Roman"/>
                      <w:color w:val="auto"/>
                      <w:sz w:val="21"/>
                      <w:szCs w:val="21"/>
                      <w:u w:val="none" w:color="auto"/>
                      <w:lang w:eastAsia="zh-CN"/>
                    </w:rPr>
                    <w:t>原辅材料</w:t>
                  </w:r>
                </w:p>
              </w:tc>
              <w:tc>
                <w:tcPr>
                  <w:tcW w:w="2433" w:type="dxa"/>
                  <w:noWrap w:val="0"/>
                  <w:vAlign w:val="center"/>
                </w:tcPr>
                <w:p>
                  <w:pPr>
                    <w:pStyle w:val="186"/>
                    <w:spacing w:line="360" w:lineRule="auto"/>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31" w:hRule="atLeast"/>
                <w:jc w:val="center"/>
              </w:trPr>
              <w:tc>
                <w:tcPr>
                  <w:tcW w:w="1921" w:type="dxa"/>
                  <w:noWrap w:val="0"/>
                  <w:vAlign w:val="center"/>
                </w:tcPr>
                <w:p>
                  <w:pPr>
                    <w:pStyle w:val="186"/>
                    <w:spacing w:line="360" w:lineRule="auto"/>
                    <w:rPr>
                      <w:rFonts w:hint="eastAsia" w:eastAsia="宋体" w:cs="Times New Roman"/>
                      <w:b w:val="0"/>
                      <w:bCs w:val="0"/>
                      <w:color w:val="auto"/>
                      <w:sz w:val="21"/>
                      <w:szCs w:val="16"/>
                      <w:u w:val="none" w:color="auto"/>
                      <w:lang w:val="en-US" w:eastAsia="zh-CN"/>
                    </w:rPr>
                  </w:pPr>
                  <w:r>
                    <w:rPr>
                      <w:rFonts w:hint="eastAsia" w:cs="Times New Roman"/>
                      <w:color w:val="auto"/>
                      <w:sz w:val="22"/>
                      <w:szCs w:val="22"/>
                      <w:u w:val="none" w:color="auto"/>
                      <w:lang w:val="en-US" w:eastAsia="zh-CN"/>
                    </w:rPr>
                    <w:t>架桥剂</w:t>
                  </w:r>
                </w:p>
              </w:tc>
              <w:tc>
                <w:tcPr>
                  <w:tcW w:w="2685" w:type="dxa"/>
                  <w:noWrap w:val="0"/>
                  <w:vAlign w:val="center"/>
                </w:tcPr>
                <w:p>
                  <w:pPr>
                    <w:spacing w:line="360" w:lineRule="auto"/>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lang w:eastAsia="zh-CN"/>
                    </w:rPr>
                    <w:t>泄漏</w:t>
                  </w:r>
                  <w:r>
                    <w:rPr>
                      <w:rFonts w:hint="eastAsia" w:ascii="Times New Roman" w:hAnsi="Times New Roman" w:cs="Times New Roman"/>
                      <w:color w:val="auto"/>
                      <w:sz w:val="21"/>
                      <w:szCs w:val="21"/>
                      <w:u w:val="none" w:color="auto"/>
                      <w:lang w:eastAsia="zh-CN"/>
                    </w:rPr>
                    <w:t>、火灾</w:t>
                  </w:r>
                </w:p>
              </w:tc>
              <w:tc>
                <w:tcPr>
                  <w:tcW w:w="1983" w:type="dxa"/>
                  <w:noWrap w:val="0"/>
                  <w:vAlign w:val="center"/>
                </w:tcPr>
                <w:p>
                  <w:pPr>
                    <w:pStyle w:val="186"/>
                    <w:spacing w:line="360" w:lineRule="auto"/>
                    <w:rPr>
                      <w:rFonts w:hint="eastAsia" w:cs="Times New Roman"/>
                      <w:color w:val="auto"/>
                      <w:sz w:val="21"/>
                      <w:szCs w:val="21"/>
                      <w:u w:val="none" w:color="auto"/>
                      <w:lang w:eastAsia="zh-CN"/>
                    </w:rPr>
                  </w:pPr>
                  <w:r>
                    <w:rPr>
                      <w:rFonts w:hint="eastAsia" w:cs="Times New Roman"/>
                      <w:color w:val="auto"/>
                      <w:sz w:val="21"/>
                      <w:szCs w:val="21"/>
                      <w:u w:val="none" w:color="auto"/>
                      <w:lang w:eastAsia="zh-CN"/>
                    </w:rPr>
                    <w:t>原辅材料</w:t>
                  </w:r>
                </w:p>
              </w:tc>
              <w:tc>
                <w:tcPr>
                  <w:tcW w:w="2433" w:type="dxa"/>
                  <w:noWrap w:val="0"/>
                  <w:vAlign w:val="center"/>
                </w:tcPr>
                <w:p>
                  <w:pPr>
                    <w:pStyle w:val="186"/>
                    <w:spacing w:line="360" w:lineRule="auto"/>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是</w:t>
                  </w:r>
                </w:p>
              </w:tc>
            </w:tr>
          </w:tbl>
          <w:p>
            <w:pPr>
              <w:keepNext w:val="0"/>
              <w:keepLines w:val="0"/>
              <w:widowControl/>
              <w:suppressLineNumbers w:val="0"/>
              <w:spacing w:line="360" w:lineRule="auto"/>
              <w:ind w:firstLine="466" w:firstLineChars="200"/>
              <w:jc w:val="left"/>
              <w:rPr>
                <w:rFonts w:hint="default" w:ascii="Times New Roman" w:hAnsi="Times New Roman" w:cs="Times New Roman"/>
                <w:color w:val="auto"/>
                <w:sz w:val="24"/>
                <w:szCs w:val="24"/>
                <w:u w:val="none" w:color="auto"/>
              </w:rPr>
            </w:pPr>
          </w:p>
          <w:p>
            <w:pPr>
              <w:keepNext w:val="0"/>
              <w:keepLines w:val="0"/>
              <w:widowControl/>
              <w:suppressLineNumbers w:val="0"/>
              <w:spacing w:line="360" w:lineRule="auto"/>
              <w:ind w:firstLine="466" w:firstLineChars="200"/>
              <w:jc w:val="left"/>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w:t>
            </w:r>
            <w:r>
              <w:rPr>
                <w:rFonts w:hint="default" w:ascii="Times New Roman" w:hAnsi="Times New Roman" w:eastAsia="宋体" w:cs="Times New Roman"/>
                <w:color w:val="auto"/>
                <w:kern w:val="0"/>
                <w:sz w:val="24"/>
                <w:szCs w:val="24"/>
                <w:u w:val="none" w:color="auto"/>
                <w:lang w:val="en-US" w:eastAsia="zh-CN" w:bidi="ar"/>
              </w:rPr>
              <w:t>风险潜势初判</w:t>
            </w:r>
          </w:p>
          <w:p>
            <w:pPr>
              <w:pStyle w:val="189"/>
              <w:keepNext w:val="0"/>
              <w:keepLines w:val="0"/>
              <w:pageBreakBefore w:val="0"/>
              <w:widowControl w:val="0"/>
              <w:kinsoku/>
              <w:wordWrap/>
              <w:overflowPunct/>
              <w:topLinePunct w:val="0"/>
              <w:autoSpaceDE/>
              <w:autoSpaceDN/>
              <w:bidi w:val="0"/>
              <w:adjustRightInd/>
              <w:snapToGrid/>
              <w:spacing w:line="360" w:lineRule="auto"/>
              <w:ind w:firstLine="512"/>
              <w:textAlignment w:val="auto"/>
              <w:rPr>
                <w:rFonts w:hint="default" w:ascii="Times New Roman" w:hAnsi="Times New Roman" w:cs="Times New Roman"/>
                <w:color w:val="auto"/>
                <w:sz w:val="24"/>
                <w:szCs w:val="24"/>
                <w:u w:val="none" w:color="auto"/>
              </w:rPr>
            </w:pPr>
            <w:r>
              <w:rPr>
                <w:rFonts w:hint="default" w:ascii="Times New Roman" w:hAnsi="Times New Roman" w:eastAsia="宋体" w:cs="Times New Roman"/>
                <w:color w:val="auto"/>
                <w:kern w:val="0"/>
                <w:sz w:val="24"/>
                <w:szCs w:val="24"/>
                <w:u w:val="none" w:color="auto"/>
                <w:lang w:val="en-US" w:eastAsia="zh-CN" w:bidi="ar"/>
              </w:rPr>
              <w:t>根据建设项目环境风险评价技术导则附录</w:t>
            </w:r>
            <w:r>
              <w:rPr>
                <w:rFonts w:hint="default" w:ascii="Times New Roman" w:hAnsi="Times New Roman" w:eastAsia="TimesNewRomanPSMT" w:cs="Times New Roman"/>
                <w:color w:val="auto"/>
                <w:kern w:val="0"/>
                <w:sz w:val="24"/>
                <w:szCs w:val="24"/>
                <w:u w:val="none" w:color="auto"/>
                <w:lang w:val="en-US" w:eastAsia="zh-CN" w:bidi="ar"/>
              </w:rPr>
              <w:t>B.1</w:t>
            </w:r>
            <w:r>
              <w:rPr>
                <w:rFonts w:hint="default" w:ascii="Times New Roman" w:hAnsi="Times New Roman" w:eastAsia="宋体" w:cs="Times New Roman"/>
                <w:color w:val="auto"/>
                <w:kern w:val="0"/>
                <w:sz w:val="24"/>
                <w:szCs w:val="24"/>
                <w:u w:val="none" w:color="auto"/>
                <w:lang w:val="en-US" w:eastAsia="zh-CN" w:bidi="ar"/>
              </w:rPr>
              <w:t>和</w:t>
            </w:r>
            <w:r>
              <w:rPr>
                <w:rFonts w:hint="default" w:ascii="Times New Roman" w:hAnsi="Times New Roman" w:eastAsia="TimesNewRomanPSMT" w:cs="Times New Roman"/>
                <w:color w:val="auto"/>
                <w:kern w:val="0"/>
                <w:sz w:val="24"/>
                <w:szCs w:val="24"/>
                <w:u w:val="none" w:color="auto"/>
                <w:lang w:val="en-US" w:eastAsia="zh-CN" w:bidi="ar"/>
              </w:rPr>
              <w:t>B.2</w:t>
            </w:r>
            <w:r>
              <w:rPr>
                <w:rFonts w:hint="default"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本项目使用的原辅材料均不属于</w:t>
            </w:r>
            <w:r>
              <w:rPr>
                <w:rFonts w:hint="default" w:ascii="Times New Roman" w:hAnsi="Times New Roman" w:eastAsia="宋体" w:cs="Times New Roman"/>
                <w:color w:val="auto"/>
                <w:kern w:val="0"/>
                <w:sz w:val="24"/>
                <w:szCs w:val="24"/>
                <w:u w:val="none" w:color="auto"/>
                <w:lang w:val="en-US" w:eastAsia="zh-CN" w:bidi="ar"/>
              </w:rPr>
              <w:t>附录</w:t>
            </w:r>
            <w:r>
              <w:rPr>
                <w:rFonts w:hint="default" w:ascii="Times New Roman" w:hAnsi="Times New Roman" w:eastAsia="TimesNewRomanPSMT" w:cs="Times New Roman"/>
                <w:color w:val="auto"/>
                <w:kern w:val="0"/>
                <w:sz w:val="24"/>
                <w:szCs w:val="24"/>
                <w:u w:val="none" w:color="auto"/>
                <w:lang w:val="en-US" w:eastAsia="zh-CN" w:bidi="ar"/>
              </w:rPr>
              <w:t>B.1</w:t>
            </w:r>
            <w:r>
              <w:rPr>
                <w:rFonts w:hint="default" w:ascii="Times New Roman" w:hAnsi="Times New Roman" w:eastAsia="宋体" w:cs="Times New Roman"/>
                <w:color w:val="auto"/>
                <w:kern w:val="0"/>
                <w:sz w:val="24"/>
                <w:szCs w:val="24"/>
                <w:u w:val="none" w:color="auto"/>
                <w:lang w:val="en-US" w:eastAsia="zh-CN" w:bidi="ar"/>
              </w:rPr>
              <w:t>和</w:t>
            </w:r>
            <w:r>
              <w:rPr>
                <w:rFonts w:hint="default" w:ascii="Times New Roman" w:hAnsi="Times New Roman" w:eastAsia="TimesNewRomanPSMT" w:cs="Times New Roman"/>
                <w:color w:val="auto"/>
                <w:kern w:val="0"/>
                <w:sz w:val="24"/>
                <w:szCs w:val="24"/>
                <w:u w:val="none" w:color="auto"/>
                <w:lang w:val="en-US" w:eastAsia="zh-CN" w:bidi="ar"/>
              </w:rPr>
              <w:t>B.2</w:t>
            </w:r>
            <w:r>
              <w:rPr>
                <w:rFonts w:hint="eastAsia" w:eastAsia="TimesNewRomanPSMT" w:cs="Times New Roman"/>
                <w:color w:val="auto"/>
                <w:kern w:val="0"/>
                <w:sz w:val="24"/>
                <w:szCs w:val="24"/>
                <w:u w:val="none" w:color="auto"/>
                <w:lang w:val="en-US" w:eastAsia="zh-CN" w:bidi="ar"/>
              </w:rPr>
              <w:t>中的物质</w:t>
            </w:r>
            <w:r>
              <w:rPr>
                <w:rFonts w:hint="eastAsia" w:ascii="Times New Roman" w:hAnsi="Times New Roman" w:eastAsia="TimesNewRomanPSMT" w:cs="Times New Roman"/>
                <w:color w:val="auto"/>
                <w:kern w:val="0"/>
                <w:sz w:val="24"/>
                <w:szCs w:val="24"/>
                <w:u w:val="none" w:color="auto"/>
                <w:lang w:val="en-US" w:eastAsia="zh-CN" w:bidi="ar"/>
              </w:rPr>
              <w:t>，故项目</w:t>
            </w:r>
            <w:r>
              <w:rPr>
                <w:rFonts w:hint="default" w:ascii="Times New Roman" w:hAnsi="Times New Roman" w:cs="Times New Roman"/>
                <w:color w:val="auto"/>
                <w:sz w:val="24"/>
                <w:szCs w:val="24"/>
                <w:u w:val="none" w:color="auto"/>
                <w:lang w:val="en-US" w:eastAsia="zh-CN"/>
              </w:rPr>
              <w:t>qi/Qi</w:t>
            </w:r>
            <w:r>
              <w:rPr>
                <w:rFonts w:hint="eastAsia" w:ascii="Times New Roman" w:hAnsi="Times New Roman" w:cs="Times New Roman"/>
                <w:color w:val="auto"/>
                <w:sz w:val="24"/>
                <w:szCs w:val="24"/>
                <w:u w:val="none" w:color="auto"/>
                <w:lang w:val="en-US" w:eastAsia="zh-CN"/>
              </w:rPr>
              <w:t>=0</w:t>
            </w:r>
            <w:r>
              <w:rPr>
                <w:rFonts w:hint="default" w:ascii="Times New Roman" w:hAnsi="Times New Roman" w:cs="Times New Roman"/>
                <w:color w:val="auto"/>
                <w:sz w:val="24"/>
                <w:szCs w:val="24"/>
                <w:u w:val="none" w:color="auto"/>
              </w:rPr>
              <w:t>，项目</w:t>
            </w:r>
            <w:r>
              <w:rPr>
                <w:rFonts w:hint="default" w:ascii="Times New Roman" w:hAnsi="Times New Roman" w:cs="Times New Roman"/>
                <w:color w:val="auto"/>
                <w:sz w:val="24"/>
                <w:szCs w:val="24"/>
                <w:u w:val="none" w:color="auto"/>
                <w:lang w:val="en-US" w:eastAsia="zh-CN"/>
              </w:rPr>
              <w:t>qi/Qi</w:t>
            </w:r>
            <w:r>
              <w:rPr>
                <w:rFonts w:hint="eastAsia" w:ascii="Times New Roman" w:hAnsi="Times New Roman" w:cs="Times New Roman"/>
                <w:color w:val="auto"/>
                <w:sz w:val="24"/>
                <w:szCs w:val="24"/>
                <w:u w:val="none" w:color="auto"/>
                <w:lang w:val="en-US" w:eastAsia="zh-CN"/>
              </w:rPr>
              <w:t>=0</w:t>
            </w:r>
            <w:r>
              <w:rPr>
                <w:rFonts w:hint="default" w:ascii="Times New Roman" w:hAnsi="Times New Roman" w:cs="Times New Roman"/>
                <w:color w:val="auto"/>
                <w:sz w:val="24"/>
                <w:szCs w:val="24"/>
                <w:u w:val="none" w:color="auto"/>
              </w:rPr>
              <w:t>＜1，</w:t>
            </w:r>
            <w:r>
              <w:rPr>
                <w:rFonts w:hint="default" w:ascii="Times New Roman" w:hAnsi="Times New Roman" w:cs="Times New Roman"/>
                <w:color w:val="auto"/>
                <w:sz w:val="24"/>
                <w:szCs w:val="24"/>
                <w:u w:val="none" w:color="auto"/>
                <w:lang w:val="en-US" w:eastAsia="zh-CN"/>
              </w:rPr>
              <w:t>则</w:t>
            </w:r>
            <w:r>
              <w:rPr>
                <w:rFonts w:hint="default" w:ascii="Times New Roman" w:hAnsi="Times New Roman" w:cs="Times New Roman"/>
                <w:b/>
                <w:bCs/>
                <w:color w:val="auto"/>
                <w:sz w:val="24"/>
                <w:szCs w:val="24"/>
                <w:u w:val="none" w:color="auto"/>
                <w:lang w:val="en-US" w:eastAsia="zh-CN"/>
              </w:rPr>
              <w:t>该项目环境风险潜势为Ⅰ</w:t>
            </w:r>
            <w:r>
              <w:rPr>
                <w:rFonts w:hint="default" w:ascii="Times New Roman" w:hAnsi="Times New Roman" w:cs="Times New Roman"/>
                <w:color w:val="auto"/>
                <w:sz w:val="24"/>
                <w:u w:val="none" w:color="auto"/>
                <w:lang w:val="en-US" w:eastAsia="zh-CN"/>
              </w:rPr>
              <w:t>，评价工作等级为简单分析</w:t>
            </w:r>
            <w:r>
              <w:rPr>
                <w:rFonts w:hint="default" w:ascii="Times New Roman" w:hAnsi="Times New Roman" w:cs="Times New Roman"/>
                <w:color w:val="auto"/>
                <w:sz w:val="24"/>
                <w:szCs w:val="24"/>
                <w:u w:val="none" w:color="auto"/>
              </w:rPr>
              <w:t>。</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本项目的环境风险评价工作等级为简单分析。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环境风险：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1</w:t>
            </w:r>
            <w:r>
              <w:rPr>
                <w:rFonts w:hint="eastAsia" w:ascii="Times New Roman" w:hAnsi="Times New Roman" w:eastAsia="宋体" w:cs="Times New Roman"/>
                <w:color w:val="auto"/>
                <w:kern w:val="0"/>
                <w:sz w:val="24"/>
                <w:szCs w:val="24"/>
                <w:u w:val="none" w:color="auto"/>
                <w:lang w:val="en-US" w:eastAsia="zh-CN" w:bidi="ar"/>
              </w:rPr>
              <w:t>）项目营运期会用到</w:t>
            </w:r>
            <w:r>
              <w:rPr>
                <w:rFonts w:hint="eastAsia" w:cs="Times New Roman"/>
                <w:color w:val="auto"/>
                <w:kern w:val="0"/>
                <w:sz w:val="24"/>
                <w:szCs w:val="24"/>
                <w:u w:val="none" w:color="auto"/>
                <w:lang w:val="en-US" w:eastAsia="zh-CN" w:bidi="ar"/>
              </w:rPr>
              <w:t>油</w:t>
            </w:r>
            <w:r>
              <w:rPr>
                <w:rFonts w:hint="eastAsia" w:ascii="Times New Roman" w:hAnsi="Times New Roman" w:eastAsia="宋体" w:cs="Times New Roman"/>
                <w:color w:val="auto"/>
                <w:kern w:val="0"/>
                <w:sz w:val="24"/>
                <w:szCs w:val="24"/>
                <w:u w:val="none" w:color="auto"/>
                <w:lang w:val="en-US" w:eastAsia="zh-CN" w:bidi="ar"/>
              </w:rPr>
              <w:t>墨、</w:t>
            </w:r>
            <w:r>
              <w:rPr>
                <w:rFonts w:hint="eastAsia" w:cs="Times New Roman"/>
                <w:color w:val="auto"/>
                <w:kern w:val="0"/>
                <w:sz w:val="24"/>
                <w:szCs w:val="24"/>
                <w:u w:val="none" w:color="auto"/>
                <w:lang w:val="en-US" w:eastAsia="zh-CN" w:bidi="ar"/>
              </w:rPr>
              <w:t>架桥剂</w:t>
            </w:r>
            <w:r>
              <w:rPr>
                <w:rFonts w:hint="eastAsia" w:ascii="Times New Roman" w:hAnsi="Times New Roman" w:eastAsia="宋体" w:cs="Times New Roman"/>
                <w:color w:val="auto"/>
                <w:kern w:val="0"/>
                <w:sz w:val="24"/>
                <w:szCs w:val="24"/>
                <w:u w:val="none" w:color="auto"/>
                <w:lang w:val="en-US" w:eastAsia="zh-CN" w:bidi="ar"/>
              </w:rPr>
              <w:t>均用桶储存，若泄漏到环境中，经雨水管网进入</w:t>
            </w:r>
            <w:r>
              <w:rPr>
                <w:rFonts w:hint="eastAsia" w:cs="Times New Roman"/>
                <w:color w:val="auto"/>
                <w:kern w:val="0"/>
                <w:sz w:val="24"/>
                <w:szCs w:val="24"/>
                <w:u w:val="none" w:color="auto"/>
                <w:lang w:val="en-US" w:eastAsia="zh-CN" w:bidi="ar"/>
              </w:rPr>
              <w:t>洋沙河</w:t>
            </w:r>
            <w:r>
              <w:rPr>
                <w:rFonts w:hint="eastAsia" w:ascii="Times New Roman" w:hAnsi="Times New Roman" w:eastAsia="宋体" w:cs="Times New Roman"/>
                <w:color w:val="auto"/>
                <w:kern w:val="0"/>
                <w:sz w:val="24"/>
                <w:szCs w:val="24"/>
                <w:u w:val="none" w:color="auto"/>
                <w:lang w:val="en-US" w:eastAsia="zh-CN" w:bidi="ar"/>
              </w:rPr>
              <w:t>，将会对</w:t>
            </w:r>
            <w:r>
              <w:rPr>
                <w:rFonts w:hint="eastAsia" w:cs="Times New Roman"/>
                <w:color w:val="auto"/>
                <w:kern w:val="0"/>
                <w:sz w:val="24"/>
                <w:szCs w:val="24"/>
                <w:u w:val="none" w:color="auto"/>
                <w:lang w:val="en-US" w:eastAsia="zh-CN" w:bidi="ar"/>
              </w:rPr>
              <w:t>洋沙河</w:t>
            </w:r>
            <w:r>
              <w:rPr>
                <w:rFonts w:hint="eastAsia" w:ascii="Times New Roman" w:hAnsi="Times New Roman" w:eastAsia="宋体" w:cs="Times New Roman"/>
                <w:color w:val="auto"/>
                <w:kern w:val="0"/>
                <w:sz w:val="24"/>
                <w:szCs w:val="24"/>
                <w:u w:val="none" w:color="auto"/>
                <w:lang w:val="en-US" w:eastAsia="zh-CN" w:bidi="ar"/>
              </w:rPr>
              <w:t>水质造成影响；</w:t>
            </w:r>
          </w:p>
          <w:p>
            <w:pPr>
              <w:keepNext w:val="0"/>
              <w:keepLines w:val="0"/>
              <w:widowControl/>
              <w:suppressLineNumbers w:val="0"/>
              <w:spacing w:line="360" w:lineRule="auto"/>
              <w:ind w:firstLine="466" w:firstLineChars="200"/>
              <w:jc w:val="left"/>
              <w:rPr>
                <w:rFonts w:hint="eastAsia"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2</w:t>
            </w:r>
            <w:r>
              <w:rPr>
                <w:rFonts w:hint="eastAsia" w:ascii="Times New Roman" w:hAnsi="Times New Roman" w:eastAsia="宋体" w:cs="Times New Roman"/>
                <w:color w:val="auto"/>
                <w:kern w:val="0"/>
                <w:sz w:val="24"/>
                <w:szCs w:val="24"/>
                <w:u w:val="none" w:color="auto"/>
                <w:lang w:val="en-US" w:eastAsia="zh-CN" w:bidi="ar"/>
              </w:rPr>
              <w:t>）本项目遇明火导致燃烧造成的火灾风险</w:t>
            </w:r>
            <w:r>
              <w:rPr>
                <w:rFonts w:hint="eastAsia" w:cs="Times New Roman"/>
                <w:color w:val="auto"/>
                <w:kern w:val="0"/>
                <w:sz w:val="24"/>
                <w:szCs w:val="24"/>
                <w:u w:val="none" w:color="auto"/>
                <w:lang w:val="en-US" w:eastAsia="zh-CN" w:bidi="ar"/>
              </w:rPr>
              <w:t>；</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（3）废气经处理后高空排放，如遇处理设备故障或者吸附效率低下导致废气超标排放，将对工业园大气环境造成影响。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 xml:space="preserve"> </w:t>
            </w:r>
            <w:r>
              <w:rPr>
                <w:rFonts w:hint="eastAsia" w:ascii="Times New Roman" w:hAnsi="Times New Roman" w:eastAsia="宋体" w:cs="Times New Roman"/>
                <w:color w:val="auto"/>
                <w:kern w:val="0"/>
                <w:sz w:val="24"/>
                <w:szCs w:val="24"/>
                <w:u w:val="none" w:color="auto"/>
                <w:lang w:val="en-US" w:eastAsia="zh-CN" w:bidi="ar"/>
              </w:rPr>
              <w:t xml:space="preserve">环境风险分析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环评参照过往已经发生的事故情况确定本次评价的最大可信事故为：</w:t>
            </w:r>
            <w:r>
              <w:rPr>
                <w:rFonts w:hint="eastAsia" w:cs="Times New Roman"/>
                <w:color w:val="auto"/>
                <w:kern w:val="0"/>
                <w:sz w:val="24"/>
                <w:szCs w:val="24"/>
                <w:u w:val="none" w:color="auto"/>
                <w:lang w:val="en-US" w:eastAsia="zh-CN" w:bidi="ar"/>
              </w:rPr>
              <w:t>油</w:t>
            </w:r>
            <w:r>
              <w:rPr>
                <w:rFonts w:hint="eastAsia" w:ascii="Times New Roman" w:hAnsi="Times New Roman" w:eastAsia="宋体" w:cs="Times New Roman"/>
                <w:color w:val="auto"/>
                <w:kern w:val="0"/>
                <w:sz w:val="24"/>
                <w:szCs w:val="24"/>
                <w:u w:val="none" w:color="auto"/>
                <w:lang w:val="en-US" w:eastAsia="zh-CN" w:bidi="ar"/>
              </w:rPr>
              <w:t>墨、</w:t>
            </w:r>
            <w:r>
              <w:rPr>
                <w:rFonts w:hint="eastAsia" w:cs="Times New Roman"/>
                <w:color w:val="auto"/>
                <w:kern w:val="0"/>
                <w:sz w:val="24"/>
                <w:szCs w:val="24"/>
                <w:u w:val="none" w:color="auto"/>
                <w:lang w:val="en-US" w:eastAsia="zh-CN" w:bidi="ar"/>
              </w:rPr>
              <w:t>架桥剂</w:t>
            </w: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危险废物</w:t>
            </w:r>
            <w:r>
              <w:rPr>
                <w:rFonts w:hint="eastAsia" w:ascii="Times New Roman" w:hAnsi="Times New Roman" w:eastAsia="宋体" w:cs="Times New Roman"/>
                <w:color w:val="auto"/>
                <w:kern w:val="0"/>
                <w:sz w:val="24"/>
                <w:szCs w:val="24"/>
                <w:u w:val="none" w:color="auto"/>
                <w:lang w:val="en-US" w:eastAsia="zh-CN" w:bidi="ar"/>
              </w:rPr>
              <w:t>泄漏事故、废气超标排放</w:t>
            </w:r>
            <w:r>
              <w:rPr>
                <w:rFonts w:hint="eastAsia" w:cs="Times New Roman"/>
                <w:color w:val="auto"/>
                <w:kern w:val="0"/>
                <w:sz w:val="24"/>
                <w:szCs w:val="24"/>
                <w:u w:val="none" w:color="auto"/>
                <w:lang w:val="en-US" w:eastAsia="zh-CN" w:bidi="ar"/>
              </w:rPr>
              <w:t>、遇明火发生火灾</w:t>
            </w:r>
            <w:r>
              <w:rPr>
                <w:rFonts w:hint="eastAsia" w:ascii="Times New Roman" w:hAnsi="Times New Roman" w:eastAsia="宋体" w:cs="Times New Roman"/>
                <w:color w:val="auto"/>
                <w:kern w:val="0"/>
                <w:sz w:val="24"/>
                <w:szCs w:val="24"/>
                <w:u w:val="none" w:color="auto"/>
                <w:lang w:val="en-US" w:eastAsia="zh-CN" w:bidi="ar"/>
              </w:rPr>
              <w:t xml:space="preserve">。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1</w:t>
            </w:r>
            <w:r>
              <w:rPr>
                <w:rFonts w:hint="eastAsia" w:ascii="Times New Roman" w:hAnsi="Times New Roman" w:eastAsia="宋体" w:cs="Times New Roman"/>
                <w:color w:val="auto"/>
                <w:kern w:val="0"/>
                <w:sz w:val="24"/>
                <w:szCs w:val="24"/>
                <w:u w:val="none" w:color="auto"/>
                <w:lang w:val="en-US" w:eastAsia="zh-CN" w:bidi="ar"/>
              </w:rPr>
              <w:t xml:space="preserve">）泄漏事故影响分析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本项目若管理操作不当或意外事故，如</w:t>
            </w:r>
            <w:r>
              <w:rPr>
                <w:rFonts w:hint="eastAsia" w:cs="Times New Roman"/>
                <w:color w:val="auto"/>
                <w:kern w:val="0"/>
                <w:sz w:val="24"/>
                <w:szCs w:val="24"/>
                <w:u w:val="none" w:color="auto"/>
                <w:lang w:val="en-US" w:eastAsia="zh-CN" w:bidi="ar"/>
              </w:rPr>
              <w:t>员工操作不当</w:t>
            </w:r>
            <w:r>
              <w:rPr>
                <w:rFonts w:hint="eastAsia" w:ascii="Times New Roman" w:hAnsi="Times New Roman" w:eastAsia="宋体" w:cs="Times New Roman"/>
                <w:color w:val="auto"/>
                <w:kern w:val="0"/>
                <w:sz w:val="24"/>
                <w:szCs w:val="24"/>
                <w:u w:val="none" w:color="auto"/>
                <w:lang w:val="en-US" w:eastAsia="zh-CN" w:bidi="ar"/>
              </w:rPr>
              <w:t>而导致泄漏，存在</w:t>
            </w:r>
            <w:r>
              <w:rPr>
                <w:rFonts w:hint="eastAsia" w:cs="Times New Roman"/>
                <w:color w:val="auto"/>
                <w:kern w:val="0"/>
                <w:sz w:val="24"/>
                <w:szCs w:val="24"/>
                <w:u w:val="none" w:color="auto"/>
                <w:lang w:val="en-US" w:eastAsia="zh-CN" w:bidi="ar"/>
              </w:rPr>
              <w:t>油</w:t>
            </w:r>
            <w:r>
              <w:rPr>
                <w:rFonts w:hint="eastAsia" w:ascii="Times New Roman" w:hAnsi="Times New Roman" w:eastAsia="宋体" w:cs="Times New Roman"/>
                <w:color w:val="auto"/>
                <w:kern w:val="0"/>
                <w:sz w:val="24"/>
                <w:szCs w:val="24"/>
                <w:u w:val="none" w:color="auto"/>
                <w:lang w:val="en-US" w:eastAsia="zh-CN" w:bidi="ar"/>
              </w:rPr>
              <w:t>墨、</w:t>
            </w:r>
            <w:r>
              <w:rPr>
                <w:rFonts w:hint="eastAsia" w:cs="Times New Roman"/>
                <w:color w:val="auto"/>
                <w:kern w:val="0"/>
                <w:sz w:val="24"/>
                <w:szCs w:val="24"/>
                <w:u w:val="none" w:color="auto"/>
                <w:lang w:val="en-US" w:eastAsia="zh-CN" w:bidi="ar"/>
              </w:rPr>
              <w:t>架桥剂</w:t>
            </w: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危险废物</w:t>
            </w:r>
            <w:r>
              <w:rPr>
                <w:rFonts w:hint="eastAsia" w:ascii="Times New Roman" w:hAnsi="Times New Roman" w:eastAsia="宋体" w:cs="Times New Roman"/>
                <w:color w:val="auto"/>
                <w:kern w:val="0"/>
                <w:sz w:val="24"/>
                <w:szCs w:val="24"/>
                <w:u w:val="none" w:color="auto"/>
                <w:lang w:val="en-US" w:eastAsia="zh-CN" w:bidi="ar"/>
              </w:rPr>
              <w:t>泄漏事故风险。这会对周围环境产生较大的污染影响</w:t>
            </w:r>
            <w:r>
              <w:rPr>
                <w:rFonts w:hint="eastAsia" w:cs="Times New Roman"/>
                <w:color w:val="auto"/>
                <w:kern w:val="0"/>
                <w:sz w:val="24"/>
                <w:szCs w:val="24"/>
                <w:u w:val="none" w:color="auto"/>
                <w:lang w:val="en-US" w:eastAsia="zh-CN" w:bidi="ar"/>
              </w:rPr>
              <w:t>，</w:t>
            </w:r>
            <w:r>
              <w:rPr>
                <w:rFonts w:hint="eastAsia" w:ascii="Times New Roman" w:hAnsi="Times New Roman" w:eastAsia="宋体" w:cs="Times New Roman"/>
                <w:color w:val="auto"/>
                <w:kern w:val="0"/>
                <w:sz w:val="24"/>
                <w:szCs w:val="24"/>
                <w:u w:val="none" w:color="auto"/>
                <w:lang w:val="en-US" w:eastAsia="zh-CN" w:bidi="ar"/>
              </w:rPr>
              <w:t xml:space="preserve">从而造成地表水体污染。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2</w:t>
            </w:r>
            <w:r>
              <w:rPr>
                <w:rFonts w:hint="eastAsia" w:ascii="Times New Roman" w:hAnsi="Times New Roman" w:eastAsia="宋体" w:cs="Times New Roman"/>
                <w:color w:val="auto"/>
                <w:kern w:val="0"/>
                <w:sz w:val="24"/>
                <w:szCs w:val="24"/>
                <w:u w:val="none" w:color="auto"/>
                <w:lang w:val="en-US" w:eastAsia="zh-CN" w:bidi="ar"/>
              </w:rPr>
              <w:t xml:space="preserve">）火灾事故影响分析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一旦发生火灾事故，有毒有害气体可通过热辐射、烟雾及冲击波等形式扩散至空气中，泄漏液体和消防水将进入排水系统以及渗透到土壤中，会造成财产损失和人员伤亡，以及水环境、土壤环境的污染。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（3）废气超标排放事故影响分析 </w:t>
            </w:r>
          </w:p>
          <w:p>
            <w:pPr>
              <w:keepNext w:val="0"/>
              <w:keepLines w:val="0"/>
              <w:widowControl/>
              <w:suppressLineNumbers w:val="0"/>
              <w:spacing w:line="360" w:lineRule="auto"/>
              <w:ind w:firstLine="466" w:firstLineChars="200"/>
              <w:jc w:val="left"/>
              <w:rPr>
                <w:rFonts w:hint="eastAsia"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本项目若管理操作不当或设备故障、处理能力低下，如风机、活性炭已饱和吸附效率低下导致废气超标排放。这不仅会对周围环境产生较大的污染影响，甚至还要危及人身的生命安全。</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 xml:space="preserve">环境风险防范措施及应急要求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1</w:t>
            </w:r>
            <w:r>
              <w:rPr>
                <w:rFonts w:hint="eastAsia" w:ascii="Times New Roman" w:hAnsi="Times New Roman" w:eastAsia="宋体" w:cs="Times New Roman"/>
                <w:color w:val="auto"/>
                <w:kern w:val="0"/>
                <w:sz w:val="24"/>
                <w:szCs w:val="24"/>
                <w:u w:val="none" w:color="auto"/>
                <w:lang w:val="en-US" w:eastAsia="zh-CN" w:bidi="ar"/>
              </w:rPr>
              <w:t xml:space="preserve">）火灾风险防范措施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a</w:t>
            </w:r>
            <w:r>
              <w:rPr>
                <w:rFonts w:hint="eastAsia" w:ascii="Times New Roman" w:hAnsi="Times New Roman" w:eastAsia="宋体" w:cs="Times New Roman"/>
                <w:color w:val="auto"/>
                <w:kern w:val="0"/>
                <w:sz w:val="24"/>
                <w:szCs w:val="24"/>
                <w:u w:val="none" w:color="auto"/>
                <w:lang w:val="en-US" w:eastAsia="zh-CN" w:bidi="ar"/>
              </w:rPr>
              <w:t xml:space="preserve">、火患往往起于细微之处，要格外注意用电的安全，合理布置电源电线的使用。不要同时使用大功率电器，也不要把所有电器设备的插头都插在一个接线板上，避免线路老化，短路发生火灾。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b</w:t>
            </w: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原辅材料</w:t>
            </w:r>
            <w:r>
              <w:rPr>
                <w:rFonts w:hint="eastAsia" w:ascii="Times New Roman" w:hAnsi="Times New Roman" w:eastAsia="宋体" w:cs="Times New Roman"/>
                <w:color w:val="auto"/>
                <w:kern w:val="0"/>
                <w:sz w:val="24"/>
                <w:szCs w:val="24"/>
                <w:u w:val="none" w:color="auto"/>
                <w:lang w:val="en-US" w:eastAsia="zh-CN" w:bidi="ar"/>
              </w:rPr>
              <w:t xml:space="preserve">贮存区禁止明火进入，严禁吸烟。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c</w:t>
            </w:r>
            <w:r>
              <w:rPr>
                <w:rFonts w:hint="eastAsia" w:ascii="Times New Roman" w:hAnsi="Times New Roman" w:eastAsia="宋体" w:cs="Times New Roman"/>
                <w:color w:val="auto"/>
                <w:kern w:val="0"/>
                <w:sz w:val="24"/>
                <w:szCs w:val="24"/>
                <w:u w:val="none" w:color="auto"/>
                <w:lang w:val="en-US" w:eastAsia="zh-CN" w:bidi="ar"/>
              </w:rPr>
              <w:t>、生产厂房、</w:t>
            </w:r>
            <w:r>
              <w:rPr>
                <w:rFonts w:hint="eastAsia" w:cs="Times New Roman"/>
                <w:color w:val="auto"/>
                <w:kern w:val="0"/>
                <w:sz w:val="24"/>
                <w:szCs w:val="24"/>
                <w:u w:val="none" w:color="auto"/>
                <w:lang w:val="en-US" w:eastAsia="zh-CN" w:bidi="ar"/>
              </w:rPr>
              <w:t>原辅材料</w:t>
            </w:r>
            <w:r>
              <w:rPr>
                <w:rFonts w:hint="eastAsia" w:ascii="Times New Roman" w:hAnsi="Times New Roman" w:eastAsia="宋体" w:cs="Times New Roman"/>
                <w:color w:val="auto"/>
                <w:kern w:val="0"/>
                <w:sz w:val="24"/>
                <w:szCs w:val="24"/>
                <w:u w:val="none" w:color="auto"/>
                <w:lang w:val="en-US" w:eastAsia="zh-CN" w:bidi="ar"/>
              </w:rPr>
              <w:t xml:space="preserve">贮存区须确保全面通风、配备相应品种和数量的消防器材，预留必要的安全间距，远离火种和热源，防止阳光直射。车间工作人员及相关责任人均应熟悉其放置地点，用法，而且要经常检查，消防通道保持畅通。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d</w:t>
            </w:r>
            <w:r>
              <w:rPr>
                <w:rFonts w:hint="eastAsia" w:ascii="Times New Roman" w:hAnsi="Times New Roman" w:eastAsia="宋体" w:cs="Times New Roman"/>
                <w:color w:val="auto"/>
                <w:kern w:val="0"/>
                <w:sz w:val="24"/>
                <w:szCs w:val="24"/>
                <w:u w:val="none" w:color="auto"/>
                <w:lang w:val="en-US" w:eastAsia="zh-CN" w:bidi="ar"/>
              </w:rPr>
              <w:t xml:space="preserve">、应加强消防设施及消防教育建设，对重要场所需要重点防范，制定严格的操作规范，避免火灾等事故发生。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e</w:t>
            </w:r>
            <w:r>
              <w:rPr>
                <w:rFonts w:hint="eastAsia" w:ascii="Times New Roman" w:hAnsi="Times New Roman" w:eastAsia="宋体" w:cs="Times New Roman"/>
                <w:color w:val="auto"/>
                <w:kern w:val="0"/>
                <w:sz w:val="24"/>
                <w:szCs w:val="24"/>
                <w:u w:val="none" w:color="auto"/>
                <w:lang w:val="en-US" w:eastAsia="zh-CN" w:bidi="ar"/>
              </w:rPr>
              <w:t xml:space="preserve">、确保安全出口和疏散通道畅通无阻。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f</w:t>
            </w:r>
            <w:r>
              <w:rPr>
                <w:rFonts w:hint="eastAsia" w:ascii="Times New Roman" w:hAnsi="Times New Roman" w:eastAsia="宋体" w:cs="Times New Roman"/>
                <w:color w:val="auto"/>
                <w:kern w:val="0"/>
                <w:sz w:val="24"/>
                <w:szCs w:val="24"/>
                <w:u w:val="none" w:color="auto"/>
                <w:lang w:val="en-US" w:eastAsia="zh-CN" w:bidi="ar"/>
              </w:rPr>
              <w:t>、加强电气防火安全管理，消除火灾隐患，不得超负荷用电，不得擅自拉接临时电线。</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g</w:t>
            </w:r>
            <w:r>
              <w:rPr>
                <w:rFonts w:hint="eastAsia" w:ascii="Times New Roman" w:hAnsi="Times New Roman" w:eastAsia="宋体" w:cs="Times New Roman"/>
                <w:color w:val="auto"/>
                <w:kern w:val="0"/>
                <w:sz w:val="24"/>
                <w:szCs w:val="24"/>
                <w:u w:val="none" w:color="auto"/>
                <w:lang w:val="en-US" w:eastAsia="zh-CN" w:bidi="ar"/>
              </w:rPr>
              <w:t xml:space="preserve">、对于电器的使用，应当养成随手断电、随手关灯的好习惯。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h</w:t>
            </w:r>
            <w:r>
              <w:rPr>
                <w:rFonts w:hint="eastAsia" w:ascii="Times New Roman" w:hAnsi="Times New Roman" w:eastAsia="宋体" w:cs="Times New Roman"/>
                <w:color w:val="auto"/>
                <w:kern w:val="0"/>
                <w:sz w:val="24"/>
                <w:szCs w:val="24"/>
                <w:u w:val="none" w:color="auto"/>
                <w:lang w:val="en-US" w:eastAsia="zh-CN" w:bidi="ar"/>
              </w:rPr>
              <w:t>、定期对操作人员进行安全生产与安全知识培训，并制定严格的安全操作规程</w:t>
            </w:r>
            <w:r>
              <w:rPr>
                <w:rFonts w:hint="eastAsia" w:cs="Times New Roman"/>
                <w:color w:val="auto"/>
                <w:kern w:val="0"/>
                <w:sz w:val="24"/>
                <w:szCs w:val="24"/>
                <w:u w:val="none" w:color="auto"/>
                <w:lang w:val="en-US" w:eastAsia="zh-CN" w:bidi="ar"/>
              </w:rPr>
              <w:t>，</w:t>
            </w:r>
            <w:r>
              <w:rPr>
                <w:rFonts w:hint="eastAsia" w:ascii="Times New Roman" w:hAnsi="Times New Roman" w:eastAsia="宋体" w:cs="Times New Roman"/>
                <w:color w:val="auto"/>
                <w:kern w:val="0"/>
                <w:sz w:val="24"/>
                <w:szCs w:val="24"/>
                <w:u w:val="none" w:color="auto"/>
                <w:lang w:val="en-US" w:eastAsia="zh-CN" w:bidi="ar"/>
              </w:rPr>
              <w:t xml:space="preserve">切实加强生产过程中的温度控制，保证劳动安全，防止意外事故的发生。应加强消防设施及消防教育建设，对厂区等重要场所需要重点防范，制定严格的操作规范，避免火灾等事故发生。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i</w:t>
            </w:r>
            <w:r>
              <w:rPr>
                <w:rFonts w:hint="eastAsia" w:ascii="Times New Roman" w:hAnsi="Times New Roman" w:eastAsia="宋体" w:cs="Times New Roman"/>
                <w:color w:val="auto"/>
                <w:kern w:val="0"/>
                <w:sz w:val="24"/>
                <w:szCs w:val="24"/>
                <w:u w:val="none" w:color="auto"/>
                <w:lang w:val="en-US" w:eastAsia="zh-CN" w:bidi="ar"/>
              </w:rPr>
              <w:t xml:space="preserve">、火灾发生时，先把总电源关掉，按响警铃以警示车间内其他人员，同时联络消防队，利用灭火器尽量灭火，如果无效，应该马上离开现场到安全地点集合，在离开时要确保所有人都已经离开车间，再把门窗关上。 </w:t>
            </w:r>
          </w:p>
          <w:p>
            <w:pPr>
              <w:keepNext w:val="0"/>
              <w:keepLines w:val="0"/>
              <w:widowControl/>
              <w:suppressLineNumbers w:val="0"/>
              <w:spacing w:line="360" w:lineRule="auto"/>
              <w:ind w:firstLine="466" w:firstLineChars="200"/>
              <w:jc w:val="left"/>
              <w:rPr>
                <w:rFonts w:hint="eastAsia"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j</w:t>
            </w:r>
            <w:r>
              <w:rPr>
                <w:rFonts w:hint="eastAsia" w:ascii="Times New Roman" w:hAnsi="Times New Roman" w:eastAsia="宋体" w:cs="Times New Roman"/>
                <w:color w:val="auto"/>
                <w:kern w:val="0"/>
                <w:sz w:val="24"/>
                <w:szCs w:val="24"/>
                <w:u w:val="none" w:color="auto"/>
                <w:lang w:val="en-US" w:eastAsia="zh-CN" w:bidi="ar"/>
              </w:rPr>
              <w:t xml:space="preserve">、为了减轻万一发生火灾事故造成的损失，工厂还应该制定火灾应急预案，并报上级主管部门批准，并定期演练。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2</w:t>
            </w:r>
            <w:r>
              <w:rPr>
                <w:rFonts w:hint="eastAsia" w:ascii="Times New Roman" w:hAnsi="Times New Roman" w:eastAsia="宋体" w:cs="Times New Roman"/>
                <w:color w:val="auto"/>
                <w:kern w:val="0"/>
                <w:sz w:val="24"/>
                <w:szCs w:val="24"/>
                <w:u w:val="none" w:color="auto"/>
                <w:lang w:val="en-US" w:eastAsia="zh-CN" w:bidi="ar"/>
              </w:rPr>
              <w:t xml:space="preserve">）泄漏防范措施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a</w:t>
            </w:r>
            <w:r>
              <w:rPr>
                <w:rFonts w:hint="eastAsia" w:ascii="Times New Roman" w:hAnsi="Times New Roman" w:eastAsia="宋体" w:cs="Times New Roman"/>
                <w:color w:val="auto"/>
                <w:kern w:val="0"/>
                <w:sz w:val="24"/>
                <w:szCs w:val="24"/>
                <w:u w:val="none" w:color="auto"/>
                <w:lang w:val="en-US" w:eastAsia="zh-CN" w:bidi="ar"/>
              </w:rPr>
              <w:t>、运营期除定期检查</w:t>
            </w:r>
            <w:r>
              <w:rPr>
                <w:rFonts w:hint="eastAsia" w:cs="Times New Roman"/>
                <w:color w:val="auto"/>
                <w:kern w:val="0"/>
                <w:sz w:val="24"/>
                <w:szCs w:val="24"/>
                <w:u w:val="none" w:color="auto"/>
                <w:lang w:val="en-US" w:eastAsia="zh-CN" w:bidi="ar"/>
              </w:rPr>
              <w:t>油</w:t>
            </w:r>
            <w:r>
              <w:rPr>
                <w:rFonts w:hint="eastAsia" w:ascii="Times New Roman" w:hAnsi="Times New Roman" w:eastAsia="宋体" w:cs="Times New Roman"/>
                <w:color w:val="auto"/>
                <w:kern w:val="0"/>
                <w:sz w:val="24"/>
                <w:szCs w:val="24"/>
                <w:u w:val="none" w:color="auto"/>
                <w:lang w:val="en-US" w:eastAsia="zh-CN" w:bidi="ar"/>
              </w:rPr>
              <w:t>墨、</w:t>
            </w:r>
            <w:r>
              <w:rPr>
                <w:rFonts w:hint="eastAsia" w:cs="Times New Roman"/>
                <w:color w:val="auto"/>
                <w:kern w:val="0"/>
                <w:sz w:val="24"/>
                <w:szCs w:val="24"/>
                <w:u w:val="none" w:color="auto"/>
                <w:lang w:val="en-US" w:eastAsia="zh-CN" w:bidi="ar"/>
              </w:rPr>
              <w:t>架桥剂、危险废物</w:t>
            </w:r>
            <w:r>
              <w:rPr>
                <w:rFonts w:hint="eastAsia" w:ascii="Times New Roman" w:hAnsi="Times New Roman" w:eastAsia="宋体" w:cs="Times New Roman"/>
                <w:color w:val="auto"/>
                <w:kern w:val="0"/>
                <w:sz w:val="24"/>
                <w:szCs w:val="24"/>
                <w:u w:val="none" w:color="auto"/>
                <w:lang w:val="en-US" w:eastAsia="zh-CN" w:bidi="ar"/>
              </w:rPr>
              <w:t>等是否发生泄</w:t>
            </w:r>
            <w:r>
              <w:rPr>
                <w:rFonts w:hint="eastAsia" w:cs="Times New Roman"/>
                <w:color w:val="auto"/>
                <w:kern w:val="0"/>
                <w:sz w:val="24"/>
                <w:szCs w:val="24"/>
                <w:u w:val="none" w:color="auto"/>
                <w:lang w:val="en-US" w:eastAsia="zh-CN" w:bidi="ar"/>
              </w:rPr>
              <w:t>漏</w:t>
            </w:r>
            <w:r>
              <w:rPr>
                <w:rFonts w:hint="eastAsia" w:ascii="Times New Roman" w:hAnsi="Times New Roman" w:eastAsia="宋体" w:cs="Times New Roman"/>
                <w:color w:val="auto"/>
                <w:kern w:val="0"/>
                <w:sz w:val="24"/>
                <w:szCs w:val="24"/>
                <w:u w:val="none" w:color="auto"/>
                <w:lang w:val="en-US" w:eastAsia="zh-CN" w:bidi="ar"/>
              </w:rPr>
              <w:t>外，还应对车间地面进行水泥硬化，并作防渗处理</w:t>
            </w:r>
            <w:r>
              <w:rPr>
                <w:rFonts w:hint="eastAsia" w:cs="Times New Roman"/>
                <w:color w:val="auto"/>
                <w:kern w:val="0"/>
                <w:sz w:val="24"/>
                <w:szCs w:val="24"/>
                <w:u w:val="none" w:color="auto"/>
                <w:lang w:val="en-US" w:eastAsia="zh-CN" w:bidi="ar"/>
              </w:rPr>
              <w:t>；原辅料仓库门口设置拱背型围堰、并安装标识标牌</w:t>
            </w:r>
            <w:r>
              <w:rPr>
                <w:rFonts w:hint="eastAsia" w:ascii="Times New Roman" w:hAnsi="Times New Roman" w:eastAsia="宋体" w:cs="Times New Roman"/>
                <w:color w:val="auto"/>
                <w:kern w:val="0"/>
                <w:sz w:val="24"/>
                <w:szCs w:val="24"/>
                <w:u w:val="none" w:color="auto"/>
                <w:lang w:val="en-US" w:eastAsia="zh-CN" w:bidi="ar"/>
              </w:rPr>
              <w:t xml:space="preserve">。应按照有关消防规范储存，并配备必要的消防设施。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b</w:t>
            </w:r>
            <w:r>
              <w:rPr>
                <w:rFonts w:hint="eastAsia" w:ascii="Times New Roman" w:hAnsi="Times New Roman" w:eastAsia="宋体" w:cs="Times New Roman"/>
                <w:color w:val="auto"/>
                <w:kern w:val="0"/>
                <w:sz w:val="24"/>
                <w:szCs w:val="24"/>
                <w:u w:val="none" w:color="auto"/>
                <w:lang w:val="en-US" w:eastAsia="zh-CN" w:bidi="ar"/>
              </w:rPr>
              <w:t xml:space="preserve">、危废暂存间应按规范设置，应强化管理，采用合格的容器储存，并及时交有资质的单位处置。 </w:t>
            </w:r>
          </w:p>
          <w:p>
            <w:pPr>
              <w:keepNext w:val="0"/>
              <w:keepLines w:val="0"/>
              <w:widowControl/>
              <w:suppressLineNumbers w:val="0"/>
              <w:spacing w:line="360" w:lineRule="auto"/>
              <w:ind w:firstLine="466" w:firstLineChars="200"/>
              <w:jc w:val="left"/>
              <w:rPr>
                <w:rFonts w:hint="eastAsia"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default" w:ascii="Times New Roman" w:hAnsi="Times New Roman" w:eastAsia="宋体" w:cs="Times New Roman"/>
                <w:color w:val="auto"/>
                <w:kern w:val="0"/>
                <w:sz w:val="24"/>
                <w:szCs w:val="24"/>
                <w:u w:val="none" w:color="auto"/>
                <w:lang w:val="en-US" w:eastAsia="zh-CN" w:bidi="ar"/>
              </w:rPr>
              <w:t>3</w:t>
            </w: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废气超标排放防范措施</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a</w:t>
            </w:r>
            <w:r>
              <w:rPr>
                <w:rFonts w:hint="default" w:ascii="Times New Roman" w:hAnsi="Times New Roman" w:eastAsia="宋体" w:cs="Times New Roman"/>
                <w:color w:val="auto"/>
                <w:kern w:val="0"/>
                <w:sz w:val="24"/>
                <w:szCs w:val="24"/>
                <w:u w:val="none" w:color="auto"/>
                <w:lang w:val="en-US" w:eastAsia="zh-CN" w:bidi="ar"/>
              </w:rPr>
              <w:t>废气末端治理措施必须确保日常正常运行，如发现人为原因不开启环保治理设置，责任人应受行政和经济处罚，并承担事故排放责任。若末端治理措施因故不能运行，则必须停止生产。</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b</w:t>
            </w:r>
            <w:r>
              <w:rPr>
                <w:rFonts w:hint="default" w:ascii="Times New Roman" w:hAnsi="Times New Roman" w:eastAsia="宋体" w:cs="Times New Roman"/>
                <w:color w:val="auto"/>
                <w:kern w:val="0"/>
                <w:sz w:val="24"/>
                <w:szCs w:val="24"/>
                <w:u w:val="none" w:color="auto"/>
                <w:lang w:val="en-US" w:eastAsia="zh-CN" w:bidi="ar"/>
              </w:rPr>
              <w:t>为确保处理效率，在车间设备检修期间，末端处理系统也应同时进行检修，日常应有专人负责进行维护。</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c</w:t>
            </w:r>
            <w:r>
              <w:rPr>
                <w:rFonts w:hint="default" w:ascii="Times New Roman" w:hAnsi="Times New Roman" w:eastAsia="宋体" w:cs="Times New Roman"/>
                <w:color w:val="auto"/>
                <w:kern w:val="0"/>
                <w:sz w:val="24"/>
                <w:szCs w:val="24"/>
                <w:u w:val="none" w:color="auto"/>
                <w:lang w:val="en-US" w:eastAsia="zh-CN" w:bidi="ar"/>
              </w:rPr>
              <w:t>废气处理岗位严格按照操作规程进行，确保废气处理效果。</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d</w:t>
            </w:r>
            <w:r>
              <w:rPr>
                <w:rFonts w:hint="default" w:ascii="Times New Roman" w:hAnsi="Times New Roman" w:eastAsia="宋体" w:cs="Times New Roman"/>
                <w:color w:val="auto"/>
                <w:kern w:val="0"/>
                <w:sz w:val="24"/>
                <w:szCs w:val="24"/>
                <w:u w:val="none" w:color="auto"/>
                <w:lang w:val="en-US" w:eastAsia="zh-CN" w:bidi="ar"/>
              </w:rPr>
              <w:t>对废气治理设施进行定期检修（每周至少一次），保证其正常运行，同时，为了确保废气净化设施的电力供应，本环评要求</w:t>
            </w:r>
            <w:r>
              <w:rPr>
                <w:rFonts w:hint="eastAsia" w:cs="Times New Roman"/>
                <w:color w:val="auto"/>
                <w:kern w:val="0"/>
                <w:sz w:val="24"/>
                <w:szCs w:val="24"/>
                <w:u w:val="none" w:color="auto"/>
                <w:lang w:val="en-US" w:eastAsia="zh-CN" w:bidi="ar"/>
              </w:rPr>
              <w:t>。</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如果全厂停电，停止生产，无污染物产生。为确保安全，风机仍然继续运转（采用应急发电机）。风机出现故障时，备用风机立即启动。</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其他防范措施</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default" w:ascii="Times New Roman" w:hAnsi="Times New Roman" w:eastAsia="宋体" w:cs="Times New Roman"/>
                <w:color w:val="auto"/>
                <w:kern w:val="0"/>
                <w:sz w:val="24"/>
                <w:szCs w:val="24"/>
                <w:u w:val="none" w:color="auto"/>
                <w:lang w:val="en-US" w:eastAsia="zh-CN" w:bidi="ar"/>
              </w:rPr>
              <w:t>厂区内应按照规范的要求配置手提式干粉灭火器、二氧化碳灭火器等。按规范要求配备足够的防毒面具</w:t>
            </w:r>
            <w:r>
              <w:rPr>
                <w:rFonts w:hint="eastAsia" w:ascii="Times New Roman" w:hAnsi="Times New Roman" w:eastAsia="宋体" w:cs="Times New Roman"/>
                <w:color w:val="auto"/>
                <w:kern w:val="0"/>
                <w:sz w:val="24"/>
                <w:szCs w:val="24"/>
                <w:u w:val="none" w:color="auto"/>
                <w:lang w:val="en-US" w:eastAsia="zh-CN" w:bidi="ar"/>
              </w:rPr>
              <w:t>。</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w:t>
            </w:r>
            <w:r>
              <w:rPr>
                <w:rFonts w:hint="eastAsia" w:cs="Times New Roman"/>
                <w:color w:val="auto"/>
                <w:kern w:val="0"/>
                <w:sz w:val="24"/>
                <w:szCs w:val="24"/>
                <w:u w:val="none" w:color="auto"/>
                <w:lang w:val="en-US" w:eastAsia="zh-CN" w:bidi="ar"/>
              </w:rPr>
              <w:t>4</w:t>
            </w:r>
            <w:r>
              <w:rPr>
                <w:rFonts w:hint="eastAsia" w:ascii="Times New Roman" w:hAnsi="Times New Roman" w:eastAsia="宋体" w:cs="Times New Roman"/>
                <w:color w:val="auto"/>
                <w:kern w:val="0"/>
                <w:sz w:val="24"/>
                <w:szCs w:val="24"/>
                <w:u w:val="none" w:color="auto"/>
                <w:lang w:val="en-US" w:eastAsia="zh-CN" w:bidi="ar"/>
              </w:rPr>
              <w:t xml:space="preserve">）建立事故救援应急机制 </w:t>
            </w:r>
          </w:p>
          <w:p>
            <w:pPr>
              <w:keepNext w:val="0"/>
              <w:keepLines w:val="0"/>
              <w:widowControl/>
              <w:suppressLineNumbers w:val="0"/>
              <w:spacing w:line="360" w:lineRule="auto"/>
              <w:ind w:firstLine="466" w:firstLineChars="200"/>
              <w:jc w:val="left"/>
              <w:rPr>
                <w:rFonts w:hint="default" w:ascii="Times New Roman" w:hAnsi="Times New Roman" w:eastAsia="宋体" w:cs="Times New Roman"/>
                <w:color w:val="auto"/>
                <w:kern w:val="0"/>
                <w:sz w:val="24"/>
                <w:szCs w:val="24"/>
                <w:u w:val="none" w:color="auto"/>
                <w:lang w:val="en-US" w:eastAsia="zh-CN" w:bidi="ar"/>
              </w:rPr>
            </w:pPr>
            <w:r>
              <w:rPr>
                <w:rFonts w:hint="eastAsia" w:ascii="Times New Roman" w:hAnsi="Times New Roman" w:eastAsia="宋体" w:cs="Times New Roman"/>
                <w:color w:val="auto"/>
                <w:kern w:val="0"/>
                <w:sz w:val="24"/>
                <w:szCs w:val="24"/>
                <w:u w:val="none" w:color="auto"/>
                <w:lang w:val="en-US" w:eastAsia="zh-CN" w:bidi="ar"/>
              </w:rPr>
              <w:t>为保证企业及人民生命财产的安全，在发生事故时，能够迅速有序的开展救援工作，尽最大努力减少事故的危害和损失，根据《企业事业单位突发环境事件应急预案备案管理办法（试行）》，公司需成立一负责人为总指挥，分管生产负责人为副指挥的事故应急救援队伍，指挥部下设立办公室、工程抢修救援组、医疗救护组、后勤保障组。制定《突发环境事故应急救援预案》和实施细则，组织专业队伍学习和演练，提高队伍实战能力，防患于未然，以便应急救援工作的顺利开展。同时该厂必须将本单位危险源及有关安全措施、应急措施报告地方政府的安全生产监督管理部门和有关部门，以便政府及有关部门能够及时掌握有关情况，一旦发生事故，政府及其有关部门可以调动有关方面的力量进行救援，以减少事故损失</w:t>
            </w:r>
            <w:r>
              <w:rPr>
                <w:rFonts w:hint="eastAsia" w:cs="Times New Roman"/>
                <w:color w:val="auto"/>
                <w:kern w:val="0"/>
                <w:sz w:val="24"/>
                <w:szCs w:val="24"/>
                <w:u w:val="none" w:color="auto"/>
                <w:lang w:val="en-US" w:eastAsia="zh-CN" w:bidi="ar"/>
              </w:rPr>
              <w:t>。</w:t>
            </w:r>
          </w:p>
          <w:p>
            <w:pPr>
              <w:keepNext w:val="0"/>
              <w:keepLines w:val="0"/>
              <w:pageBreakBefore w:val="0"/>
              <w:widowControl w:val="0"/>
              <w:tabs>
                <w:tab w:val="left" w:pos="942"/>
              </w:tabs>
              <w:kinsoku/>
              <w:wordWrap/>
              <w:overflowPunct/>
              <w:topLinePunct w:val="0"/>
              <w:autoSpaceDE/>
              <w:autoSpaceDN/>
              <w:bidi w:val="0"/>
              <w:adjustRightInd/>
              <w:snapToGrid/>
              <w:spacing w:line="360" w:lineRule="auto"/>
              <w:ind w:firstLine="466" w:firstLineChars="200"/>
              <w:textAlignment w:val="auto"/>
              <w:rPr>
                <w:rFonts w:hint="default" w:ascii="Times New Roman" w:hAnsi="Times New Roman" w:cs="Times New Roman"/>
                <w:color w:val="auto"/>
                <w:kern w:val="0"/>
                <w:sz w:val="24"/>
                <w:szCs w:val="24"/>
                <w:u w:val="none" w:color="auto"/>
              </w:rPr>
            </w:pPr>
            <w:r>
              <w:rPr>
                <w:rFonts w:hint="default" w:ascii="Times New Roman" w:hAnsi="Times New Roman" w:cs="Times New Roman"/>
                <w:color w:val="auto"/>
                <w:kern w:val="0"/>
                <w:sz w:val="24"/>
                <w:szCs w:val="24"/>
                <w:u w:val="none" w:color="auto"/>
              </w:rPr>
              <w:t>项目环境风险简单分析内容表见表</w:t>
            </w:r>
            <w:r>
              <w:rPr>
                <w:rFonts w:hint="eastAsia" w:cs="Times New Roman"/>
                <w:color w:val="auto"/>
                <w:kern w:val="0"/>
                <w:sz w:val="24"/>
                <w:szCs w:val="24"/>
                <w:u w:val="none" w:color="auto"/>
                <w:lang w:val="en-US" w:eastAsia="zh-CN"/>
              </w:rPr>
              <w:t>7-17</w:t>
            </w:r>
            <w:r>
              <w:rPr>
                <w:rFonts w:hint="default" w:ascii="Times New Roman" w:hAnsi="Times New Roman" w:cs="Times New Roman"/>
                <w:color w:val="auto"/>
                <w:kern w:val="0"/>
                <w:sz w:val="24"/>
                <w:szCs w:val="24"/>
                <w:u w:val="none" w:color="auto"/>
              </w:rPr>
              <w:t>。</w:t>
            </w:r>
          </w:p>
          <w:p>
            <w:pPr>
              <w:keepNext w:val="0"/>
              <w:keepLines w:val="0"/>
              <w:pageBreakBefore w:val="0"/>
              <w:widowControl w:val="0"/>
              <w:tabs>
                <w:tab w:val="left" w:pos="942"/>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val="0"/>
                <w:color w:val="auto"/>
                <w:kern w:val="0"/>
                <w:sz w:val="21"/>
                <w:szCs w:val="21"/>
                <w:u w:val="none" w:color="auto"/>
              </w:rPr>
            </w:pPr>
            <w:r>
              <w:rPr>
                <w:rFonts w:hint="default" w:ascii="Times New Roman" w:hAnsi="Times New Roman" w:eastAsia="宋体" w:cs="Times New Roman"/>
                <w:b/>
                <w:bCs w:val="0"/>
                <w:color w:val="auto"/>
                <w:sz w:val="21"/>
                <w:szCs w:val="21"/>
                <w:u w:val="none" w:color="auto"/>
              </w:rPr>
              <w:t>表</w:t>
            </w:r>
            <w:r>
              <w:rPr>
                <w:rFonts w:hint="eastAsia" w:cs="Times New Roman"/>
                <w:b/>
                <w:bCs w:val="0"/>
                <w:color w:val="auto"/>
                <w:sz w:val="21"/>
                <w:szCs w:val="21"/>
                <w:u w:val="none" w:color="auto"/>
                <w:lang w:val="en-US" w:eastAsia="zh-CN"/>
              </w:rPr>
              <w:t>7-17</w:t>
            </w:r>
            <w:r>
              <w:rPr>
                <w:rFonts w:hint="default" w:ascii="Times New Roman" w:hAnsi="Times New Roman" w:eastAsia="宋体" w:cs="Times New Roman"/>
                <w:b/>
                <w:bCs w:val="0"/>
                <w:color w:val="auto"/>
                <w:sz w:val="21"/>
                <w:szCs w:val="21"/>
                <w:u w:val="none" w:color="auto"/>
              </w:rPr>
              <w:t xml:space="preserve">  建设项目环境风险简单分析内容表</w:t>
            </w:r>
          </w:p>
          <w:tbl>
            <w:tblPr>
              <w:tblStyle w:val="40"/>
              <w:tblW w:w="9062"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99"/>
              <w:gridCol w:w="1260"/>
              <w:gridCol w:w="1992"/>
              <w:gridCol w:w="1315"/>
              <w:gridCol w:w="22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建设项目名称</w:t>
                  </w:r>
                </w:p>
              </w:tc>
              <w:tc>
                <w:tcPr>
                  <w:tcW w:w="6863" w:type="dxa"/>
                  <w:gridSpan w:val="4"/>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eastAsia" w:cs="Times New Roman"/>
                      <w:sz w:val="24"/>
                      <w:szCs w:val="24"/>
                      <w:u w:val="none" w:color="auto"/>
                      <w:lang w:eastAsia="zh-CN"/>
                    </w:rPr>
                    <w:t>年产45万个硅胶制品建设项目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建设地点</w:t>
                  </w:r>
                </w:p>
              </w:tc>
              <w:tc>
                <w:tcPr>
                  <w:tcW w:w="1260" w:type="dxa"/>
                  <w:tcBorders>
                    <w:tl2br w:val="nil"/>
                    <w:tr2bl w:val="nil"/>
                  </w:tcBorders>
                  <w:noWrap w:val="0"/>
                  <w:vAlign w:val="center"/>
                </w:tcPr>
                <w:p>
                  <w:pPr>
                    <w:tabs>
                      <w:tab w:val="left" w:pos="942"/>
                    </w:tabs>
                    <w:adjustRightInd w:val="0"/>
                    <w:snapToGrid w:val="0"/>
                    <w:spacing w:line="360" w:lineRule="auto"/>
                    <w:jc w:val="center"/>
                    <w:rPr>
                      <w:rFonts w:hint="eastAsia" w:ascii="Times New Roman" w:hAnsi="Times New Roman" w:eastAsia="宋体" w:cs="Times New Roman"/>
                      <w:color w:val="auto"/>
                      <w:kern w:val="0"/>
                      <w:sz w:val="22"/>
                      <w:szCs w:val="22"/>
                      <w:u w:val="none" w:color="auto"/>
                      <w:lang w:eastAsia="zh-CN"/>
                    </w:rPr>
                  </w:pPr>
                  <w:r>
                    <w:rPr>
                      <w:rFonts w:hint="eastAsia" w:ascii="Times New Roman" w:hAnsi="Times New Roman" w:cs="Times New Roman"/>
                      <w:color w:val="auto"/>
                      <w:kern w:val="0"/>
                      <w:sz w:val="22"/>
                      <w:szCs w:val="22"/>
                      <w:u w:val="none" w:color="auto"/>
                      <w:lang w:eastAsia="zh-CN"/>
                    </w:rPr>
                    <w:t>湖南省</w:t>
                  </w:r>
                </w:p>
              </w:tc>
              <w:tc>
                <w:tcPr>
                  <w:tcW w:w="1992" w:type="dxa"/>
                  <w:tcBorders>
                    <w:tl2br w:val="nil"/>
                    <w:tr2bl w:val="nil"/>
                  </w:tcBorders>
                  <w:noWrap w:val="0"/>
                  <w:vAlign w:val="center"/>
                </w:tcPr>
                <w:p>
                  <w:pPr>
                    <w:tabs>
                      <w:tab w:val="left" w:pos="942"/>
                    </w:tabs>
                    <w:adjustRightInd w:val="0"/>
                    <w:snapToGrid w:val="0"/>
                    <w:spacing w:line="360" w:lineRule="auto"/>
                    <w:jc w:val="center"/>
                    <w:rPr>
                      <w:rFonts w:hint="eastAsia" w:ascii="Times New Roman" w:hAnsi="Times New Roman" w:eastAsia="宋体" w:cs="Times New Roman"/>
                      <w:color w:val="auto"/>
                      <w:kern w:val="0"/>
                      <w:sz w:val="22"/>
                      <w:szCs w:val="22"/>
                      <w:u w:val="none" w:color="auto"/>
                      <w:lang w:eastAsia="zh-CN"/>
                    </w:rPr>
                  </w:pPr>
                  <w:r>
                    <w:rPr>
                      <w:rFonts w:hint="eastAsia" w:cs="Times New Roman"/>
                      <w:color w:val="auto"/>
                      <w:kern w:val="0"/>
                      <w:sz w:val="22"/>
                      <w:szCs w:val="22"/>
                      <w:u w:val="none" w:color="auto"/>
                      <w:lang w:eastAsia="zh-CN"/>
                    </w:rPr>
                    <w:t>岳阳市</w:t>
                  </w:r>
                </w:p>
              </w:tc>
              <w:tc>
                <w:tcPr>
                  <w:tcW w:w="3611" w:type="dxa"/>
                  <w:gridSpan w:val="2"/>
                  <w:tcBorders>
                    <w:tl2br w:val="nil"/>
                    <w:tr2bl w:val="nil"/>
                  </w:tcBorders>
                  <w:noWrap w:val="0"/>
                  <w:vAlign w:val="center"/>
                </w:tcPr>
                <w:p>
                  <w:pPr>
                    <w:tabs>
                      <w:tab w:val="left" w:pos="942"/>
                    </w:tabs>
                    <w:adjustRightInd w:val="0"/>
                    <w:snapToGrid w:val="0"/>
                    <w:spacing w:line="360" w:lineRule="auto"/>
                    <w:jc w:val="center"/>
                    <w:rPr>
                      <w:rFonts w:hint="default" w:cs="Times New Roman"/>
                      <w:color w:val="auto"/>
                      <w:kern w:val="0"/>
                      <w:sz w:val="22"/>
                      <w:szCs w:val="22"/>
                      <w:u w:val="none" w:color="auto"/>
                      <w:lang w:val="en-US" w:eastAsia="zh-CN"/>
                    </w:rPr>
                  </w:pPr>
                  <w:r>
                    <w:rPr>
                      <w:rFonts w:hint="eastAsia" w:cs="Times New Roman"/>
                      <w:color w:val="auto"/>
                      <w:sz w:val="22"/>
                      <w:szCs w:val="22"/>
                      <w:u w:val="none" w:color="auto"/>
                      <w:lang w:eastAsia="zh-CN"/>
                    </w:rPr>
                    <w:t>湖南省湘阴县</w:t>
                  </w:r>
                  <w:r>
                    <w:rPr>
                      <w:rFonts w:hint="eastAsia" w:cs="Times New Roman"/>
                      <w:color w:val="auto"/>
                      <w:sz w:val="22"/>
                      <w:szCs w:val="22"/>
                      <w:u w:val="none" w:color="auto"/>
                      <w:lang w:val="en-US" w:eastAsia="zh-CN"/>
                    </w:rPr>
                    <w:t>金龙新区工业园湖南</w:t>
                  </w:r>
                  <w:r>
                    <w:rPr>
                      <w:rFonts w:hint="eastAsia" w:cs="Times New Roman"/>
                      <w:sz w:val="24"/>
                      <w:u w:val="none" w:color="auto"/>
                      <w:lang w:eastAsia="zh-CN"/>
                    </w:rPr>
                    <w:t>卓达置业有限公司一期7A栋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地理坐标</w:t>
                  </w:r>
                </w:p>
              </w:tc>
              <w:tc>
                <w:tcPr>
                  <w:tcW w:w="1260"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经度</w:t>
                  </w:r>
                </w:p>
              </w:tc>
              <w:tc>
                <w:tcPr>
                  <w:tcW w:w="1992"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112.935819</w:t>
                  </w:r>
                </w:p>
              </w:tc>
              <w:tc>
                <w:tcPr>
                  <w:tcW w:w="1315"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纬度</w:t>
                  </w:r>
                </w:p>
              </w:tc>
              <w:tc>
                <w:tcPr>
                  <w:tcW w:w="2296"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28.530650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主要危险物质及分布</w:t>
                  </w:r>
                </w:p>
              </w:tc>
              <w:tc>
                <w:tcPr>
                  <w:tcW w:w="6863" w:type="dxa"/>
                  <w:gridSpan w:val="4"/>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eastAsia="宋体" w:cs="Times New Roman"/>
                      <w:color w:val="auto"/>
                      <w:kern w:val="0"/>
                      <w:sz w:val="22"/>
                      <w:szCs w:val="22"/>
                      <w:u w:val="none" w:color="auto"/>
                      <w:lang w:val="en-US" w:eastAsia="zh-CN"/>
                    </w:rPr>
                  </w:pPr>
                  <w:r>
                    <w:rPr>
                      <w:rFonts w:hint="eastAsia" w:cs="Times New Roman"/>
                      <w:color w:val="auto"/>
                      <w:kern w:val="0"/>
                      <w:sz w:val="22"/>
                      <w:szCs w:val="22"/>
                      <w:u w:val="none" w:color="auto"/>
                      <w:lang w:val="en-US" w:eastAsia="zh-CN"/>
                    </w:rPr>
                    <w:t>原辅材料仓库、危险废物储存间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环境影响途径及危害后果(大气、地表水、地下水等)</w:t>
                  </w:r>
                </w:p>
              </w:tc>
              <w:tc>
                <w:tcPr>
                  <w:tcW w:w="6863" w:type="dxa"/>
                  <w:gridSpan w:val="4"/>
                  <w:tcBorders>
                    <w:tl2br w:val="nil"/>
                    <w:tr2bl w:val="nil"/>
                  </w:tcBorders>
                  <w:noWrap w:val="0"/>
                  <w:vAlign w:val="center"/>
                </w:tcPr>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ind w:firstLine="426" w:firstLineChars="200"/>
                    <w:jc w:val="left"/>
                    <w:textAlignment w:val="auto"/>
                    <w:rPr>
                      <w:rFonts w:hint="default" w:ascii="Times New Roman" w:hAnsi="Times New Roman" w:cs="Times New Roman"/>
                      <w:color w:val="auto"/>
                      <w:kern w:val="0"/>
                      <w:sz w:val="22"/>
                      <w:szCs w:val="22"/>
                      <w:u w:val="none" w:color="auto"/>
                      <w:lang w:val="en-US" w:eastAsia="zh-CN"/>
                    </w:rPr>
                  </w:pPr>
                  <w:r>
                    <w:rPr>
                      <w:rFonts w:hint="eastAsia" w:ascii="Times New Roman" w:hAnsi="Times New Roman" w:eastAsia="宋体" w:cs="Times New Roman"/>
                      <w:color w:val="auto"/>
                      <w:kern w:val="0"/>
                      <w:sz w:val="22"/>
                      <w:szCs w:val="22"/>
                      <w:u w:val="none" w:color="auto"/>
                      <w:lang w:val="en-US" w:eastAsia="zh-CN"/>
                    </w:rPr>
                    <w:t>如不做好防范措施，油墨、</w:t>
                  </w:r>
                  <w:r>
                    <w:rPr>
                      <w:rFonts w:hint="eastAsia" w:cs="Times New Roman"/>
                      <w:color w:val="auto"/>
                      <w:kern w:val="0"/>
                      <w:sz w:val="22"/>
                      <w:szCs w:val="22"/>
                      <w:u w:val="none" w:color="auto"/>
                      <w:lang w:val="en-US" w:eastAsia="zh-CN"/>
                    </w:rPr>
                    <w:t>架桥剂</w:t>
                  </w:r>
                  <w:r>
                    <w:rPr>
                      <w:rFonts w:hint="eastAsia" w:ascii="Times New Roman" w:hAnsi="Times New Roman" w:eastAsia="宋体" w:cs="Times New Roman"/>
                      <w:color w:val="auto"/>
                      <w:kern w:val="0"/>
                      <w:sz w:val="22"/>
                      <w:szCs w:val="22"/>
                      <w:u w:val="none" w:color="auto"/>
                      <w:lang w:val="en-US" w:eastAsia="zh-CN"/>
                    </w:rPr>
                    <w:t>、危险废物泄漏会流入雨水管网。对周边水质造成冲击影响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9" w:type="dxa"/>
                  <w:tcBorders>
                    <w:tl2br w:val="nil"/>
                    <w:tr2bl w:val="nil"/>
                  </w:tcBorders>
                  <w:noWrap w:val="0"/>
                  <w:vAlign w:val="center"/>
                </w:tcPr>
                <w:p>
                  <w:pPr>
                    <w:tabs>
                      <w:tab w:val="left" w:pos="942"/>
                    </w:tabs>
                    <w:adjustRightInd w:val="0"/>
                    <w:snapToGrid w:val="0"/>
                    <w:spacing w:line="360" w:lineRule="auto"/>
                    <w:jc w:val="center"/>
                    <w:rPr>
                      <w:rFonts w:hint="default" w:ascii="Times New Roman" w:hAnsi="Times New Roman" w:cs="Times New Roman"/>
                      <w:color w:val="auto"/>
                      <w:kern w:val="0"/>
                      <w:sz w:val="22"/>
                      <w:szCs w:val="22"/>
                      <w:u w:val="none" w:color="auto"/>
                    </w:rPr>
                  </w:pPr>
                  <w:r>
                    <w:rPr>
                      <w:rFonts w:hint="default" w:ascii="Times New Roman" w:hAnsi="Times New Roman" w:cs="Times New Roman"/>
                      <w:color w:val="auto"/>
                      <w:kern w:val="0"/>
                      <w:sz w:val="22"/>
                      <w:szCs w:val="22"/>
                      <w:u w:val="none" w:color="auto"/>
                    </w:rPr>
                    <w:t>风险防范措施要求</w:t>
                  </w:r>
                </w:p>
              </w:tc>
              <w:tc>
                <w:tcPr>
                  <w:tcW w:w="6863" w:type="dxa"/>
                  <w:gridSpan w:val="4"/>
                  <w:tcBorders>
                    <w:tl2br w:val="nil"/>
                    <w:tr2bl w:val="nil"/>
                  </w:tcBorders>
                  <w:noWrap w:val="0"/>
                  <w:vAlign w:val="center"/>
                </w:tcPr>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rPr>
                  </w:pPr>
                  <w:r>
                    <w:rPr>
                      <w:rFonts w:hint="eastAsia" w:ascii="Times New Roman" w:hAnsi="Times New Roman" w:cs="Times New Roman"/>
                      <w:color w:val="auto"/>
                      <w:kern w:val="0"/>
                      <w:sz w:val="22"/>
                      <w:szCs w:val="22"/>
                      <w:u w:val="none" w:color="auto"/>
                      <w:lang w:val="en-US" w:eastAsia="zh-CN"/>
                    </w:rPr>
                    <w:t xml:space="preserve">①加强职工的环保教育，提高安全防范风险的意识； </w:t>
                  </w:r>
                </w:p>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rPr>
                  </w:pPr>
                  <w:r>
                    <w:rPr>
                      <w:rFonts w:hint="eastAsia" w:ascii="Times New Roman" w:hAnsi="Times New Roman" w:cs="Times New Roman"/>
                      <w:color w:val="auto"/>
                      <w:kern w:val="0"/>
                      <w:sz w:val="22"/>
                      <w:szCs w:val="22"/>
                      <w:u w:val="none" w:color="auto"/>
                      <w:lang w:val="en-US" w:eastAsia="zh-CN"/>
                    </w:rPr>
                    <w:t xml:space="preserve">②厂区地面进行硬化； </w:t>
                  </w:r>
                </w:p>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rPr>
                  </w:pPr>
                  <w:r>
                    <w:rPr>
                      <w:rFonts w:hint="eastAsia" w:ascii="Times New Roman" w:hAnsi="Times New Roman" w:cs="Times New Roman"/>
                      <w:color w:val="auto"/>
                      <w:kern w:val="0"/>
                      <w:sz w:val="21"/>
                      <w:szCs w:val="21"/>
                      <w:u w:val="none" w:color="auto"/>
                      <w:lang w:val="en-US" w:eastAsia="zh-CN"/>
                    </w:rPr>
                    <w:t>③</w:t>
                  </w:r>
                  <w:r>
                    <w:rPr>
                      <w:rFonts w:hint="eastAsia" w:ascii="Times New Roman" w:hAnsi="Times New Roman" w:eastAsia="宋体" w:cs="Times New Roman"/>
                      <w:color w:val="auto"/>
                      <w:kern w:val="0"/>
                      <w:sz w:val="22"/>
                      <w:szCs w:val="22"/>
                      <w:u w:val="none" w:color="auto"/>
                      <w:lang w:val="en-US" w:eastAsia="zh-CN"/>
                    </w:rPr>
                    <w:t>油墨、</w:t>
                  </w:r>
                  <w:r>
                    <w:rPr>
                      <w:rFonts w:hint="eastAsia" w:cs="Times New Roman"/>
                      <w:color w:val="auto"/>
                      <w:kern w:val="0"/>
                      <w:sz w:val="22"/>
                      <w:szCs w:val="22"/>
                      <w:u w:val="none" w:color="auto"/>
                      <w:lang w:val="en-US" w:eastAsia="zh-CN"/>
                    </w:rPr>
                    <w:t>架桥剂储存间门口设置拱背型围堰，地面进行硬化处理、增加标识标牌；</w:t>
                  </w:r>
                </w:p>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rPr>
                  </w:pPr>
                  <w:r>
                    <w:rPr>
                      <w:rFonts w:hint="eastAsia" w:ascii="Times New Roman" w:hAnsi="Times New Roman" w:cs="Times New Roman"/>
                      <w:color w:val="auto"/>
                      <w:kern w:val="0"/>
                      <w:sz w:val="22"/>
                      <w:szCs w:val="22"/>
                      <w:u w:val="none" w:color="auto"/>
                      <w:lang w:val="en-US" w:eastAsia="zh-CN"/>
                    </w:rPr>
                    <w:t xml:space="preserve">④建立夜间值班巡查制度； </w:t>
                  </w:r>
                </w:p>
                <w:p>
                  <w:pPr>
                    <w:keepNext w:val="0"/>
                    <w:keepLines w:val="0"/>
                    <w:pageBreakBefore w:val="0"/>
                    <w:widowControl w:val="0"/>
                    <w:tabs>
                      <w:tab w:val="left" w:pos="942"/>
                    </w:tabs>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color w:val="auto"/>
                      <w:kern w:val="0"/>
                      <w:sz w:val="22"/>
                      <w:szCs w:val="22"/>
                      <w:u w:val="none" w:color="auto"/>
                      <w:lang w:eastAsia="zh-CN"/>
                    </w:rPr>
                  </w:pPr>
                  <w:r>
                    <w:rPr>
                      <w:rFonts w:hint="eastAsia" w:ascii="Times New Roman" w:hAnsi="Times New Roman" w:cs="Times New Roman"/>
                      <w:color w:val="auto"/>
                      <w:kern w:val="0"/>
                      <w:sz w:val="22"/>
                      <w:szCs w:val="22"/>
                      <w:u w:val="none" w:color="auto"/>
                      <w:lang w:val="en-US" w:eastAsia="zh-CN"/>
                    </w:rPr>
                    <w:t>⑤危废暂存间应按规范设置</w:t>
                  </w:r>
                  <w:r>
                    <w:rPr>
                      <w:rFonts w:hint="eastAsia" w:cs="Times New Roman"/>
                      <w:color w:val="auto"/>
                      <w:kern w:val="0"/>
                      <w:sz w:val="22"/>
                      <w:szCs w:val="22"/>
                      <w:u w:val="none" w:color="auto"/>
                      <w:lang w:val="en-US" w:eastAsia="zh-CN"/>
                    </w:rPr>
                    <w:t>，</w:t>
                  </w:r>
                  <w:r>
                    <w:rPr>
                      <w:rFonts w:hint="eastAsia" w:ascii="Times New Roman" w:hAnsi="Times New Roman" w:cs="Times New Roman"/>
                      <w:color w:val="auto"/>
                      <w:kern w:val="0"/>
                      <w:sz w:val="22"/>
                      <w:szCs w:val="22"/>
                      <w:u w:val="none" w:color="auto"/>
                      <w:lang w:val="en-US" w:eastAsia="zh-CN"/>
                    </w:rPr>
                    <w:t>强化管理，采用合格的容器储存，并及时交有资质的单位处置</w:t>
                  </w:r>
                  <w:r>
                    <w:rPr>
                      <w:rFonts w:hint="default" w:ascii="Times New Roman" w:hAnsi="Times New Roman" w:cs="Times New Roman"/>
                      <w:color w:val="auto"/>
                      <w:kern w:val="0"/>
                      <w:sz w:val="22"/>
                      <w:szCs w:val="22"/>
                      <w:u w:val="none" w:color="auto"/>
                      <w:lang w:eastAsia="zh-CN"/>
                    </w:rPr>
                    <w:t>。</w:t>
                  </w:r>
                </w:p>
              </w:tc>
            </w:tr>
          </w:tbl>
          <w:p>
            <w:pPr>
              <w:pStyle w:val="174"/>
              <w:spacing w:line="360" w:lineRule="auto"/>
              <w:ind w:firstLine="466" w:firstLineChars="200"/>
              <w:rPr>
                <w:rFonts w:hint="default" w:ascii="Times New Roman" w:hAnsi="Times New Roman" w:cs="Times New Roman"/>
                <w:color w:val="auto"/>
                <w:sz w:val="24"/>
                <w:szCs w:val="24"/>
                <w:u w:val="none" w:color="auto"/>
              </w:rPr>
            </w:pPr>
            <w:bookmarkStart w:id="7" w:name="_Toc312221061"/>
            <w:bookmarkStart w:id="8" w:name="_Toc424919844"/>
            <w:bookmarkStart w:id="9" w:name="_Toc299377553"/>
            <w:bookmarkStart w:id="10" w:name="_Toc280188871"/>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lang w:val="en-US" w:eastAsia="zh-CN"/>
              </w:rPr>
              <w:t>6</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风险评价结论</w:t>
            </w:r>
            <w:bookmarkEnd w:id="7"/>
            <w:bookmarkEnd w:id="8"/>
            <w:bookmarkEnd w:id="9"/>
            <w:bookmarkEnd w:id="10"/>
          </w:p>
          <w:p>
            <w:pPr>
              <w:pStyle w:val="34"/>
              <w:spacing w:line="360" w:lineRule="auto"/>
              <w:ind w:left="0" w:leftChars="0" w:firstLine="466" w:firstLineChars="200"/>
              <w:rPr>
                <w:rFonts w:hint="eastAsia" w:ascii="Times New Roman" w:hAnsi="Times New Roman" w:eastAsia="宋体" w:cs="Times New Roman"/>
                <w:sz w:val="24"/>
                <w:szCs w:val="24"/>
                <w:u w:val="none" w:color="auto"/>
                <w:lang w:eastAsia="zh-CN"/>
              </w:rPr>
            </w:pPr>
            <w:r>
              <w:rPr>
                <w:rFonts w:hint="default" w:ascii="Times New Roman" w:hAnsi="Times New Roman" w:cs="Times New Roman"/>
                <w:color w:val="auto"/>
                <w:sz w:val="24"/>
                <w:szCs w:val="24"/>
                <w:u w:val="none" w:color="auto"/>
              </w:rPr>
              <w:t>在严格落实本报告的提出各项事故防范和应急措施，加强管理，可最大限度地减少可能发生的环境风险。且一旦发生事故，也可将影响范围控制在较小程度之内，减小损失。企业在运营期间应不断完善企业事故防范和应急体系，实现企业联防联动，减少项目环境风险事故发生的概率，其影响危害可控制在厂区内，其风险在可接受范围内</w:t>
            </w:r>
            <w:r>
              <w:rPr>
                <w:rFonts w:hint="eastAsia" w:cs="Times New Roman"/>
                <w:sz w:val="24"/>
                <w:szCs w:val="24"/>
                <w:u w:val="none" w:color="auto"/>
                <w:lang w:eastAsia="zh-CN"/>
              </w:rPr>
              <w:t>。</w:t>
            </w:r>
          </w:p>
          <w:p>
            <w:pPr>
              <w:spacing w:line="360" w:lineRule="auto"/>
              <w:ind w:firstLine="466" w:firstLineChars="200"/>
              <w:rPr>
                <w:rFonts w:hint="default" w:ascii="Times New Roman" w:hAnsi="Times New Roman" w:cs="Times New Roman"/>
                <w:b/>
                <w:bCs/>
                <w:sz w:val="24"/>
                <w:szCs w:val="24"/>
                <w:u w:val="none" w:color="auto"/>
              </w:rPr>
            </w:pPr>
            <w:r>
              <w:rPr>
                <w:rFonts w:hint="default" w:ascii="Times New Roman" w:hAnsi="Times New Roman" w:cs="Times New Roman"/>
                <w:b/>
                <w:bCs/>
                <w:sz w:val="24"/>
                <w:szCs w:val="24"/>
                <w:u w:val="none" w:color="auto"/>
              </w:rPr>
              <w:t>7、环境管理与监测计划</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lang w:eastAsia="zh-CN"/>
              </w:rPr>
              <w:t>（</w:t>
            </w:r>
            <w:r>
              <w:rPr>
                <w:rFonts w:hint="default" w:ascii="Times New Roman" w:hAnsi="Times New Roman" w:cs="Times New Roman"/>
                <w:sz w:val="24"/>
                <w:szCs w:val="24"/>
                <w:u w:val="none" w:color="auto"/>
                <w:lang w:val="en-US" w:eastAsia="zh-CN"/>
              </w:rPr>
              <w:t>1）</w:t>
            </w:r>
            <w:r>
              <w:rPr>
                <w:rFonts w:hint="default" w:ascii="Times New Roman" w:hAnsi="Times New Roman" w:cs="Times New Roman"/>
                <w:sz w:val="24"/>
                <w:szCs w:val="24"/>
                <w:u w:val="none" w:color="auto"/>
              </w:rPr>
              <w:t>环境管理</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环境管理是协调经济发展与环境保护的关系，是使经济、社会、环境有序持续发展的重要手段，根据本项目的工程特性，建设单位应设置工程管理机构中环境保护管理专职人员，其环境管理主要内容如下：</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贯彻落实国家和地方的环境保护法律、法规、政策和标准，接受行业主管部门的监督、领导，配合环境保护主管部门做好环保工作；</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制订全厂环境管理规章制度以及各种污染物排放控制指标；</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定期检查环保设施的运行情况，并根据存在的问题提出改进意见； 参与企业的环保设施竣工验收和污染事故的调查与处理工作；</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在岗职工按环保要求对设备进行操作管理，操作人员需通过培训和定期考核，方可上岗。</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lang w:eastAsia="zh-CN"/>
              </w:rPr>
              <w:t>（</w:t>
            </w:r>
            <w:r>
              <w:rPr>
                <w:rFonts w:hint="default" w:ascii="Times New Roman" w:hAnsi="Times New Roman" w:cs="Times New Roman"/>
                <w:sz w:val="24"/>
                <w:szCs w:val="24"/>
                <w:u w:val="none" w:color="auto"/>
                <w:lang w:val="en-US" w:eastAsia="zh-CN"/>
              </w:rPr>
              <w:t>2）</w:t>
            </w:r>
            <w:r>
              <w:rPr>
                <w:rFonts w:hint="default" w:ascii="Times New Roman" w:hAnsi="Times New Roman" w:cs="Times New Roman"/>
                <w:sz w:val="24"/>
                <w:szCs w:val="24"/>
                <w:u w:val="none" w:color="auto"/>
              </w:rPr>
              <w:t>环境监测计划</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为切实做好废气的达标排放及污染物排放总量控制，及时了解和掌握建设项目营运期主要污染源污染物的排放情况，建设单位应定期委托有资质的环境监测单位对本项目建设后主要污染源排放的污染物进行监测。</w:t>
            </w:r>
          </w:p>
          <w:p>
            <w:pPr>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建议监测点位置和主要监测项目详见表 7-</w:t>
            </w:r>
            <w:r>
              <w:rPr>
                <w:rFonts w:hint="eastAsia" w:cs="Times New Roman"/>
                <w:sz w:val="24"/>
                <w:szCs w:val="24"/>
                <w:u w:val="none" w:color="auto"/>
                <w:lang w:val="en-US" w:eastAsia="zh-CN"/>
              </w:rPr>
              <w:t>18</w:t>
            </w:r>
            <w:r>
              <w:rPr>
                <w:rFonts w:hint="default" w:ascii="Times New Roman" w:hAnsi="Times New Roman" w:cs="Times New Roman"/>
                <w:sz w:val="24"/>
                <w:szCs w:val="24"/>
                <w:u w:val="none" w:color="auto"/>
              </w:rPr>
              <w:t>。</w:t>
            </w:r>
          </w:p>
          <w:p>
            <w:pPr>
              <w:spacing w:line="360" w:lineRule="auto"/>
              <w:ind w:firstLine="466" w:firstLineChars="200"/>
              <w:jc w:val="center"/>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表 7-</w:t>
            </w:r>
            <w:r>
              <w:rPr>
                <w:rFonts w:hint="eastAsia" w:cs="Times New Roman"/>
                <w:sz w:val="24"/>
                <w:szCs w:val="24"/>
                <w:u w:val="none" w:color="auto"/>
                <w:lang w:val="en-US" w:eastAsia="zh-CN"/>
              </w:rPr>
              <w:t>18</w:t>
            </w:r>
            <w:r>
              <w:rPr>
                <w:rFonts w:hint="default" w:ascii="Times New Roman" w:hAnsi="Times New Roman" w:cs="Times New Roman"/>
                <w:sz w:val="24"/>
                <w:szCs w:val="24"/>
                <w:u w:val="none" w:color="auto"/>
              </w:rPr>
              <w:t xml:space="preserve"> 本项目监测方案</w:t>
            </w:r>
          </w:p>
          <w:tbl>
            <w:tblPr>
              <w:tblStyle w:val="40"/>
              <w:tblW w:w="9062" w:type="dxa"/>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266"/>
              <w:gridCol w:w="2604"/>
              <w:gridCol w:w="2272"/>
              <w:gridCol w:w="192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监测项目</w:t>
                  </w:r>
                </w:p>
              </w:tc>
              <w:tc>
                <w:tcPr>
                  <w:tcW w:w="26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监测点位</w:t>
                  </w:r>
                </w:p>
              </w:tc>
              <w:tc>
                <w:tcPr>
                  <w:tcW w:w="22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主要监测因子</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监测频次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26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大气</w:t>
                  </w:r>
                </w:p>
              </w:tc>
              <w:tc>
                <w:tcPr>
                  <w:tcW w:w="26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sz w:val="21"/>
                      <w:szCs w:val="21"/>
                      <w:u w:val="none" w:color="auto"/>
                      <w:lang w:val="en-US" w:eastAsia="zh-CN"/>
                    </w:rPr>
                  </w:pPr>
                  <w:r>
                    <w:rPr>
                      <w:rFonts w:hint="eastAsia" w:cs="Times New Roman"/>
                      <w:sz w:val="21"/>
                      <w:szCs w:val="21"/>
                      <w:u w:val="none" w:color="auto"/>
                      <w:lang w:eastAsia="zh-CN"/>
                    </w:rPr>
                    <w:t>模压成型</w:t>
                  </w:r>
                  <w:r>
                    <w:rPr>
                      <w:rFonts w:hint="default" w:ascii="Times New Roman" w:hAnsi="Times New Roman" w:cs="Times New Roman"/>
                      <w:sz w:val="21"/>
                      <w:szCs w:val="21"/>
                      <w:u w:val="none" w:color="auto"/>
                    </w:rPr>
                    <w:t>废气排气筒</w:t>
                  </w:r>
                </w:p>
              </w:tc>
              <w:tc>
                <w:tcPr>
                  <w:tcW w:w="22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lang w:eastAsia="zh-CN"/>
                    </w:rPr>
                  </w:pPr>
                  <w:r>
                    <w:rPr>
                      <w:rFonts w:hint="eastAsia" w:cs="Times New Roman"/>
                      <w:sz w:val="21"/>
                      <w:szCs w:val="21"/>
                      <w:u w:val="none" w:color="auto"/>
                      <w:lang w:val="en-US" w:eastAsia="zh-CN"/>
                    </w:rPr>
                    <w:t>非甲烷总烃</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eastAsia" w:cs="Times New Roman"/>
                      <w:sz w:val="21"/>
                      <w:szCs w:val="21"/>
                      <w:u w:val="none" w:color="auto"/>
                      <w:lang w:eastAsia="zh-CN"/>
                    </w:rPr>
                    <w:t>半年</w:t>
                  </w:r>
                  <w:r>
                    <w:rPr>
                      <w:rFonts w:hint="default" w:ascii="Times New Roman" w:hAnsi="Times New Roman" w:cs="Times New Roman"/>
                      <w:sz w:val="21"/>
                      <w:szCs w:val="21"/>
                      <w:u w:val="none" w:color="auto"/>
                      <w:lang w:val="en-US" w:eastAsia="zh-CN"/>
                    </w:rPr>
                    <w:t>/</w:t>
                  </w:r>
                  <w:r>
                    <w:rPr>
                      <w:rFonts w:hint="default" w:ascii="Times New Roman" w:hAnsi="Times New Roman" w:cs="Times New Roman"/>
                      <w:sz w:val="21"/>
                      <w:szCs w:val="21"/>
                      <w:u w:val="none" w:color="auto"/>
                    </w:rPr>
                    <w:t>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26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p>
              </w:tc>
              <w:tc>
                <w:tcPr>
                  <w:tcW w:w="26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lang w:val="en-US" w:eastAsia="zh-CN"/>
                    </w:rPr>
                  </w:pPr>
                  <w:r>
                    <w:rPr>
                      <w:rFonts w:hint="default" w:ascii="Times New Roman" w:hAnsi="Times New Roman" w:cs="Times New Roman"/>
                      <w:sz w:val="21"/>
                      <w:szCs w:val="21"/>
                      <w:u w:val="none" w:color="auto"/>
                    </w:rPr>
                    <w:t>厂界</w:t>
                  </w:r>
                  <w:r>
                    <w:rPr>
                      <w:rFonts w:hint="default" w:ascii="Times New Roman" w:hAnsi="Times New Roman" w:cs="Times New Roman"/>
                      <w:sz w:val="21"/>
                      <w:szCs w:val="21"/>
                      <w:u w:val="none" w:color="auto"/>
                      <w:lang w:val="en-US" w:eastAsia="zh-CN"/>
                    </w:rPr>
                    <w:t>上、</w:t>
                  </w:r>
                  <w:r>
                    <w:rPr>
                      <w:rFonts w:hint="default" w:ascii="Times New Roman" w:hAnsi="Times New Roman" w:cs="Times New Roman"/>
                      <w:sz w:val="21"/>
                      <w:szCs w:val="21"/>
                      <w:u w:val="none" w:color="auto"/>
                      <w:lang w:eastAsia="zh-CN"/>
                    </w:rPr>
                    <w:t>下风向</w:t>
                  </w:r>
                </w:p>
              </w:tc>
              <w:tc>
                <w:tcPr>
                  <w:tcW w:w="22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lang w:val="en-US" w:eastAsia="zh-CN"/>
                    </w:rPr>
                  </w:pPr>
                  <w:r>
                    <w:rPr>
                      <w:rFonts w:hint="eastAsia" w:cs="Times New Roman"/>
                      <w:sz w:val="21"/>
                      <w:szCs w:val="21"/>
                      <w:u w:val="none" w:color="auto"/>
                      <w:lang w:val="en-US" w:eastAsia="zh-CN"/>
                    </w:rPr>
                    <w:t>非甲烷总烃</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eastAsia" w:cs="Times New Roman"/>
                      <w:sz w:val="21"/>
                      <w:szCs w:val="21"/>
                      <w:u w:val="none" w:color="auto"/>
                      <w:lang w:eastAsia="zh-CN"/>
                    </w:rPr>
                    <w:t>半年</w:t>
                  </w:r>
                  <w:r>
                    <w:rPr>
                      <w:rFonts w:hint="default" w:ascii="Times New Roman" w:hAnsi="Times New Roman" w:cs="Times New Roman"/>
                      <w:sz w:val="21"/>
                      <w:szCs w:val="21"/>
                      <w:u w:val="none" w:color="auto"/>
                      <w:lang w:val="en-US" w:eastAsia="zh-CN"/>
                    </w:rPr>
                    <w:t>/</w:t>
                  </w:r>
                  <w:r>
                    <w:rPr>
                      <w:rFonts w:hint="default" w:ascii="Times New Roman" w:hAnsi="Times New Roman" w:cs="Times New Roman"/>
                      <w:sz w:val="21"/>
                      <w:szCs w:val="21"/>
                      <w:u w:val="none" w:color="auto"/>
                    </w:rPr>
                    <w:t>次</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2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噪声</w:t>
                  </w:r>
                </w:p>
              </w:tc>
              <w:tc>
                <w:tcPr>
                  <w:tcW w:w="26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lang w:eastAsia="zh-CN"/>
                    </w:rPr>
                  </w:pPr>
                  <w:r>
                    <w:rPr>
                      <w:rFonts w:hint="default" w:ascii="Times New Roman" w:hAnsi="Times New Roman" w:cs="Times New Roman"/>
                      <w:sz w:val="21"/>
                      <w:szCs w:val="21"/>
                      <w:u w:val="none" w:color="auto"/>
                    </w:rPr>
                    <w:t>厂界</w:t>
                  </w:r>
                  <w:r>
                    <w:rPr>
                      <w:rFonts w:hint="default" w:ascii="Times New Roman" w:hAnsi="Times New Roman" w:cs="Times New Roman"/>
                      <w:sz w:val="21"/>
                      <w:szCs w:val="21"/>
                      <w:u w:val="none" w:color="auto"/>
                      <w:lang w:eastAsia="zh-CN"/>
                    </w:rPr>
                    <w:t>四周</w:t>
                  </w:r>
                </w:p>
              </w:tc>
              <w:tc>
                <w:tcPr>
                  <w:tcW w:w="22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1"/>
                      <w:szCs w:val="21"/>
                      <w:u w:val="none" w:color="auto"/>
                      <w:lang w:eastAsia="zh-CN"/>
                    </w:rPr>
                  </w:pPr>
                  <w:r>
                    <w:rPr>
                      <w:rFonts w:hint="eastAsia" w:ascii="Times New Roman" w:hAnsi="Times New Roman" w:cs="Times New Roman"/>
                      <w:sz w:val="21"/>
                      <w:szCs w:val="21"/>
                      <w:u w:val="none" w:color="auto"/>
                      <w:lang w:eastAsia="zh-CN"/>
                    </w:rPr>
                    <w:t>噪声</w:t>
                  </w:r>
                </w:p>
              </w:tc>
              <w:tc>
                <w:tcPr>
                  <w:tcW w:w="19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sz w:val="21"/>
                      <w:szCs w:val="21"/>
                      <w:u w:val="none" w:color="auto"/>
                    </w:rPr>
                  </w:pPr>
                  <w:r>
                    <w:rPr>
                      <w:rFonts w:hint="eastAsia" w:cs="Times New Roman"/>
                      <w:sz w:val="21"/>
                      <w:szCs w:val="21"/>
                      <w:u w:val="none" w:color="auto"/>
                      <w:lang w:val="en-US" w:eastAsia="zh-CN"/>
                    </w:rPr>
                    <w:t>半年</w:t>
                  </w:r>
                  <w:r>
                    <w:rPr>
                      <w:rFonts w:hint="default" w:ascii="Times New Roman" w:hAnsi="Times New Roman" w:cs="Times New Roman"/>
                      <w:sz w:val="21"/>
                      <w:szCs w:val="21"/>
                      <w:u w:val="none" w:color="auto"/>
                      <w:lang w:val="en-US" w:eastAsia="zh-CN"/>
                    </w:rPr>
                    <w:t>/</w:t>
                  </w:r>
                  <w:r>
                    <w:rPr>
                      <w:rFonts w:hint="default" w:ascii="Times New Roman" w:hAnsi="Times New Roman" w:cs="Times New Roman"/>
                      <w:sz w:val="21"/>
                      <w:szCs w:val="21"/>
                      <w:u w:val="none" w:color="auto"/>
                    </w:rPr>
                    <w:t>次</w:t>
                  </w:r>
                </w:p>
              </w:tc>
            </w:tr>
          </w:tbl>
          <w:p>
            <w:pPr>
              <w:pStyle w:val="34"/>
              <w:spacing w:line="360" w:lineRule="auto"/>
              <w:ind w:left="4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监测计划实施由公司负责组织协调，可委托有资质的环境监测单位承担监测任务</w:t>
            </w:r>
          </w:p>
          <w:p>
            <w:pPr>
              <w:snapToGrid w:val="0"/>
              <w:spacing w:line="360" w:lineRule="auto"/>
              <w:ind w:firstLine="466" w:firstLineChars="200"/>
              <w:rPr>
                <w:rFonts w:hint="default" w:ascii="Times New Roman" w:hAnsi="Times New Roman" w:cs="Times New Roman"/>
                <w:b/>
                <w:sz w:val="24"/>
                <w:szCs w:val="24"/>
                <w:u w:val="none" w:color="auto"/>
              </w:rPr>
            </w:pPr>
            <w:r>
              <w:rPr>
                <w:rFonts w:hint="eastAsia" w:cs="Times New Roman"/>
                <w:b/>
                <w:sz w:val="24"/>
                <w:szCs w:val="24"/>
                <w:u w:val="none" w:color="auto"/>
                <w:lang w:val="en-US" w:eastAsia="zh-CN"/>
              </w:rPr>
              <w:t>8</w:t>
            </w:r>
            <w:r>
              <w:rPr>
                <w:rFonts w:hint="default" w:ascii="Times New Roman" w:hAnsi="Times New Roman" w:cs="Times New Roman"/>
                <w:b/>
                <w:sz w:val="24"/>
                <w:szCs w:val="24"/>
                <w:u w:val="none" w:color="auto"/>
              </w:rPr>
              <w:t>、项目合理性分析</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（1）产业政策符合性分析</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本项目为</w:t>
            </w:r>
            <w:r>
              <w:rPr>
                <w:rFonts w:hint="eastAsia" w:cs="Times New Roman"/>
                <w:sz w:val="24"/>
                <w:szCs w:val="24"/>
                <w:u w:val="none" w:color="auto"/>
                <w:lang w:eastAsia="zh-CN"/>
              </w:rPr>
              <w:t>硅胶制品</w:t>
            </w:r>
            <w:r>
              <w:rPr>
                <w:rFonts w:hint="default" w:ascii="Times New Roman" w:hAnsi="Times New Roman" w:cs="Times New Roman"/>
                <w:sz w:val="24"/>
                <w:szCs w:val="24"/>
                <w:u w:val="none" w:color="auto"/>
              </w:rPr>
              <w:t>制造，根据中华人民共和国发展和改革委员会《产业结构调整指导目录（201</w:t>
            </w:r>
            <w:r>
              <w:rPr>
                <w:rFonts w:hint="eastAsia" w:cs="Times New Roman"/>
                <w:sz w:val="24"/>
                <w:szCs w:val="24"/>
                <w:u w:val="none" w:color="auto"/>
                <w:lang w:val="en-US" w:eastAsia="zh-CN"/>
              </w:rPr>
              <w:t>9</w:t>
            </w:r>
            <w:r>
              <w:rPr>
                <w:rFonts w:hint="default" w:ascii="Times New Roman" w:hAnsi="Times New Roman" w:cs="Times New Roman"/>
                <w:sz w:val="24"/>
                <w:szCs w:val="24"/>
                <w:u w:val="none" w:color="auto"/>
              </w:rPr>
              <w:t>年本）》，该类项目不属于限制类和淘汰类项目，符合国家产业政策要求</w:t>
            </w:r>
            <w:r>
              <w:rPr>
                <w:rFonts w:hint="eastAsia" w:cs="Times New Roman"/>
                <w:sz w:val="24"/>
                <w:szCs w:val="24"/>
                <w:u w:val="none" w:color="auto"/>
                <w:lang w:eastAsia="zh-CN"/>
              </w:rPr>
              <w:t>，</w:t>
            </w:r>
            <w:r>
              <w:rPr>
                <w:color w:val="auto"/>
                <w:spacing w:val="-6"/>
                <w:sz w:val="24"/>
                <w:u w:val="none" w:color="auto"/>
              </w:rPr>
              <w:t>项目设备</w:t>
            </w:r>
            <w:r>
              <w:rPr>
                <w:rFonts w:hint="default" w:ascii="Times New Roman" w:hAnsi="Times New Roman" w:eastAsia="宋体" w:cs="Times New Roman"/>
                <w:bCs/>
                <w:color w:val="auto"/>
                <w:sz w:val="24"/>
                <w:szCs w:val="24"/>
                <w:u w:val="none" w:color="auto"/>
              </w:rPr>
              <w:t>无国家发改委《产业结构调整指导目录》（2019 年本）</w:t>
            </w:r>
            <w:r>
              <w:rPr>
                <w:rFonts w:hint="eastAsia" w:ascii="Times New Roman" w:hAnsi="Times New Roman" w:eastAsia="宋体" w:cs="Times New Roman"/>
                <w:bCs/>
                <w:color w:val="auto"/>
                <w:sz w:val="24"/>
                <w:szCs w:val="24"/>
                <w:u w:val="none" w:color="auto"/>
                <w:lang w:eastAsia="zh-CN"/>
              </w:rPr>
              <w:t>、</w:t>
            </w:r>
            <w:r>
              <w:rPr>
                <w:rFonts w:hint="default" w:ascii="Times New Roman" w:hAnsi="Times New Roman" w:eastAsia="宋体" w:cs="Times New Roman"/>
                <w:bCs/>
                <w:color w:val="auto"/>
                <w:sz w:val="24"/>
                <w:szCs w:val="24"/>
                <w:u w:val="none" w:color="auto"/>
              </w:rPr>
              <w:t>《工业和信息化部高耗能落后机电设备（产品）淘汰目录》、《部分工业行业淘汰落后生产工艺装备和产品指导目录》中淘汰及明令禁止使用的设备</w:t>
            </w:r>
            <w:r>
              <w:rPr>
                <w:rFonts w:hint="default" w:ascii="Times New Roman" w:hAnsi="Times New Roman" w:cs="Times New Roman"/>
                <w:sz w:val="24"/>
                <w:szCs w:val="24"/>
                <w:u w:val="none" w:color="auto"/>
              </w:rPr>
              <w:t>。</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（2）规划合理性分析</w:t>
            </w:r>
          </w:p>
          <w:p>
            <w:pPr>
              <w:spacing w:line="360" w:lineRule="auto"/>
              <w:ind w:firstLine="466" w:firstLineChars="200"/>
              <w:rPr>
                <w:rFonts w:hint="default" w:ascii="Times New Roman" w:hAnsi="Times New Roman" w:cs="Times New Roman"/>
                <w:spacing w:val="-6"/>
                <w:sz w:val="24"/>
                <w:szCs w:val="24"/>
                <w:u w:val="none" w:color="auto"/>
              </w:rPr>
            </w:pPr>
            <w:r>
              <w:rPr>
                <w:rFonts w:hint="default" w:ascii="Times New Roman" w:hAnsi="Times New Roman" w:cs="Times New Roman"/>
                <w:sz w:val="24"/>
                <w:szCs w:val="24"/>
                <w:u w:val="none" w:color="auto"/>
              </w:rPr>
              <w:t>本项目位于</w:t>
            </w:r>
            <w:r>
              <w:rPr>
                <w:rFonts w:hint="eastAsia" w:cs="Times New Roman"/>
                <w:sz w:val="24"/>
                <w:szCs w:val="24"/>
                <w:u w:val="none" w:color="auto"/>
                <w:lang w:eastAsia="zh-CN"/>
              </w:rPr>
              <w:t>岳阳市湘阴县金龙新区工业园湖南卓达置业有限公司一期7A栋</w:t>
            </w:r>
            <w:r>
              <w:rPr>
                <w:rFonts w:hint="eastAsia" w:ascii="Times New Roman" w:hAnsi="Times New Roman" w:cs="Times New Roman"/>
                <w:sz w:val="24"/>
                <w:szCs w:val="24"/>
                <w:u w:val="none" w:color="auto"/>
                <w:lang w:eastAsia="zh-CN"/>
              </w:rPr>
              <w:t>现有厂房</w:t>
            </w:r>
            <w:r>
              <w:rPr>
                <w:rFonts w:hint="default" w:ascii="Times New Roman" w:hAnsi="Times New Roman" w:cs="Times New Roman"/>
                <w:sz w:val="24"/>
                <w:szCs w:val="24"/>
                <w:u w:val="none" w:color="auto"/>
              </w:rPr>
              <w:t>，项目所在地不属于生活饮用水水源保护区、风景名胜区等区域。</w:t>
            </w:r>
          </w:p>
          <w:p>
            <w:pPr>
              <w:snapToGrid w:val="0"/>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（3）选址合理性分析</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①地理位置</w:t>
            </w:r>
          </w:p>
          <w:p>
            <w:pPr>
              <w:snapToGrid w:val="0"/>
              <w:spacing w:line="360" w:lineRule="auto"/>
              <w:ind w:firstLine="457" w:firstLineChars="196"/>
              <w:rPr>
                <w:rFonts w:hint="default" w:ascii="Times New Roman" w:hAnsi="Times New Roman" w:cs="Times New Roman"/>
                <w:bCs/>
                <w:sz w:val="24"/>
                <w:szCs w:val="24"/>
                <w:u w:val="none" w:color="auto"/>
              </w:rPr>
            </w:pPr>
            <w:r>
              <w:rPr>
                <w:rFonts w:hint="default" w:ascii="Times New Roman" w:hAnsi="Times New Roman" w:cs="Times New Roman"/>
                <w:bCs/>
                <w:sz w:val="24"/>
                <w:szCs w:val="24"/>
                <w:u w:val="none" w:color="auto"/>
              </w:rPr>
              <w:t>本项目选址于</w:t>
            </w:r>
            <w:r>
              <w:rPr>
                <w:rFonts w:hint="eastAsia" w:cs="Times New Roman"/>
                <w:sz w:val="24"/>
                <w:u w:val="none" w:color="auto"/>
                <w:lang w:eastAsia="zh-CN"/>
              </w:rPr>
              <w:t>岳阳市湘阴县金龙新区工业园湖南卓达置业有限公司一期7A栋</w:t>
            </w:r>
            <w:r>
              <w:rPr>
                <w:rFonts w:hint="default" w:ascii="Times New Roman" w:hAnsi="Times New Roman" w:cs="Times New Roman"/>
                <w:bCs/>
                <w:sz w:val="24"/>
                <w:szCs w:val="24"/>
                <w:u w:val="none" w:color="auto"/>
              </w:rPr>
              <w:t>，交通较为便利。</w:t>
            </w:r>
            <w:r>
              <w:rPr>
                <w:rFonts w:hint="default" w:ascii="Times New Roman" w:hAnsi="Times New Roman" w:cs="Times New Roman"/>
                <w:sz w:val="24"/>
                <w:szCs w:val="24"/>
                <w:u w:val="none" w:color="auto"/>
              </w:rPr>
              <w:t>本项目所在地供电、通讯、道路等基础设施比较完善，电、水源供应充足。</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②环境容量</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根据环境功能区划的划分，项目选址区环境空气功能为二级区，水体功能为Ⅲ类水体，声环境功能为</w:t>
            </w:r>
            <w:r>
              <w:rPr>
                <w:rFonts w:hint="eastAsia" w:cs="Times New Roman"/>
                <w:sz w:val="24"/>
                <w:szCs w:val="24"/>
                <w:u w:val="none" w:color="auto"/>
                <w:lang w:val="en-US" w:eastAsia="zh-CN"/>
              </w:rPr>
              <w:t>3</w:t>
            </w:r>
            <w:r>
              <w:rPr>
                <w:rFonts w:hint="default" w:ascii="Times New Roman" w:hAnsi="Times New Roman" w:cs="Times New Roman"/>
                <w:sz w:val="24"/>
                <w:szCs w:val="24"/>
                <w:u w:val="none" w:color="auto"/>
              </w:rPr>
              <w:t>类区。根据环境质量现状数据，本项目所在区域地表水、声环境质量满足相应功能区划要求，</w:t>
            </w:r>
            <w:r>
              <w:rPr>
                <w:rFonts w:hint="eastAsia" w:cs="Times New Roman"/>
                <w:color w:val="auto"/>
                <w:sz w:val="24"/>
                <w:szCs w:val="24"/>
                <w:u w:val="none" w:color="auto"/>
                <w:lang w:eastAsia="zh-CN"/>
              </w:rPr>
              <w:t>根据</w:t>
            </w:r>
            <w:r>
              <w:rPr>
                <w:rFonts w:hint="eastAsia" w:cs="Times New Roman"/>
                <w:color w:val="auto"/>
                <w:sz w:val="24"/>
                <w:szCs w:val="24"/>
                <w:u w:val="none" w:color="auto"/>
                <w:lang w:val="en-US" w:eastAsia="zh-CN"/>
              </w:rPr>
              <w:t>2018年到2019年大气监测数据可知，项目所在区域大气环境正在逐渐变好</w:t>
            </w:r>
            <w:r>
              <w:rPr>
                <w:rFonts w:hint="default" w:ascii="Times New Roman" w:hAnsi="Times New Roman" w:cs="Times New Roman"/>
                <w:sz w:val="24"/>
                <w:szCs w:val="24"/>
                <w:u w:val="none" w:color="auto"/>
              </w:rPr>
              <w:t>，在充分落实本评价提出的各项处理措施后，项目营运对周围环境产生的影响较小，不会降低该区现有环境功能。</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③达标排放</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本项目营运期产生的各类污染物经过相关环保措施处理后可实现达标排放，固废可实现有效处理和处置，对周围环境产生的影响在可接受的范围之内。</w:t>
            </w:r>
          </w:p>
          <w:p>
            <w:pPr>
              <w:snapToGrid w:val="0"/>
              <w:spacing w:line="360" w:lineRule="auto"/>
              <w:ind w:firstLine="457" w:firstLineChars="196"/>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综上所述，本项目符合当地环境功能区规划，各污染物在采取相关环保措施后都可以实现达标排放，对周围环境影响不大，本项目选址合理。</w:t>
            </w:r>
          </w:p>
          <w:p>
            <w:pPr>
              <w:snapToGrid w:val="0"/>
              <w:spacing w:line="360" w:lineRule="auto"/>
              <w:ind w:firstLine="466" w:firstLineChars="200"/>
              <w:rPr>
                <w:rFonts w:hint="default" w:ascii="Times New Roman" w:hAnsi="Times New Roman" w:cs="Times New Roman"/>
                <w:sz w:val="24"/>
                <w:szCs w:val="24"/>
                <w:u w:val="none" w:color="auto"/>
              </w:rPr>
            </w:pPr>
            <w:r>
              <w:rPr>
                <w:rFonts w:hint="default" w:ascii="Times New Roman" w:hAnsi="Times New Roman" w:cs="Times New Roman"/>
                <w:sz w:val="24"/>
                <w:szCs w:val="24"/>
                <w:u w:val="none" w:color="auto"/>
              </w:rPr>
              <w:t>（4）平面布置合理性分析</w:t>
            </w:r>
          </w:p>
          <w:p>
            <w:pPr>
              <w:spacing w:line="360" w:lineRule="auto"/>
              <w:ind w:firstLine="466" w:firstLineChars="200"/>
              <w:rPr>
                <w:rFonts w:hint="eastAsia" w:eastAsia="宋体" w:cs="Times New Roman"/>
                <w:b/>
                <w:bCs/>
                <w:color w:val="auto"/>
                <w:sz w:val="24"/>
                <w:szCs w:val="24"/>
                <w:u w:val="none" w:color="auto"/>
                <w:lang w:val="en-US" w:eastAsia="zh-CN"/>
              </w:rPr>
            </w:pPr>
            <w:r>
              <w:rPr>
                <w:rFonts w:hint="default" w:ascii="Times New Roman" w:hAnsi="Times New Roman" w:cs="Times New Roman"/>
                <w:sz w:val="24"/>
                <w:szCs w:val="24"/>
                <w:u w:val="none" w:color="auto"/>
              </w:rPr>
              <w:t>本项目位于</w:t>
            </w:r>
            <w:r>
              <w:rPr>
                <w:rFonts w:hint="default" w:ascii="Times New Roman" w:hAnsi="Times New Roman" w:cs="Times New Roman"/>
                <w:bCs/>
                <w:sz w:val="24"/>
                <w:szCs w:val="24"/>
                <w:u w:val="none" w:color="auto"/>
              </w:rPr>
              <w:t>本项目选址于</w:t>
            </w:r>
            <w:r>
              <w:rPr>
                <w:rFonts w:hint="eastAsia" w:cs="Times New Roman"/>
                <w:sz w:val="24"/>
                <w:u w:val="none" w:color="auto"/>
                <w:lang w:eastAsia="zh-CN"/>
              </w:rPr>
              <w:t>岳阳市湘阴县金龙新区工业园湖南卓达置业有限公司一期7A栋</w:t>
            </w:r>
            <w:r>
              <w:rPr>
                <w:rFonts w:hint="default" w:ascii="Times New Roman" w:hAnsi="Times New Roman" w:cs="Times New Roman"/>
                <w:sz w:val="24"/>
                <w:szCs w:val="24"/>
                <w:u w:val="none" w:color="auto"/>
              </w:rPr>
              <w:t>，根据现场调查，项目建设内容分为原料堆放区</w:t>
            </w:r>
            <w:r>
              <w:rPr>
                <w:rFonts w:hint="eastAsia" w:cs="Times New Roman"/>
                <w:sz w:val="24"/>
                <w:szCs w:val="24"/>
                <w:u w:val="none" w:color="auto"/>
                <w:lang w:eastAsia="zh-CN"/>
              </w:rPr>
              <w:t>、成品区</w:t>
            </w:r>
            <w:r>
              <w:rPr>
                <w:rFonts w:hint="default" w:ascii="Times New Roman" w:hAnsi="Times New Roman" w:cs="Times New Roman"/>
                <w:sz w:val="24"/>
                <w:szCs w:val="24"/>
                <w:u w:val="none" w:color="auto"/>
              </w:rPr>
              <w:t>、</w:t>
            </w:r>
            <w:r>
              <w:rPr>
                <w:rFonts w:hint="eastAsia" w:cs="Times New Roman"/>
                <w:sz w:val="24"/>
                <w:szCs w:val="24"/>
                <w:u w:val="none" w:color="auto"/>
                <w:lang w:eastAsia="zh-CN"/>
              </w:rPr>
              <w:t>生产区等，项目共</w:t>
            </w:r>
            <w:r>
              <w:rPr>
                <w:rFonts w:hint="eastAsia" w:cs="Times New Roman"/>
                <w:sz w:val="24"/>
                <w:szCs w:val="24"/>
                <w:u w:val="none" w:color="auto"/>
                <w:lang w:val="en-US" w:eastAsia="zh-CN"/>
              </w:rPr>
              <w:t>4层</w:t>
            </w:r>
            <w:r>
              <w:rPr>
                <w:rFonts w:hint="default" w:ascii="Times New Roman" w:hAnsi="Times New Roman" w:cs="Times New Roman"/>
                <w:sz w:val="24"/>
                <w:szCs w:val="24"/>
                <w:u w:val="none" w:color="auto"/>
              </w:rPr>
              <w:t>，</w:t>
            </w:r>
            <w:r>
              <w:rPr>
                <w:rFonts w:hint="eastAsia" w:cs="Times New Roman"/>
                <w:sz w:val="24"/>
                <w:szCs w:val="24"/>
                <w:u w:val="none" w:color="auto"/>
                <w:lang w:eastAsia="zh-CN"/>
              </w:rPr>
              <w:t>其中</w:t>
            </w:r>
            <w:r>
              <w:rPr>
                <w:rFonts w:hint="default" w:ascii="Times New Roman" w:hAnsi="Times New Roman" w:cs="Times New Roman"/>
                <w:sz w:val="24"/>
                <w:szCs w:val="24"/>
                <w:u w:val="none" w:color="auto"/>
              </w:rPr>
              <w:t>一层</w:t>
            </w:r>
            <w:r>
              <w:rPr>
                <w:rFonts w:hint="eastAsia" w:cs="Times New Roman"/>
                <w:sz w:val="24"/>
                <w:szCs w:val="24"/>
                <w:u w:val="none" w:color="auto"/>
                <w:lang w:eastAsia="zh-CN"/>
              </w:rPr>
              <w:t>为生产区、原料堆放区，二层为包装区、成品区</w:t>
            </w:r>
            <w:r>
              <w:rPr>
                <w:rFonts w:hint="default" w:ascii="Times New Roman" w:hAnsi="Times New Roman" w:cs="Times New Roman"/>
                <w:sz w:val="24"/>
                <w:szCs w:val="24"/>
                <w:u w:val="none" w:color="auto"/>
              </w:rPr>
              <w:t>，</w:t>
            </w:r>
            <w:r>
              <w:rPr>
                <w:rFonts w:hint="eastAsia" w:cs="Times New Roman"/>
                <w:sz w:val="24"/>
                <w:szCs w:val="24"/>
                <w:u w:val="none" w:color="auto"/>
                <w:lang w:eastAsia="zh-CN"/>
              </w:rPr>
              <w:t>三层为</w:t>
            </w:r>
            <w:r>
              <w:rPr>
                <w:rFonts w:hint="eastAsia" w:cs="Times New Roman"/>
                <w:sz w:val="24"/>
                <w:szCs w:val="24"/>
                <w:u w:val="none" w:color="auto"/>
                <w:lang w:val="en-US" w:eastAsia="zh-CN"/>
              </w:rPr>
              <w:t>成品区，4层为办公区</w:t>
            </w:r>
            <w:r>
              <w:rPr>
                <w:rFonts w:hint="default" w:ascii="Times New Roman" w:hAnsi="Times New Roman" w:cs="Times New Roman"/>
                <w:sz w:val="24"/>
                <w:szCs w:val="24"/>
                <w:u w:val="none" w:color="auto"/>
              </w:rPr>
              <w:t>，项目主要生产设备均按照有利于物料的运输和储存的原则进行布置。平面布置比较合理。</w:t>
            </w:r>
          </w:p>
          <w:p>
            <w:pPr>
              <w:snapToGrid w:val="0"/>
              <w:spacing w:line="360" w:lineRule="auto"/>
              <w:ind w:firstLine="466" w:firstLineChars="200"/>
              <w:rPr>
                <w:rFonts w:hint="eastAsia" w:ascii="Times New Roman" w:hAnsi="Times New Roman" w:eastAsia="宋体" w:cs="Times New Roman"/>
                <w:color w:val="auto"/>
                <w:sz w:val="24"/>
                <w:szCs w:val="24"/>
                <w:u w:val="single" w:color="auto"/>
                <w:lang w:eastAsia="zh-CN"/>
              </w:rPr>
            </w:pPr>
            <w:r>
              <w:rPr>
                <w:rFonts w:hint="eastAsia" w:cs="Times New Roman"/>
                <w:color w:val="auto"/>
                <w:sz w:val="24"/>
                <w:szCs w:val="24"/>
                <w:u w:val="single" w:color="auto"/>
                <w:lang w:eastAsia="zh-CN"/>
              </w:rPr>
              <w:t>（</w:t>
            </w:r>
            <w:r>
              <w:rPr>
                <w:rFonts w:hint="eastAsia" w:cs="Times New Roman"/>
                <w:color w:val="auto"/>
                <w:sz w:val="24"/>
                <w:szCs w:val="24"/>
                <w:u w:val="single" w:color="auto"/>
                <w:lang w:val="en-US" w:eastAsia="zh-CN"/>
              </w:rPr>
              <w:t>5</w:t>
            </w:r>
            <w:r>
              <w:rPr>
                <w:rFonts w:hint="eastAsia" w:cs="Times New Roman"/>
                <w:color w:val="auto"/>
                <w:sz w:val="24"/>
                <w:szCs w:val="24"/>
                <w:u w:val="single" w:color="auto"/>
                <w:lang w:eastAsia="zh-CN"/>
              </w:rPr>
              <w:t>）与金龙工业园规划相符性</w:t>
            </w:r>
          </w:p>
          <w:p>
            <w:pPr>
              <w:spacing w:line="360" w:lineRule="auto"/>
              <w:ind w:firstLine="466" w:firstLineChars="200"/>
              <w:rPr>
                <w:rFonts w:hint="eastAsia" w:cs="Times New Roman"/>
                <w:b/>
                <w:bCs/>
                <w:color w:val="auto"/>
                <w:sz w:val="24"/>
                <w:szCs w:val="24"/>
                <w:u w:val="single" w:color="auto"/>
                <w:lang w:val="en-US" w:eastAsia="zh-CN"/>
              </w:rPr>
            </w:pPr>
            <w:r>
              <w:rPr>
                <w:rFonts w:hint="eastAsia" w:ascii="宋体" w:hAnsi="宋体" w:eastAsia="宋体" w:cs="宋体"/>
                <w:i w:val="0"/>
                <w:caps w:val="0"/>
                <w:color w:val="auto"/>
                <w:spacing w:val="0"/>
                <w:sz w:val="24"/>
                <w:szCs w:val="24"/>
                <w:u w:val="single" w:color="auto"/>
                <w:shd w:val="clear" w:fill="FFFFFF"/>
              </w:rPr>
              <w:t>建设项目选址位于湘阴县金龙工业园内，该工业园已完成规划环评审查，根据岳阳市环境保护局《关于湘阴县金龙新区工业区规划环境影响评价报告书</w:t>
            </w:r>
            <w:r>
              <w:rPr>
                <w:rFonts w:hint="eastAsia" w:ascii="宋体" w:hAnsi="宋体" w:eastAsia="宋体" w:cs="宋体"/>
                <w:i w:val="0"/>
                <w:caps w:val="0"/>
                <w:color w:val="auto"/>
                <w:spacing w:val="0"/>
                <w:sz w:val="24"/>
                <w:szCs w:val="24"/>
                <w:u w:val="single" w:color="auto"/>
                <w:shd w:val="clear" w:fill="FFFFFF"/>
                <w:lang w:eastAsia="zh-CN"/>
              </w:rPr>
              <w:t>及审查意见</w:t>
            </w:r>
            <w:r>
              <w:rPr>
                <w:rFonts w:hint="eastAsia" w:ascii="宋体" w:hAnsi="宋体" w:eastAsia="宋体" w:cs="宋体"/>
                <w:i w:val="0"/>
                <w:caps w:val="0"/>
                <w:color w:val="auto"/>
                <w:spacing w:val="0"/>
                <w:sz w:val="24"/>
                <w:szCs w:val="24"/>
                <w:u w:val="single" w:color="auto"/>
                <w:shd w:val="clear" w:fill="FFFFFF"/>
              </w:rPr>
              <w:t>》，入驻园区的的企业应满足以下要求</w:t>
            </w:r>
            <w:r>
              <w:rPr>
                <w:rFonts w:hint="eastAsia" w:ascii="宋体" w:hAnsi="宋体" w:eastAsia="宋体" w:cs="宋体"/>
                <w:i w:val="0"/>
                <w:caps w:val="0"/>
                <w:color w:val="auto"/>
                <w:spacing w:val="0"/>
                <w:sz w:val="24"/>
                <w:szCs w:val="24"/>
                <w:u w:val="single" w:color="auto"/>
                <w:shd w:val="clear" w:fill="FFFFFF"/>
                <w:lang w:eastAsia="zh-CN"/>
              </w:rPr>
              <w:t>：</w:t>
            </w:r>
            <w:r>
              <w:rPr>
                <w:rFonts w:hint="eastAsia" w:ascii="宋体" w:hAnsi="宋体" w:eastAsia="宋体" w:cs="宋体"/>
                <w:i w:val="0"/>
                <w:caps w:val="0"/>
                <w:color w:val="auto"/>
                <w:spacing w:val="0"/>
                <w:sz w:val="24"/>
                <w:szCs w:val="24"/>
                <w:u w:val="single" w:color="auto"/>
                <w:shd w:val="clear" w:fill="FFFFFF"/>
              </w:rPr>
              <w:t>入园项目必须满足园区总体发展规划、用地规划、环保规划及主导产业定位要求，严格执行环境准入负面清单，不得引进国家明令淘汰和禁止发展的、不符合产业政策的建设项目；禁止引进多晶硅、单晶硅、造纸、石化、冶金、皮革、医药、纺织印染、酒类、畜禽初加工、电镀和火力发电等行业，限制发展食品制造、饲料加工行业。”</w:t>
            </w:r>
            <w:r>
              <w:rPr>
                <w:rFonts w:hint="eastAsia" w:ascii="宋体" w:hAnsi="宋体" w:eastAsia="宋体" w:cs="宋体"/>
                <w:i w:val="0"/>
                <w:caps w:val="0"/>
                <w:color w:val="auto"/>
                <w:spacing w:val="0"/>
                <w:sz w:val="24"/>
                <w:szCs w:val="24"/>
                <w:u w:val="single" w:color="auto"/>
                <w:shd w:val="clear" w:fill="FFFFFF"/>
                <w:lang w:eastAsia="zh-CN"/>
              </w:rPr>
              <w:t>，本项目</w:t>
            </w:r>
            <w:r>
              <w:rPr>
                <w:rFonts w:hint="eastAsia" w:ascii="宋体" w:hAnsi="宋体" w:cs="宋体"/>
                <w:i w:val="0"/>
                <w:caps w:val="0"/>
                <w:color w:val="auto"/>
                <w:spacing w:val="0"/>
                <w:sz w:val="24"/>
                <w:szCs w:val="24"/>
                <w:u w:val="single" w:color="auto"/>
                <w:shd w:val="clear" w:fill="FFFFFF"/>
                <w:lang w:eastAsia="zh-CN"/>
              </w:rPr>
              <w:t>为硅胶制品制造行业，</w:t>
            </w:r>
            <w:r>
              <w:rPr>
                <w:rFonts w:hint="eastAsia" w:ascii="宋体" w:hAnsi="宋体" w:cs="宋体"/>
                <w:i w:val="0"/>
                <w:caps w:val="0"/>
                <w:color w:val="auto"/>
                <w:spacing w:val="0"/>
                <w:sz w:val="24"/>
                <w:szCs w:val="24"/>
                <w:u w:val="single" w:color="auto"/>
                <w:shd w:val="clear" w:fill="FFFFFF"/>
                <w:lang w:val="en-US" w:eastAsia="zh-CN"/>
              </w:rPr>
              <w:t>不属于限制类及禁止类项目</w:t>
            </w:r>
            <w:r>
              <w:rPr>
                <w:rFonts w:hint="eastAsia" w:ascii="宋体" w:hAnsi="宋体" w:eastAsia="宋体" w:cs="宋体"/>
                <w:i w:val="0"/>
                <w:caps w:val="0"/>
                <w:color w:val="auto"/>
                <w:spacing w:val="0"/>
                <w:sz w:val="24"/>
                <w:szCs w:val="24"/>
                <w:u w:val="single" w:color="auto"/>
                <w:shd w:val="clear" w:fill="FFFFFF"/>
                <w:lang w:eastAsia="zh-CN"/>
              </w:rPr>
              <w:t>，且</w:t>
            </w:r>
            <w:r>
              <w:rPr>
                <w:rFonts w:hint="eastAsia" w:cs="Times New Roman"/>
                <w:color w:val="auto"/>
                <w:sz w:val="24"/>
                <w:szCs w:val="24"/>
                <w:u w:val="single" w:color="auto"/>
                <w:lang w:eastAsia="zh-CN"/>
              </w:rPr>
              <w:t>项目已通过湘阴县联审会议（具体详见附件</w:t>
            </w:r>
            <w:r>
              <w:rPr>
                <w:rFonts w:hint="eastAsia" w:cs="Times New Roman"/>
                <w:color w:val="auto"/>
                <w:sz w:val="24"/>
                <w:szCs w:val="24"/>
                <w:u w:val="single" w:color="auto"/>
                <w:lang w:val="en-US" w:eastAsia="zh-CN"/>
              </w:rPr>
              <w:t>4</w:t>
            </w:r>
            <w:r>
              <w:rPr>
                <w:rFonts w:hint="eastAsia" w:cs="Times New Roman"/>
                <w:color w:val="auto"/>
                <w:sz w:val="24"/>
                <w:szCs w:val="24"/>
                <w:u w:val="single" w:color="auto"/>
                <w:lang w:eastAsia="zh-CN"/>
              </w:rPr>
              <w:t>）。</w:t>
            </w:r>
          </w:p>
          <w:p>
            <w:pPr>
              <w:spacing w:line="360" w:lineRule="auto"/>
              <w:ind w:firstLine="466" w:firstLineChars="200"/>
              <w:rPr>
                <w:rFonts w:hint="default" w:ascii="Times New Roman" w:hAnsi="Times New Roman" w:cs="Times New Roman"/>
                <w:b/>
                <w:bCs/>
                <w:color w:val="auto"/>
                <w:sz w:val="24"/>
                <w:szCs w:val="24"/>
                <w:u w:val="none" w:color="auto"/>
              </w:rPr>
            </w:pPr>
            <w:r>
              <w:rPr>
                <w:rFonts w:hint="eastAsia" w:cs="Times New Roman"/>
                <w:b/>
                <w:bCs/>
                <w:color w:val="auto"/>
                <w:sz w:val="24"/>
                <w:szCs w:val="24"/>
                <w:u w:val="none" w:color="auto"/>
                <w:lang w:val="en-US" w:eastAsia="zh-CN"/>
              </w:rPr>
              <w:t>9</w:t>
            </w:r>
            <w:r>
              <w:rPr>
                <w:rFonts w:hint="default" w:ascii="Times New Roman" w:hAnsi="Times New Roman" w:cs="Times New Roman"/>
                <w:b/>
                <w:bCs/>
                <w:color w:val="auto"/>
                <w:sz w:val="24"/>
                <w:szCs w:val="24"/>
                <w:u w:val="none" w:color="auto"/>
                <w:lang w:val="en-US" w:eastAsia="zh-CN"/>
              </w:rPr>
              <w:t>、</w:t>
            </w:r>
            <w:r>
              <w:rPr>
                <w:rFonts w:hint="default" w:ascii="Times New Roman" w:hAnsi="Times New Roman" w:cs="Times New Roman"/>
                <w:b/>
                <w:bCs/>
                <w:color w:val="auto"/>
                <w:sz w:val="24"/>
                <w:szCs w:val="24"/>
                <w:u w:val="none" w:color="auto"/>
              </w:rPr>
              <w:t>“三线一单”符合性分析</w:t>
            </w:r>
          </w:p>
          <w:p>
            <w:pPr>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本项目选址符合所在区域现行生态环境约束性要求；项目所在区域满足环境质量底线要求；项目生产原料资源条件有保障，满足资源利用上线要求；项目产 生的污染物经采取相应防护措施后可做到达标排放，不会降低区域环境质量等级，对环境影响不大。“三线一单”符合性分析见表 7-</w:t>
            </w:r>
            <w:r>
              <w:rPr>
                <w:rFonts w:hint="eastAsia" w:cs="Times New Roman"/>
                <w:color w:val="auto"/>
                <w:sz w:val="24"/>
                <w:szCs w:val="24"/>
                <w:u w:val="none" w:color="auto"/>
                <w:lang w:val="en-US" w:eastAsia="zh-CN"/>
              </w:rPr>
              <w:t>19</w:t>
            </w:r>
            <w:r>
              <w:rPr>
                <w:rFonts w:hint="default" w:ascii="Times New Roman" w:hAnsi="Times New Roman" w:cs="Times New Roman"/>
                <w:color w:val="auto"/>
                <w:sz w:val="24"/>
                <w:szCs w:val="24"/>
                <w:u w:val="none" w:color="auto"/>
              </w:rPr>
              <w:t xml:space="preserve">。 </w:t>
            </w:r>
          </w:p>
          <w:p>
            <w:pPr>
              <w:spacing w:line="360" w:lineRule="auto"/>
              <w:ind w:firstLine="466" w:firstLineChars="200"/>
              <w:jc w:val="center"/>
              <w:rPr>
                <w:rFonts w:hint="default" w:ascii="Times New Roman" w:hAnsi="Times New Roman" w:cs="Times New Roman"/>
                <w:color w:val="auto"/>
                <w:sz w:val="24"/>
                <w:szCs w:val="24"/>
                <w:u w:val="none" w:color="auto"/>
              </w:rPr>
            </w:pPr>
          </w:p>
          <w:p>
            <w:pPr>
              <w:spacing w:line="360" w:lineRule="auto"/>
              <w:ind w:firstLine="466" w:firstLineChars="200"/>
              <w:jc w:val="center"/>
              <w:rPr>
                <w:rFonts w:hint="default" w:ascii="Times New Roman" w:hAnsi="Times New Roman" w:cs="Times New Roman"/>
                <w:color w:val="auto"/>
                <w:sz w:val="24"/>
                <w:szCs w:val="24"/>
                <w:u w:val="none" w:color="auto"/>
              </w:rPr>
            </w:pPr>
          </w:p>
          <w:p>
            <w:pPr>
              <w:spacing w:line="360" w:lineRule="auto"/>
              <w:ind w:firstLine="466" w:firstLineChars="200"/>
              <w:jc w:val="center"/>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表 7-</w:t>
            </w:r>
            <w:r>
              <w:rPr>
                <w:rFonts w:hint="eastAsia" w:cs="Times New Roman"/>
                <w:color w:val="auto"/>
                <w:sz w:val="24"/>
                <w:szCs w:val="24"/>
                <w:u w:val="none" w:color="auto"/>
                <w:lang w:val="en-US" w:eastAsia="zh-CN"/>
              </w:rPr>
              <w:t>19</w:t>
            </w:r>
            <w:r>
              <w:rPr>
                <w:rFonts w:hint="default" w:ascii="Times New Roman" w:hAnsi="Times New Roman" w:cs="Times New Roman"/>
                <w:color w:val="auto"/>
                <w:sz w:val="24"/>
                <w:szCs w:val="24"/>
                <w:u w:val="none" w:color="auto"/>
              </w:rPr>
              <w:t>“三线一单”符合性分析</w:t>
            </w:r>
          </w:p>
          <w:tbl>
            <w:tblPr>
              <w:tblStyle w:val="40"/>
              <w:tblW w:w="9062" w:type="dxa"/>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86"/>
              <w:gridCol w:w="72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86" w:type="dxa"/>
                  <w:tcBorders>
                    <w:tl2br w:val="nil"/>
                    <w:tr2bl w:val="nil"/>
                  </w:tcBorders>
                  <w:noWrap w:val="0"/>
                  <w:vAlign w:val="center"/>
                </w:tcPr>
                <w:p>
                  <w:pPr>
                    <w:spacing w:line="360" w:lineRule="auto"/>
                    <w:ind w:firstLine="426" w:firstLineChars="20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内容</w:t>
                  </w:r>
                </w:p>
              </w:tc>
              <w:tc>
                <w:tcPr>
                  <w:tcW w:w="7276" w:type="dxa"/>
                  <w:tcBorders>
                    <w:tl2br w:val="nil"/>
                    <w:tr2bl w:val="nil"/>
                  </w:tcBorders>
                  <w:noWrap w:val="0"/>
                  <w:vAlign w:val="center"/>
                </w:tcPr>
                <w:p>
                  <w:pPr>
                    <w:spacing w:line="360" w:lineRule="auto"/>
                    <w:ind w:firstLine="426" w:firstLineChars="200"/>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8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生态保护红线</w:t>
                  </w:r>
                </w:p>
              </w:tc>
              <w:tc>
                <w:tcPr>
                  <w:tcW w:w="7276" w:type="dxa"/>
                  <w:tcBorders>
                    <w:tl2br w:val="nil"/>
                    <w:tr2bl w:val="nil"/>
                  </w:tcBorders>
                  <w:noWrap w:val="0"/>
                  <w:vAlign w:val="center"/>
                </w:tcPr>
                <w:p>
                  <w:pPr>
                    <w:spacing w:line="360" w:lineRule="auto"/>
                    <w:ind w:firstLine="426" w:firstLineChars="200"/>
                    <w:jc w:val="both"/>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本项目位于</w:t>
                  </w:r>
                  <w:r>
                    <w:rPr>
                      <w:rFonts w:hint="eastAsia" w:cs="Times New Roman"/>
                      <w:color w:val="auto"/>
                      <w:sz w:val="22"/>
                      <w:szCs w:val="22"/>
                      <w:u w:val="none" w:color="auto"/>
                      <w:lang w:eastAsia="zh-CN"/>
                    </w:rPr>
                    <w:t>岳阳市湘阴县金龙新区工业园湖南卓达置业有限公司一期7A栋</w:t>
                  </w:r>
                  <w:r>
                    <w:rPr>
                      <w:rFonts w:hint="eastAsia" w:ascii="Times New Roman" w:hAnsi="Times New Roman" w:cs="Times New Roman"/>
                      <w:color w:val="auto"/>
                      <w:sz w:val="22"/>
                      <w:szCs w:val="22"/>
                      <w:u w:val="none" w:color="auto"/>
                      <w:lang w:eastAsia="zh-CN"/>
                    </w:rPr>
                    <w:t>现有厂房</w:t>
                  </w:r>
                  <w:r>
                    <w:rPr>
                      <w:rFonts w:hint="default" w:ascii="Times New Roman" w:hAnsi="Times New Roman" w:cs="Times New Roman"/>
                      <w:color w:val="auto"/>
                      <w:sz w:val="22"/>
                      <w:szCs w:val="22"/>
                      <w:u w:val="none" w:color="auto"/>
                    </w:rPr>
                    <w:t>，不在</w:t>
                  </w:r>
                  <w:r>
                    <w:rPr>
                      <w:rFonts w:hint="default" w:ascii="Times New Roman" w:hAnsi="Times New Roman" w:cs="Times New Roman"/>
                      <w:color w:val="auto"/>
                      <w:sz w:val="22"/>
                      <w:szCs w:val="22"/>
                      <w:u w:val="none" w:color="auto"/>
                      <w:lang w:eastAsia="zh-CN"/>
                    </w:rPr>
                    <w:t>湘阴县</w:t>
                  </w:r>
                  <w:r>
                    <w:rPr>
                      <w:rFonts w:hint="default" w:ascii="Times New Roman" w:hAnsi="Times New Roman" w:cs="Times New Roman"/>
                      <w:color w:val="auto"/>
                      <w:sz w:val="22"/>
                      <w:szCs w:val="22"/>
                      <w:u w:val="none" w:color="auto"/>
                    </w:rPr>
                    <w:t>划定的生态红线范围。项目不在自然保护区、饮用水源保护区等生态保护目标内，符合生态保护红线要求。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78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资源利用上线</w:t>
                  </w:r>
                </w:p>
              </w:tc>
              <w:tc>
                <w:tcPr>
                  <w:tcW w:w="7276" w:type="dxa"/>
                  <w:tcBorders>
                    <w:tl2br w:val="nil"/>
                    <w:tr2bl w:val="nil"/>
                  </w:tcBorders>
                  <w:noWrap w:val="0"/>
                  <w:vAlign w:val="center"/>
                </w:tcPr>
                <w:p>
                  <w:pPr>
                    <w:spacing w:line="360" w:lineRule="auto"/>
                    <w:ind w:firstLine="426" w:firstLineChars="200"/>
                    <w:jc w:val="both"/>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本项目运营过程中消耗一定量的电力、水等资源。①项目用电由当地电网提供；②项目用水来源为当地自来水公司。本项目电力、水的消耗量所占比重较少，符合资源利用上限要求。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78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环境质量底线</w:t>
                  </w:r>
                </w:p>
              </w:tc>
              <w:tc>
                <w:tcPr>
                  <w:tcW w:w="7276" w:type="dxa"/>
                  <w:tcBorders>
                    <w:tl2br w:val="nil"/>
                    <w:tr2bl w:val="nil"/>
                  </w:tcBorders>
                  <w:noWrap w:val="0"/>
                  <w:vAlign w:val="center"/>
                </w:tcPr>
                <w:p>
                  <w:pPr>
                    <w:spacing w:line="360" w:lineRule="auto"/>
                    <w:ind w:firstLine="426" w:firstLineChars="200"/>
                    <w:jc w:val="both"/>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根据现场调查，项目场址为工业用地，通过对评价区域内空气、地表水、声的监测及调查得知，项目所在区域的地表水体、声环境能够达到相应的环境质量标准</w:t>
                  </w:r>
                  <w:r>
                    <w:rPr>
                      <w:rFonts w:hint="eastAsia" w:cs="Times New Roman"/>
                      <w:color w:val="auto"/>
                      <w:sz w:val="22"/>
                      <w:szCs w:val="22"/>
                      <w:u w:val="none" w:color="auto"/>
                      <w:lang w:eastAsia="zh-CN"/>
                    </w:rPr>
                    <w:t>，</w:t>
                  </w:r>
                  <w:r>
                    <w:rPr>
                      <w:rFonts w:hint="eastAsia" w:ascii="Times New Roman" w:hAnsi="Times New Roman" w:cs="Times New Roman"/>
                      <w:color w:val="auto"/>
                      <w:sz w:val="22"/>
                      <w:szCs w:val="22"/>
                      <w:u w:val="none" w:color="auto"/>
                      <w:lang w:eastAsia="zh-CN"/>
                    </w:rPr>
                    <w:t>根据</w:t>
                  </w:r>
                  <w:r>
                    <w:rPr>
                      <w:rFonts w:hint="eastAsia" w:ascii="Times New Roman" w:hAnsi="Times New Roman" w:cs="Times New Roman"/>
                      <w:color w:val="auto"/>
                      <w:sz w:val="22"/>
                      <w:szCs w:val="22"/>
                      <w:u w:val="none" w:color="auto"/>
                      <w:lang w:val="en-US" w:eastAsia="zh-CN"/>
                    </w:rPr>
                    <w:t>201</w:t>
                  </w:r>
                  <w:r>
                    <w:rPr>
                      <w:rFonts w:hint="eastAsia" w:cs="Times New Roman"/>
                      <w:color w:val="auto"/>
                      <w:sz w:val="22"/>
                      <w:szCs w:val="22"/>
                      <w:u w:val="none" w:color="auto"/>
                      <w:lang w:val="en-US" w:eastAsia="zh-CN"/>
                    </w:rPr>
                    <w:t>8</w:t>
                  </w:r>
                  <w:r>
                    <w:rPr>
                      <w:rFonts w:hint="eastAsia" w:ascii="Times New Roman" w:hAnsi="Times New Roman" w:cs="Times New Roman"/>
                      <w:color w:val="auto"/>
                      <w:sz w:val="22"/>
                      <w:szCs w:val="22"/>
                      <w:u w:val="none" w:color="auto"/>
                      <w:lang w:val="en-US" w:eastAsia="zh-CN"/>
                    </w:rPr>
                    <w:t>年到201</w:t>
                  </w:r>
                  <w:r>
                    <w:rPr>
                      <w:rFonts w:hint="eastAsia" w:cs="Times New Roman"/>
                      <w:color w:val="auto"/>
                      <w:sz w:val="22"/>
                      <w:szCs w:val="22"/>
                      <w:u w:val="none" w:color="auto"/>
                      <w:lang w:val="en-US" w:eastAsia="zh-CN"/>
                    </w:rPr>
                    <w:t>9</w:t>
                  </w:r>
                  <w:r>
                    <w:rPr>
                      <w:rFonts w:hint="eastAsia" w:ascii="Times New Roman" w:hAnsi="Times New Roman" w:cs="Times New Roman"/>
                      <w:color w:val="auto"/>
                      <w:sz w:val="22"/>
                      <w:szCs w:val="22"/>
                      <w:u w:val="none" w:color="auto"/>
                      <w:lang w:val="en-US" w:eastAsia="zh-CN"/>
                    </w:rPr>
                    <w:t>年大气监测数据可知，项目所在区域大气环境正在逐渐变好</w:t>
                  </w:r>
                  <w:r>
                    <w:rPr>
                      <w:rFonts w:hint="default" w:ascii="Times New Roman" w:hAnsi="Times New Roman" w:cs="Times New Roman"/>
                      <w:color w:val="auto"/>
                      <w:sz w:val="22"/>
                      <w:szCs w:val="22"/>
                      <w:u w:val="none" w:color="auto"/>
                    </w:rPr>
                    <w:t>。项目对产生的污染物采取相应的措施后，对周边环境影响很小，符合环境质量底线要求。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负面清单</w:t>
                  </w:r>
                </w:p>
              </w:tc>
              <w:tc>
                <w:tcPr>
                  <w:tcW w:w="7276" w:type="dxa"/>
                  <w:tcBorders>
                    <w:tl2br w:val="nil"/>
                    <w:tr2bl w:val="nil"/>
                  </w:tcBorders>
                  <w:noWrap w:val="0"/>
                  <w:vAlign w:val="center"/>
                </w:tcPr>
                <w:p>
                  <w:pPr>
                    <w:spacing w:line="360" w:lineRule="auto"/>
                    <w:ind w:firstLine="426" w:firstLineChars="200"/>
                    <w:jc w:val="both"/>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项目建设符合国家和行业的产业政策，选址符合</w:t>
                  </w:r>
                  <w:r>
                    <w:rPr>
                      <w:rFonts w:hint="default" w:ascii="Times New Roman" w:hAnsi="Times New Roman" w:cs="Times New Roman"/>
                      <w:color w:val="auto"/>
                      <w:sz w:val="22"/>
                      <w:szCs w:val="22"/>
                      <w:u w:val="none" w:color="auto"/>
                      <w:lang w:eastAsia="zh-CN"/>
                    </w:rPr>
                    <w:t>湘阴县</w:t>
                  </w:r>
                  <w:r>
                    <w:rPr>
                      <w:rFonts w:hint="default" w:ascii="Times New Roman" w:hAnsi="Times New Roman" w:cs="Times New Roman"/>
                      <w:color w:val="auto"/>
                      <w:sz w:val="22"/>
                      <w:szCs w:val="22"/>
                      <w:u w:val="none" w:color="auto"/>
                    </w:rPr>
                    <w:t>总体规划，不涉及产业政策和区域规划的负面清单。</w:t>
                  </w:r>
                </w:p>
              </w:tc>
            </w:tr>
          </w:tbl>
          <w:p>
            <w:pPr>
              <w:pStyle w:val="187"/>
              <w:rPr>
                <w:rFonts w:hint="eastAsia" w:ascii="Times New Roman" w:hAnsi="Times New Roman" w:eastAsia="宋体" w:cs="Times New Roman"/>
                <w:color w:val="auto"/>
                <w:u w:val="none" w:color="auto"/>
                <w:lang w:val="en-US" w:eastAsia="zh-CN"/>
              </w:rPr>
            </w:pPr>
            <w:r>
              <w:rPr>
                <w:rFonts w:hint="eastAsia" w:cs="Times New Roman"/>
                <w:color w:val="auto"/>
                <w:u w:val="none" w:color="auto"/>
                <w:lang w:val="en-US" w:eastAsia="zh-CN"/>
              </w:rPr>
              <w:t>9</w:t>
            </w:r>
            <w:r>
              <w:rPr>
                <w:rFonts w:hint="default" w:ascii="Times New Roman" w:hAnsi="Times New Roman" w:cs="Times New Roman"/>
                <w:color w:val="auto"/>
                <w:u w:val="none" w:color="auto"/>
              </w:rPr>
              <w:t>、总量控制</w:t>
            </w:r>
          </w:p>
          <w:p>
            <w:pPr>
              <w:pStyle w:val="174"/>
              <w:spacing w:line="360" w:lineRule="auto"/>
              <w:ind w:firstLine="480"/>
              <w:rPr>
                <w:rFonts w:hint="eastAsia" w:eastAsia="宋体"/>
                <w:color w:val="auto"/>
                <w:sz w:val="24"/>
                <w:szCs w:val="24"/>
                <w:u w:val="none" w:color="auto"/>
                <w:lang w:eastAsia="zh-CN"/>
              </w:rPr>
            </w:pPr>
            <w:r>
              <w:rPr>
                <w:sz w:val="24"/>
                <w:szCs w:val="24"/>
                <w:u w:val="none" w:color="auto"/>
              </w:rPr>
              <w:t>根据国家环境保护部对实施污染物排放总量控制的要求</w:t>
            </w:r>
            <w:r>
              <w:rPr>
                <w:rFonts w:hint="eastAsia"/>
                <w:sz w:val="24"/>
                <w:szCs w:val="24"/>
                <w:u w:val="none" w:color="auto"/>
                <w:lang w:eastAsia="zh-CN"/>
              </w:rPr>
              <w:t>、</w:t>
            </w:r>
            <w:r>
              <w:rPr>
                <w:sz w:val="24"/>
                <w:szCs w:val="24"/>
                <w:u w:val="none" w:color="auto"/>
              </w:rPr>
              <w:t>《中华人民共和国国民经济和社会发展第十三个五年规划纲要》环保规划要求</w:t>
            </w:r>
            <w:r>
              <w:rPr>
                <w:rFonts w:hint="eastAsia"/>
                <w:sz w:val="24"/>
                <w:szCs w:val="24"/>
                <w:u w:val="none" w:color="auto"/>
                <w:lang w:eastAsia="zh-CN"/>
              </w:rPr>
              <w:t>和《湖南省“十三五”主要污染物减排规划》</w:t>
            </w:r>
            <w:r>
              <w:rPr>
                <w:color w:val="auto"/>
                <w:sz w:val="24"/>
                <w:szCs w:val="24"/>
                <w:u w:val="none" w:color="auto"/>
              </w:rPr>
              <w:t>以及本项目污染物排放特点，</w:t>
            </w:r>
            <w:r>
              <w:rPr>
                <w:rFonts w:hint="eastAsia"/>
                <w:sz w:val="24"/>
                <w:szCs w:val="24"/>
                <w:u w:val="none" w:color="auto"/>
                <w:lang w:val="en-US" w:eastAsia="zh-CN"/>
              </w:rPr>
              <w:t>湘阴县第三污水处理厂建成且接通前：</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污水通过化粪池处理后排入园区污水管网再进入</w:t>
            </w:r>
            <w:r>
              <w:rPr>
                <w:rFonts w:hint="eastAsia"/>
                <w:sz w:val="24"/>
                <w:szCs w:val="24"/>
                <w:u w:val="none" w:color="auto"/>
                <w:lang w:eastAsia="zh-CN"/>
              </w:rPr>
              <w:t>卓达金谷创业园自建的污水处理站</w:t>
            </w:r>
            <w:r>
              <w:rPr>
                <w:sz w:val="24"/>
                <w:szCs w:val="24"/>
                <w:u w:val="none" w:color="auto"/>
              </w:rPr>
              <w:t>处理</w:t>
            </w:r>
            <w:r>
              <w:rPr>
                <w:rFonts w:hAnsi="宋体"/>
                <w:sz w:val="24"/>
                <w:szCs w:val="24"/>
                <w:u w:val="none" w:color="auto"/>
              </w:rPr>
              <w:t>达</w:t>
            </w:r>
            <w:r>
              <w:rPr>
                <w:rFonts w:hint="eastAsia" w:hAnsi="宋体"/>
                <w:sz w:val="24"/>
                <w:szCs w:val="24"/>
                <w:u w:val="none" w:color="auto"/>
                <w:lang w:eastAsia="zh-CN"/>
              </w:rPr>
              <w:t>到</w:t>
            </w:r>
            <w:r>
              <w:rPr>
                <w:sz w:val="24"/>
                <w:szCs w:val="24"/>
                <w:u w:val="none" w:color="auto"/>
              </w:rPr>
              <w:t>《城镇污水处理厂污染物排放标准（GB18918—2002）》中一级标准的A类标准后</w:t>
            </w:r>
            <w:r>
              <w:rPr>
                <w:rFonts w:hint="eastAsia"/>
                <w:sz w:val="24"/>
                <w:szCs w:val="24"/>
                <w:u w:val="none" w:color="auto"/>
                <w:lang w:eastAsia="zh-CN"/>
              </w:rPr>
              <w:t>进入洋沙河</w:t>
            </w:r>
            <w:r>
              <w:rPr>
                <w:rFonts w:hint="eastAsia"/>
                <w:sz w:val="24"/>
                <w:szCs w:val="24"/>
                <w:u w:val="none" w:color="auto"/>
                <w:lang w:val="en-US" w:eastAsia="zh-CN"/>
              </w:rPr>
              <w:t>排入洋沙湖</w:t>
            </w:r>
            <w:r>
              <w:rPr>
                <w:sz w:val="24"/>
                <w:szCs w:val="24"/>
                <w:u w:val="none" w:color="auto"/>
              </w:rPr>
              <w:t>，最终汇入湘江</w:t>
            </w:r>
            <w:r>
              <w:rPr>
                <w:rFonts w:hint="eastAsia"/>
                <w:sz w:val="24"/>
                <w:szCs w:val="24"/>
                <w:u w:val="none" w:color="auto"/>
                <w:lang w:eastAsia="zh-CN"/>
              </w:rPr>
              <w:t>。</w:t>
            </w:r>
            <w:r>
              <w:rPr>
                <w:rFonts w:hint="eastAsia"/>
                <w:sz w:val="24"/>
                <w:szCs w:val="24"/>
                <w:u w:val="none" w:color="auto"/>
                <w:lang w:val="en-US" w:eastAsia="zh-CN"/>
              </w:rPr>
              <w:t>湘阴县第三污水处理厂建成且接通后：</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w:t>
            </w:r>
            <w:r>
              <w:rPr>
                <w:rFonts w:hint="eastAsia"/>
                <w:sz w:val="24"/>
                <w:szCs w:val="24"/>
                <w:u w:val="none" w:color="auto"/>
                <w:lang w:val="en-US" w:eastAsia="zh-CN"/>
              </w:rPr>
              <w:t>进入湘阴县第三污水处理厂处理后排入洋沙河流入洋沙湖，最终进入湘江</w:t>
            </w:r>
            <w:r>
              <w:rPr>
                <w:rFonts w:hint="eastAsia"/>
                <w:color w:val="auto"/>
                <w:sz w:val="24"/>
                <w:szCs w:val="24"/>
                <w:u w:val="none" w:color="auto"/>
                <w:lang w:eastAsia="zh-CN"/>
              </w:rPr>
              <w:t>。</w:t>
            </w:r>
            <w:r>
              <w:rPr>
                <w:color w:val="auto"/>
                <w:sz w:val="24"/>
                <w:szCs w:val="24"/>
                <w:u w:val="none" w:color="auto"/>
              </w:rPr>
              <w:t>故本项目</w:t>
            </w:r>
            <w:r>
              <w:rPr>
                <w:rFonts w:hint="eastAsia"/>
                <w:color w:val="auto"/>
                <w:sz w:val="24"/>
                <w:szCs w:val="24"/>
                <w:u w:val="none" w:color="auto"/>
                <w:lang w:eastAsia="zh-CN"/>
              </w:rPr>
              <w:t>无需</w:t>
            </w:r>
            <w:r>
              <w:rPr>
                <w:color w:val="auto"/>
                <w:sz w:val="24"/>
                <w:szCs w:val="24"/>
                <w:u w:val="none" w:color="auto"/>
              </w:rPr>
              <w:t>申请</w:t>
            </w:r>
            <w:r>
              <w:rPr>
                <w:rFonts w:hint="eastAsia"/>
                <w:color w:val="auto"/>
                <w:sz w:val="24"/>
                <w:szCs w:val="24"/>
                <w:u w:val="none" w:color="auto"/>
                <w:lang w:eastAsia="zh-CN"/>
              </w:rPr>
              <w:t>水</w:t>
            </w:r>
            <w:r>
              <w:rPr>
                <w:rFonts w:hint="eastAsia"/>
                <w:color w:val="auto"/>
                <w:sz w:val="24"/>
                <w:szCs w:val="24"/>
                <w:u w:val="none" w:color="auto"/>
              </w:rPr>
              <w:t>的</w:t>
            </w:r>
            <w:r>
              <w:rPr>
                <w:color w:val="auto"/>
                <w:sz w:val="24"/>
                <w:szCs w:val="24"/>
                <w:u w:val="none" w:color="auto"/>
              </w:rPr>
              <w:t>总量指标；</w:t>
            </w:r>
            <w:r>
              <w:rPr>
                <w:rFonts w:hint="eastAsia"/>
                <w:color w:val="auto"/>
                <w:sz w:val="24"/>
                <w:szCs w:val="24"/>
                <w:u w:val="none" w:color="auto"/>
              </w:rPr>
              <w:t>本项目废气排放为</w:t>
            </w:r>
            <w:r>
              <w:rPr>
                <w:rFonts w:hint="eastAsia"/>
                <w:color w:val="auto"/>
                <w:sz w:val="24"/>
                <w:szCs w:val="24"/>
                <w:u w:val="none" w:color="auto"/>
                <w:lang w:eastAsia="zh-CN"/>
              </w:rPr>
              <w:t>非甲烷总烃</w:t>
            </w:r>
            <w:r>
              <w:rPr>
                <w:rFonts w:hint="eastAsia"/>
                <w:color w:val="auto"/>
                <w:sz w:val="24"/>
                <w:szCs w:val="24"/>
                <w:u w:val="none" w:color="auto"/>
              </w:rPr>
              <w:t>，建议本项目对VOCs</w:t>
            </w:r>
            <w:r>
              <w:rPr>
                <w:rFonts w:hint="eastAsia"/>
                <w:color w:val="auto"/>
                <w:sz w:val="24"/>
                <w:szCs w:val="24"/>
                <w:u w:val="none" w:color="auto"/>
                <w:lang w:eastAsia="zh-CN"/>
              </w:rPr>
              <w:t>（以非甲烷总烃计）</w:t>
            </w:r>
            <w:r>
              <w:rPr>
                <w:rFonts w:hint="eastAsia"/>
                <w:color w:val="auto"/>
                <w:sz w:val="24"/>
                <w:szCs w:val="24"/>
                <w:u w:val="none" w:color="auto"/>
              </w:rPr>
              <w:t>申请总量控制指标</w:t>
            </w:r>
            <w:r>
              <w:rPr>
                <w:rFonts w:hint="eastAsia"/>
                <w:color w:val="auto"/>
                <w:sz w:val="24"/>
                <w:szCs w:val="24"/>
                <w:u w:val="none" w:color="auto"/>
                <w:lang w:eastAsia="zh-CN"/>
              </w:rPr>
              <w:t>。</w:t>
            </w:r>
          </w:p>
          <w:p>
            <w:pPr>
              <w:pStyle w:val="174"/>
              <w:spacing w:line="360" w:lineRule="auto"/>
              <w:ind w:firstLine="480"/>
              <w:jc w:val="center"/>
              <w:rPr>
                <w:rFonts w:hint="default"/>
                <w:color w:val="auto"/>
                <w:sz w:val="24"/>
                <w:szCs w:val="24"/>
                <w:u w:val="none" w:color="auto"/>
                <w:lang w:val="en-US" w:eastAsia="zh-CN"/>
              </w:rPr>
            </w:pPr>
            <w:r>
              <w:rPr>
                <w:rFonts w:hint="eastAsia"/>
                <w:color w:val="auto"/>
                <w:sz w:val="24"/>
                <w:szCs w:val="24"/>
                <w:u w:val="none" w:color="auto"/>
                <w:lang w:eastAsia="zh-CN"/>
              </w:rPr>
              <w:t>表</w:t>
            </w:r>
            <w:r>
              <w:rPr>
                <w:rFonts w:hint="eastAsia"/>
                <w:color w:val="auto"/>
                <w:sz w:val="24"/>
                <w:szCs w:val="24"/>
                <w:u w:val="none" w:color="auto"/>
                <w:lang w:val="en-US" w:eastAsia="zh-CN"/>
              </w:rPr>
              <w:t>7-20 项目总量控制指标</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979"/>
              <w:gridCol w:w="33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93" w:type="pct"/>
                  <w:noWrap w:val="0"/>
                  <w:vAlign w:val="center"/>
                </w:tcPr>
                <w:p>
                  <w:pPr>
                    <w:pStyle w:val="186"/>
                    <w:spacing w:line="360" w:lineRule="auto"/>
                    <w:rPr>
                      <w:color w:val="auto"/>
                      <w:kern w:val="2"/>
                      <w:sz w:val="24"/>
                      <w:szCs w:val="24"/>
                      <w:u w:val="none" w:color="auto"/>
                      <w:lang w:val="en-US" w:eastAsia="zh-CN"/>
                    </w:rPr>
                  </w:pPr>
                  <w:r>
                    <w:rPr>
                      <w:color w:val="auto"/>
                      <w:kern w:val="2"/>
                      <w:sz w:val="24"/>
                      <w:szCs w:val="24"/>
                      <w:u w:val="none" w:color="auto"/>
                      <w:lang w:val="en-US" w:eastAsia="zh-CN"/>
                    </w:rPr>
                    <w:t>污染物</w:t>
                  </w:r>
                </w:p>
              </w:tc>
              <w:tc>
                <w:tcPr>
                  <w:tcW w:w="1651" w:type="pct"/>
                  <w:noWrap w:val="0"/>
                  <w:vAlign w:val="center"/>
                </w:tcPr>
                <w:p>
                  <w:pPr>
                    <w:pStyle w:val="186"/>
                    <w:spacing w:line="360" w:lineRule="auto"/>
                    <w:rPr>
                      <w:color w:val="auto"/>
                      <w:kern w:val="2"/>
                      <w:sz w:val="24"/>
                      <w:szCs w:val="24"/>
                      <w:u w:val="none" w:color="auto"/>
                      <w:lang w:val="en-US" w:eastAsia="zh-CN"/>
                    </w:rPr>
                  </w:pPr>
                  <w:r>
                    <w:rPr>
                      <w:color w:val="auto"/>
                      <w:kern w:val="2"/>
                      <w:sz w:val="24"/>
                      <w:szCs w:val="24"/>
                      <w:u w:val="none" w:color="auto"/>
                      <w:lang w:val="en-US" w:eastAsia="zh-CN"/>
                    </w:rPr>
                    <w:t>本项目排放量（t/a）</w:t>
                  </w:r>
                </w:p>
              </w:tc>
              <w:tc>
                <w:tcPr>
                  <w:tcW w:w="1854" w:type="pct"/>
                  <w:noWrap w:val="0"/>
                  <w:vAlign w:val="center"/>
                </w:tcPr>
                <w:p>
                  <w:pPr>
                    <w:pStyle w:val="186"/>
                    <w:spacing w:line="360" w:lineRule="auto"/>
                    <w:rPr>
                      <w:color w:val="auto"/>
                      <w:kern w:val="2"/>
                      <w:sz w:val="24"/>
                      <w:szCs w:val="24"/>
                      <w:u w:val="none" w:color="auto"/>
                      <w:lang w:val="en-US" w:eastAsia="zh-CN"/>
                    </w:rPr>
                  </w:pPr>
                  <w:r>
                    <w:rPr>
                      <w:color w:val="auto"/>
                      <w:kern w:val="2"/>
                      <w:sz w:val="24"/>
                      <w:szCs w:val="24"/>
                      <w:u w:val="none" w:color="auto"/>
                      <w:lang w:val="en-US" w:eastAsia="zh-CN"/>
                    </w:rPr>
                    <w:t>总量控制指标建议（t/a）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493" w:type="pct"/>
                  <w:noWrap w:val="0"/>
                  <w:vAlign w:val="center"/>
                </w:tcPr>
                <w:p>
                  <w:pPr>
                    <w:pStyle w:val="186"/>
                    <w:spacing w:line="360" w:lineRule="auto"/>
                    <w:rPr>
                      <w:rFonts w:hint="eastAsia"/>
                      <w:color w:val="auto"/>
                      <w:kern w:val="2"/>
                      <w:sz w:val="24"/>
                      <w:szCs w:val="24"/>
                      <w:u w:val="none" w:color="auto"/>
                      <w:vertAlign w:val="baseline"/>
                      <w:lang w:val="en-US" w:eastAsia="zh-CN"/>
                    </w:rPr>
                  </w:pPr>
                  <w:r>
                    <w:rPr>
                      <w:rFonts w:hint="eastAsia"/>
                      <w:color w:val="auto"/>
                      <w:kern w:val="2"/>
                      <w:sz w:val="24"/>
                      <w:szCs w:val="24"/>
                      <w:u w:val="none" w:color="auto"/>
                      <w:vertAlign w:val="baseline"/>
                      <w:lang w:val="en-US" w:eastAsia="zh-CN"/>
                    </w:rPr>
                    <w:t>VOCs（以非甲烷总烃计）</w:t>
                  </w:r>
                </w:p>
              </w:tc>
              <w:tc>
                <w:tcPr>
                  <w:tcW w:w="1651" w:type="pct"/>
                  <w:noWrap w:val="0"/>
                  <w:vAlign w:val="center"/>
                </w:tcPr>
                <w:p>
                  <w:pPr>
                    <w:pStyle w:val="186"/>
                    <w:spacing w:line="360" w:lineRule="auto"/>
                    <w:rPr>
                      <w:rFonts w:hint="default"/>
                      <w:color w:val="auto"/>
                      <w:kern w:val="2"/>
                      <w:sz w:val="24"/>
                      <w:szCs w:val="24"/>
                      <w:u w:val="none" w:color="auto"/>
                      <w:lang w:val="en-US" w:eastAsia="zh-CN"/>
                    </w:rPr>
                  </w:pPr>
                  <w:r>
                    <w:rPr>
                      <w:rFonts w:hint="eastAsia"/>
                      <w:color w:val="auto"/>
                      <w:kern w:val="2"/>
                      <w:sz w:val="24"/>
                      <w:szCs w:val="24"/>
                      <w:u w:val="none" w:color="auto"/>
                      <w:lang w:val="en-US" w:eastAsia="zh-CN"/>
                    </w:rPr>
                    <w:t>0.0025</w:t>
                  </w:r>
                </w:p>
              </w:tc>
              <w:tc>
                <w:tcPr>
                  <w:tcW w:w="1854" w:type="pct"/>
                  <w:noWrap w:val="0"/>
                  <w:vAlign w:val="center"/>
                </w:tcPr>
                <w:p>
                  <w:pPr>
                    <w:pStyle w:val="186"/>
                    <w:spacing w:line="360" w:lineRule="auto"/>
                    <w:rPr>
                      <w:rFonts w:hint="default"/>
                      <w:color w:val="auto"/>
                      <w:kern w:val="2"/>
                      <w:sz w:val="24"/>
                      <w:szCs w:val="24"/>
                      <w:u w:val="none" w:color="auto"/>
                      <w:lang w:val="en-US" w:eastAsia="zh-CN"/>
                    </w:rPr>
                  </w:pPr>
                  <w:r>
                    <w:rPr>
                      <w:rFonts w:hint="eastAsia"/>
                      <w:color w:val="auto"/>
                      <w:kern w:val="2"/>
                      <w:sz w:val="24"/>
                      <w:szCs w:val="24"/>
                      <w:u w:val="none" w:color="auto"/>
                      <w:lang w:val="en-US" w:eastAsia="zh-CN"/>
                    </w:rPr>
                    <w:t>0.1</w:t>
                  </w:r>
                </w:p>
              </w:tc>
            </w:tr>
          </w:tbl>
          <w:p>
            <w:pPr>
              <w:tabs>
                <w:tab w:val="left" w:pos="870"/>
              </w:tabs>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b/>
                <w:color w:val="auto"/>
                <w:sz w:val="24"/>
                <w:szCs w:val="24"/>
                <w:u w:val="none" w:color="auto"/>
              </w:rPr>
              <w:t>1</w:t>
            </w:r>
            <w:r>
              <w:rPr>
                <w:rFonts w:hint="eastAsia" w:cs="Times New Roman"/>
                <w:b/>
                <w:color w:val="auto"/>
                <w:sz w:val="24"/>
                <w:szCs w:val="24"/>
                <w:u w:val="none" w:color="auto"/>
                <w:lang w:val="en-US" w:eastAsia="zh-CN"/>
              </w:rPr>
              <w:t>0</w:t>
            </w:r>
            <w:r>
              <w:rPr>
                <w:rFonts w:hint="default" w:ascii="Times New Roman" w:hAnsi="Times New Roman" w:cs="Times New Roman"/>
                <w:b/>
                <w:color w:val="auto"/>
                <w:sz w:val="24"/>
                <w:szCs w:val="24"/>
                <w:u w:val="none" w:color="auto"/>
              </w:rPr>
              <w:t>、环保投资估算</w:t>
            </w:r>
          </w:p>
          <w:p>
            <w:pPr>
              <w:tabs>
                <w:tab w:val="left" w:pos="870"/>
              </w:tabs>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本项目总投资</w:t>
            </w:r>
            <w:r>
              <w:rPr>
                <w:rFonts w:hint="eastAsia" w:cs="Times New Roman"/>
                <w:color w:val="auto"/>
                <w:sz w:val="24"/>
                <w:szCs w:val="24"/>
                <w:u w:val="none" w:color="auto"/>
                <w:lang w:val="en-US" w:eastAsia="zh-CN"/>
              </w:rPr>
              <w:t>1000万元</w:t>
            </w:r>
            <w:r>
              <w:rPr>
                <w:rFonts w:hint="default" w:ascii="Times New Roman" w:hAnsi="Times New Roman" w:cs="Times New Roman"/>
                <w:color w:val="auto"/>
                <w:sz w:val="24"/>
                <w:szCs w:val="24"/>
                <w:u w:val="none" w:color="auto"/>
              </w:rPr>
              <w:t>，其中环保投资</w:t>
            </w:r>
            <w:r>
              <w:rPr>
                <w:rFonts w:hint="eastAsia" w:cs="Times New Roman"/>
                <w:color w:val="auto"/>
                <w:sz w:val="24"/>
                <w:szCs w:val="24"/>
                <w:u w:val="none" w:color="auto"/>
                <w:lang w:val="en-US" w:eastAsia="zh-CN"/>
              </w:rPr>
              <w:t>26</w:t>
            </w:r>
            <w:r>
              <w:rPr>
                <w:rFonts w:hint="default" w:ascii="Times New Roman" w:hAnsi="Times New Roman" w:cs="Times New Roman"/>
                <w:color w:val="auto"/>
                <w:sz w:val="24"/>
                <w:szCs w:val="24"/>
                <w:u w:val="none" w:color="auto"/>
              </w:rPr>
              <w:t>万元，</w:t>
            </w:r>
            <w:r>
              <w:rPr>
                <w:rFonts w:hint="default" w:ascii="Times New Roman" w:hAnsi="Times New Roman" w:cs="Times New Roman"/>
                <w:bCs/>
                <w:color w:val="auto"/>
                <w:sz w:val="24"/>
                <w:szCs w:val="24"/>
                <w:u w:val="none" w:color="auto"/>
              </w:rPr>
              <w:t>环保投资占总投资比例的</w:t>
            </w:r>
            <w:r>
              <w:rPr>
                <w:rFonts w:hint="eastAsia" w:cs="Times New Roman"/>
                <w:bCs/>
                <w:color w:val="auto"/>
                <w:sz w:val="24"/>
                <w:szCs w:val="24"/>
                <w:u w:val="none" w:color="auto"/>
                <w:lang w:val="en-US" w:eastAsia="zh-CN"/>
              </w:rPr>
              <w:t>2.6</w:t>
            </w:r>
            <w:r>
              <w:rPr>
                <w:rFonts w:hint="default" w:ascii="Times New Roman" w:hAnsi="Times New Roman" w:cs="Times New Roman"/>
                <w:bCs/>
                <w:color w:val="auto"/>
                <w:sz w:val="24"/>
                <w:szCs w:val="24"/>
                <w:u w:val="none" w:color="auto"/>
              </w:rPr>
              <w:t>%。</w:t>
            </w:r>
            <w:r>
              <w:rPr>
                <w:rFonts w:hint="default" w:ascii="Times New Roman" w:hAnsi="Times New Roman" w:cs="Times New Roman"/>
                <w:color w:val="auto"/>
                <w:sz w:val="24"/>
                <w:szCs w:val="24"/>
                <w:u w:val="none" w:color="auto"/>
              </w:rPr>
              <w:t>项目环保设施及投资估算详见表7-</w:t>
            </w:r>
            <w:r>
              <w:rPr>
                <w:rFonts w:hint="eastAsia" w:cs="Times New Roman"/>
                <w:color w:val="auto"/>
                <w:sz w:val="24"/>
                <w:szCs w:val="24"/>
                <w:u w:val="none" w:color="auto"/>
                <w:lang w:val="en-US" w:eastAsia="zh-CN"/>
              </w:rPr>
              <w:t>21</w:t>
            </w:r>
            <w:r>
              <w:rPr>
                <w:rFonts w:hint="default" w:ascii="Times New Roman" w:hAnsi="Times New Roman" w:cs="Times New Roman"/>
                <w:color w:val="auto"/>
                <w:sz w:val="24"/>
                <w:szCs w:val="24"/>
                <w:u w:val="none" w:color="auto"/>
              </w:rPr>
              <w:t>。</w:t>
            </w:r>
          </w:p>
          <w:p>
            <w:pPr>
              <w:spacing w:line="360" w:lineRule="auto"/>
              <w:ind w:firstLine="459" w:firstLineChars="197"/>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表7-</w:t>
            </w:r>
            <w:r>
              <w:rPr>
                <w:rFonts w:hint="eastAsia" w:cs="Times New Roman"/>
                <w:b/>
                <w:color w:val="auto"/>
                <w:sz w:val="24"/>
                <w:szCs w:val="24"/>
                <w:u w:val="none" w:color="auto"/>
                <w:lang w:val="en-US" w:eastAsia="zh-CN"/>
              </w:rPr>
              <w:t>21</w:t>
            </w:r>
            <w:r>
              <w:rPr>
                <w:rFonts w:hint="default" w:ascii="Times New Roman" w:hAnsi="Times New Roman" w:cs="Times New Roman"/>
                <w:b/>
                <w:color w:val="auto"/>
                <w:sz w:val="24"/>
                <w:szCs w:val="24"/>
                <w:u w:val="none" w:color="auto"/>
              </w:rPr>
              <w:t xml:space="preserve">  环保投资估算表</w:t>
            </w:r>
          </w:p>
          <w:tbl>
            <w:tblPr>
              <w:tblStyle w:val="40"/>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36"/>
              <w:gridCol w:w="1537"/>
              <w:gridCol w:w="4299"/>
              <w:gridCol w:w="227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517"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序号</w:t>
                  </w:r>
                </w:p>
              </w:tc>
              <w:tc>
                <w:tcPr>
                  <w:tcW w:w="849"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污染源</w:t>
                  </w:r>
                </w:p>
              </w:tc>
              <w:tc>
                <w:tcPr>
                  <w:tcW w:w="2375"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建设内容</w:t>
                  </w:r>
                </w:p>
              </w:tc>
              <w:tc>
                <w:tcPr>
                  <w:tcW w:w="1257"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eastAsia="zh-CN"/>
                    </w:rPr>
                    <w:t>现有</w:t>
                  </w:r>
                  <w:r>
                    <w:rPr>
                      <w:rFonts w:hint="default" w:ascii="Times New Roman" w:hAnsi="Times New Roman" w:cs="Times New Roman"/>
                      <w:color w:val="auto"/>
                      <w:sz w:val="22"/>
                      <w:szCs w:val="22"/>
                      <w:u w:val="none" w:color="auto"/>
                    </w:rPr>
                    <w:t>投资金额（万元）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17" w:type="pct"/>
                  <w:vMerge w:val="restar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1</w:t>
                  </w:r>
                </w:p>
              </w:tc>
              <w:tc>
                <w:tcPr>
                  <w:tcW w:w="849" w:type="pct"/>
                  <w:tcBorders>
                    <w:bottom w:val="single" w:color="000000" w:sz="4" w:space="0"/>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生活污水</w:t>
                  </w:r>
                </w:p>
              </w:tc>
              <w:tc>
                <w:tcPr>
                  <w:tcW w:w="2375" w:type="pct"/>
                  <w:tcBorders>
                    <w:bottom w:val="single" w:color="000000" w:sz="4" w:space="0"/>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依托现有</w:t>
                  </w:r>
                  <w:r>
                    <w:rPr>
                      <w:rFonts w:hint="default" w:ascii="Times New Roman" w:hAnsi="Times New Roman" w:cs="Times New Roman"/>
                      <w:color w:val="auto"/>
                      <w:sz w:val="22"/>
                      <w:szCs w:val="22"/>
                      <w:u w:val="none" w:color="auto"/>
                    </w:rPr>
                    <w:t>化粪池</w:t>
                  </w:r>
                  <w:r>
                    <w:rPr>
                      <w:rFonts w:hint="eastAsia" w:cs="Times New Roman"/>
                      <w:color w:val="auto"/>
                      <w:sz w:val="22"/>
                      <w:szCs w:val="22"/>
                      <w:u w:val="none" w:color="auto"/>
                      <w:lang w:eastAsia="zh-CN"/>
                    </w:rPr>
                    <w:t>及自建的污水处理站</w:t>
                  </w:r>
                </w:p>
              </w:tc>
              <w:tc>
                <w:tcPr>
                  <w:tcW w:w="1257" w:type="pct"/>
                  <w:tcBorders>
                    <w:bottom w:val="single" w:color="000000" w:sz="4" w:space="0"/>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0（依托现有设施）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517" w:type="pct"/>
                  <w:vMerge w:val="continue"/>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849" w:type="pct"/>
                  <w:tcBorders>
                    <w:top w:val="single" w:color="000000" w:sz="4" w:space="0"/>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冷却水</w:t>
                  </w:r>
                </w:p>
              </w:tc>
              <w:tc>
                <w:tcPr>
                  <w:tcW w:w="2375" w:type="pct"/>
                  <w:tcBorders>
                    <w:top w:val="single" w:color="000000" w:sz="4" w:space="0"/>
                  </w:tcBorders>
                  <w:noWrap w:val="0"/>
                  <w:vAlign w:val="center"/>
                </w:tcPr>
                <w:p>
                  <w:pPr>
                    <w:spacing w:line="360" w:lineRule="auto"/>
                    <w:jc w:val="center"/>
                    <w:rPr>
                      <w:rFonts w:hint="eastAsia" w:cs="Times New Roman"/>
                      <w:color w:val="auto"/>
                      <w:sz w:val="22"/>
                      <w:szCs w:val="22"/>
                      <w:u w:val="none" w:color="auto"/>
                      <w:lang w:eastAsia="zh-CN"/>
                    </w:rPr>
                  </w:pPr>
                  <w:r>
                    <w:rPr>
                      <w:rFonts w:hint="eastAsia" w:cs="Times New Roman"/>
                      <w:color w:val="auto"/>
                      <w:sz w:val="22"/>
                      <w:szCs w:val="22"/>
                      <w:u w:val="none" w:color="auto"/>
                      <w:lang w:eastAsia="zh-CN"/>
                    </w:rPr>
                    <w:t>循环水池</w:t>
                  </w:r>
                </w:p>
              </w:tc>
              <w:tc>
                <w:tcPr>
                  <w:tcW w:w="1257" w:type="pct"/>
                  <w:tcBorders>
                    <w:top w:val="single" w:color="000000" w:sz="4" w:space="0"/>
                  </w:tcBorders>
                  <w:noWrap w:val="0"/>
                  <w:vAlign w:val="center"/>
                </w:tcPr>
                <w:p>
                  <w:pPr>
                    <w:spacing w:line="360" w:lineRule="auto"/>
                    <w:jc w:val="center"/>
                    <w:rPr>
                      <w:rFonts w:hint="default" w:cs="Times New Roman"/>
                      <w:color w:val="auto"/>
                      <w:sz w:val="22"/>
                      <w:szCs w:val="22"/>
                      <w:u w:val="none" w:color="auto"/>
                      <w:lang w:val="en-US" w:eastAsia="zh-CN"/>
                    </w:rPr>
                  </w:pPr>
                  <w:r>
                    <w:rPr>
                      <w:rFonts w:hint="eastAsia" w:cs="Times New Roman"/>
                      <w:color w:val="auto"/>
                      <w:sz w:val="22"/>
                      <w:szCs w:val="22"/>
                      <w:u w:val="none" w:color="auto"/>
                      <w:lang w:val="en-US"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7"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2</w:t>
                  </w:r>
                </w:p>
              </w:tc>
              <w:tc>
                <w:tcPr>
                  <w:tcW w:w="849"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废气</w:t>
                  </w:r>
                </w:p>
              </w:tc>
              <w:tc>
                <w:tcPr>
                  <w:tcW w:w="2375" w:type="pct"/>
                  <w:noWrap w:val="0"/>
                  <w:vAlign w:val="center"/>
                </w:tcPr>
                <w:p>
                  <w:pPr>
                    <w:spacing w:line="360" w:lineRule="auto"/>
                    <w:jc w:val="center"/>
                    <w:rPr>
                      <w:rFonts w:hint="eastAsia" w:cs="Times New Roman"/>
                      <w:color w:val="auto"/>
                      <w:sz w:val="22"/>
                      <w:szCs w:val="22"/>
                      <w:u w:val="none" w:color="auto"/>
                      <w:lang w:val="en-US" w:eastAsia="zh-CN"/>
                    </w:rPr>
                  </w:pPr>
                  <w:r>
                    <w:rPr>
                      <w:rFonts w:hint="eastAsia" w:cs="Times New Roman"/>
                      <w:color w:val="auto"/>
                      <w:sz w:val="22"/>
                      <w:szCs w:val="22"/>
                      <w:u w:val="none" w:color="auto"/>
                      <w:lang w:val="en-US" w:eastAsia="zh-CN"/>
                    </w:rPr>
                    <w:t>模压成型废气：经集气罩+活性炭吸附设施</w:t>
                  </w:r>
                  <w:r>
                    <w:rPr>
                      <w:rFonts w:hint="eastAsia" w:ascii="Times New Roman" w:hAnsi="Times New Roman" w:cs="Times New Roman"/>
                      <w:color w:val="auto"/>
                      <w:sz w:val="22"/>
                      <w:szCs w:val="22"/>
                      <w:u w:val="none" w:color="auto"/>
                      <w:lang w:val="en-US" w:eastAsia="zh-CN"/>
                    </w:rPr>
                    <w:t>+</w:t>
                  </w:r>
                  <w:r>
                    <w:rPr>
                      <w:rFonts w:hint="eastAsia" w:cs="Times New Roman"/>
                      <w:color w:val="auto"/>
                      <w:sz w:val="22"/>
                      <w:szCs w:val="22"/>
                      <w:u w:val="none" w:color="auto"/>
                      <w:lang w:val="en-US" w:eastAsia="zh-CN"/>
                    </w:rPr>
                    <w:t>24</w:t>
                  </w:r>
                  <w:r>
                    <w:rPr>
                      <w:rFonts w:hint="eastAsia" w:ascii="Times New Roman" w:hAnsi="Times New Roman" w:cs="Times New Roman"/>
                      <w:color w:val="auto"/>
                      <w:sz w:val="22"/>
                      <w:szCs w:val="22"/>
                      <w:u w:val="none" w:color="auto"/>
                      <w:lang w:val="en-US" w:eastAsia="zh-CN"/>
                    </w:rPr>
                    <w:t>m高排气筒处理后高空排放</w:t>
                  </w:r>
                </w:p>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排风扇</w:t>
                  </w:r>
                </w:p>
              </w:tc>
              <w:tc>
                <w:tcPr>
                  <w:tcW w:w="1257" w:type="pct"/>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7"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3</w:t>
                  </w:r>
                </w:p>
              </w:tc>
              <w:tc>
                <w:tcPr>
                  <w:tcW w:w="849"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噪声</w:t>
                  </w:r>
                </w:p>
              </w:tc>
              <w:tc>
                <w:tcPr>
                  <w:tcW w:w="2375"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减振降噪措施</w:t>
                  </w:r>
                </w:p>
              </w:tc>
              <w:tc>
                <w:tcPr>
                  <w:tcW w:w="1257" w:type="pct"/>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7"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4</w:t>
                  </w:r>
                </w:p>
              </w:tc>
              <w:tc>
                <w:tcPr>
                  <w:tcW w:w="849"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生活垃圾</w:t>
                  </w:r>
                </w:p>
              </w:tc>
              <w:tc>
                <w:tcPr>
                  <w:tcW w:w="2375"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垃圾桶等环卫设施</w:t>
                  </w:r>
                </w:p>
              </w:tc>
              <w:tc>
                <w:tcPr>
                  <w:tcW w:w="1257" w:type="pct"/>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lang w:val="en-US" w:eastAsia="zh-CN"/>
                    </w:rPr>
                    <w:t>0.5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7"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5</w:t>
                  </w:r>
                </w:p>
              </w:tc>
              <w:tc>
                <w:tcPr>
                  <w:tcW w:w="849"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lang w:eastAsia="zh-CN"/>
                    </w:rPr>
                    <w:t>固废</w:t>
                  </w:r>
                </w:p>
              </w:tc>
              <w:tc>
                <w:tcPr>
                  <w:tcW w:w="2375" w:type="pct"/>
                  <w:noWrap w:val="0"/>
                  <w:vAlign w:val="center"/>
                </w:tcPr>
                <w:p>
                  <w:pPr>
                    <w:spacing w:line="360" w:lineRule="auto"/>
                    <w:jc w:val="center"/>
                    <w:rPr>
                      <w:rFonts w:hint="default" w:ascii="Times New Roman" w:hAnsi="Times New Roman" w:eastAsia="宋体"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固废堆</w:t>
                  </w:r>
                  <w:r>
                    <w:rPr>
                      <w:rFonts w:hint="default" w:ascii="Times New Roman" w:hAnsi="Times New Roman" w:cs="Times New Roman"/>
                      <w:color w:val="auto"/>
                      <w:sz w:val="22"/>
                      <w:szCs w:val="22"/>
                      <w:u w:val="none" w:color="auto"/>
                    </w:rPr>
                    <w:t>场</w:t>
                  </w:r>
                  <w:r>
                    <w:rPr>
                      <w:rFonts w:hint="default" w:ascii="Times New Roman" w:hAnsi="Times New Roman" w:cs="Times New Roman"/>
                      <w:color w:val="auto"/>
                      <w:sz w:val="22"/>
                      <w:szCs w:val="22"/>
                      <w:u w:val="none" w:color="auto"/>
                      <w:lang w:eastAsia="zh-CN"/>
                    </w:rPr>
                    <w:t>、危险废物储存间</w:t>
                  </w:r>
                </w:p>
              </w:tc>
              <w:tc>
                <w:tcPr>
                  <w:tcW w:w="1257" w:type="pct"/>
                  <w:noWrap w:val="0"/>
                  <w:vAlign w:val="center"/>
                </w:tcPr>
                <w:p>
                  <w:pPr>
                    <w:spacing w:line="360" w:lineRule="auto"/>
                    <w:jc w:val="center"/>
                    <w:rPr>
                      <w:rFonts w:hint="default" w:ascii="Times New Roman" w:hAnsi="Times New Roman" w:cs="Times New Roman"/>
                      <w:color w:val="auto"/>
                      <w:sz w:val="22"/>
                      <w:szCs w:val="22"/>
                      <w:u w:val="none" w:color="auto"/>
                      <w:lang w:val="en-US"/>
                    </w:rPr>
                  </w:pPr>
                  <w:r>
                    <w:rPr>
                      <w:rFonts w:hint="eastAsia" w:cs="Times New Roman"/>
                      <w:color w:val="auto"/>
                      <w:sz w:val="22"/>
                      <w:szCs w:val="22"/>
                      <w:u w:val="none" w:color="auto"/>
                      <w:lang w:val="en-US" w:eastAsia="zh-CN"/>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17" w:type="pct"/>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val="en-US" w:eastAsia="zh-CN"/>
                    </w:rPr>
                    <w:t>6</w:t>
                  </w:r>
                </w:p>
              </w:tc>
              <w:tc>
                <w:tcPr>
                  <w:tcW w:w="849"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合计</w:t>
                  </w:r>
                </w:p>
              </w:tc>
              <w:tc>
                <w:tcPr>
                  <w:tcW w:w="2375" w:type="pct"/>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w:t>
                  </w:r>
                </w:p>
              </w:tc>
              <w:tc>
                <w:tcPr>
                  <w:tcW w:w="1257" w:type="pct"/>
                  <w:tcBorders>
                    <w:right w:val="single" w:color="auto" w:sz="4" w:space="0"/>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26</w:t>
                  </w:r>
                </w:p>
              </w:tc>
            </w:tr>
          </w:tbl>
          <w:p>
            <w:pPr>
              <w:spacing w:line="360" w:lineRule="auto"/>
              <w:ind w:firstLine="466" w:firstLineChars="200"/>
              <w:textAlignment w:val="baseline"/>
              <w:rPr>
                <w:rFonts w:hint="default" w:ascii="Times New Roman" w:hAnsi="Times New Roman" w:cs="Times New Roman"/>
                <w:b/>
                <w:color w:val="auto"/>
                <w:sz w:val="24"/>
                <w:szCs w:val="24"/>
                <w:u w:val="none" w:color="auto"/>
              </w:rPr>
            </w:pPr>
            <w:r>
              <w:rPr>
                <w:rFonts w:hint="default" w:ascii="Times New Roman" w:hAnsi="Times New Roman" w:cs="Times New Roman"/>
                <w:color w:val="auto"/>
                <w:sz w:val="24"/>
                <w:szCs w:val="24"/>
                <w:u w:val="none" w:color="auto"/>
              </w:rPr>
              <w:t>从工程分析结论可知，只有保障上述这部分环保投资落到实处，才能使污染物达标排放。</w:t>
            </w:r>
          </w:p>
          <w:p>
            <w:pPr>
              <w:spacing w:line="360" w:lineRule="auto"/>
              <w:ind w:firstLine="482" w:firstLineChars="207"/>
              <w:textAlignment w:val="baseline"/>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1</w:t>
            </w:r>
            <w:r>
              <w:rPr>
                <w:rFonts w:hint="eastAsia" w:cs="Times New Roman"/>
                <w:b/>
                <w:color w:val="auto"/>
                <w:sz w:val="24"/>
                <w:szCs w:val="24"/>
                <w:u w:val="none" w:color="auto"/>
                <w:lang w:val="en-US" w:eastAsia="zh-CN"/>
              </w:rPr>
              <w:t>1</w:t>
            </w:r>
            <w:r>
              <w:rPr>
                <w:rFonts w:hint="default" w:ascii="Times New Roman" w:hAnsi="Times New Roman" w:cs="Times New Roman"/>
                <w:b/>
                <w:color w:val="auto"/>
                <w:sz w:val="24"/>
                <w:szCs w:val="24"/>
                <w:u w:val="none" w:color="auto"/>
              </w:rPr>
              <w:t>、项目环保竣工验收计划</w:t>
            </w:r>
          </w:p>
          <w:p>
            <w:pPr>
              <w:spacing w:line="360" w:lineRule="auto"/>
              <w:ind w:firstLine="466" w:firstLineChars="20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本工程环保竣工验收计划内容，具体见表7-</w:t>
            </w:r>
            <w:r>
              <w:rPr>
                <w:rFonts w:hint="eastAsia" w:cs="Times New Roman"/>
                <w:color w:val="auto"/>
                <w:sz w:val="24"/>
                <w:szCs w:val="24"/>
                <w:u w:val="none" w:color="auto"/>
                <w:lang w:val="en-US" w:eastAsia="zh-CN"/>
              </w:rPr>
              <w:t>22</w:t>
            </w:r>
            <w:r>
              <w:rPr>
                <w:rFonts w:hint="default" w:ascii="Times New Roman" w:hAnsi="Times New Roman" w:cs="Times New Roman"/>
                <w:color w:val="auto"/>
                <w:sz w:val="24"/>
                <w:szCs w:val="24"/>
                <w:u w:val="none" w:color="auto"/>
              </w:rPr>
              <w:t>。</w:t>
            </w:r>
          </w:p>
          <w:p>
            <w:pPr>
              <w:spacing w:before="156" w:beforeLines="50" w:line="360" w:lineRule="auto"/>
              <w:ind w:firstLine="583" w:firstLineChars="250"/>
              <w:jc w:val="center"/>
              <w:rPr>
                <w:rFonts w:hint="default" w:ascii="Times New Roman" w:hAnsi="Times New Roman" w:cs="Times New Roman"/>
                <w:b/>
                <w:color w:val="auto"/>
                <w:sz w:val="24"/>
                <w:szCs w:val="24"/>
                <w:u w:val="none" w:color="auto"/>
              </w:rPr>
            </w:pPr>
            <w:r>
              <w:rPr>
                <w:rFonts w:hint="default" w:ascii="Times New Roman" w:hAnsi="Times New Roman" w:cs="Times New Roman"/>
                <w:b/>
                <w:color w:val="auto"/>
                <w:sz w:val="24"/>
                <w:szCs w:val="24"/>
                <w:u w:val="none" w:color="auto"/>
              </w:rPr>
              <w:t>表7-</w:t>
            </w:r>
            <w:r>
              <w:rPr>
                <w:rFonts w:hint="eastAsia" w:cs="Times New Roman"/>
                <w:b/>
                <w:color w:val="auto"/>
                <w:sz w:val="24"/>
                <w:szCs w:val="24"/>
                <w:u w:val="none" w:color="auto"/>
                <w:lang w:val="en-US" w:eastAsia="zh-CN"/>
              </w:rPr>
              <w:t>22</w:t>
            </w:r>
            <w:r>
              <w:rPr>
                <w:rFonts w:hint="default" w:ascii="Times New Roman" w:hAnsi="Times New Roman" w:cs="Times New Roman"/>
                <w:b/>
                <w:color w:val="auto"/>
                <w:sz w:val="24"/>
                <w:szCs w:val="24"/>
                <w:u w:val="none" w:color="auto"/>
              </w:rPr>
              <w:t xml:space="preserve"> 本项目环保竣工验收内容一览表</w:t>
            </w:r>
          </w:p>
          <w:tbl>
            <w:tblPr>
              <w:tblStyle w:val="40"/>
              <w:tblW w:w="90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354"/>
              <w:gridCol w:w="2896"/>
              <w:gridCol w:w="1530"/>
              <w:gridCol w:w="25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02"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none" w:color="auto"/>
                    </w:rPr>
                  </w:pPr>
                  <w:r>
                    <w:rPr>
                      <w:rFonts w:hint="default" w:ascii="Times New Roman" w:hAnsi="Times New Roman" w:cs="Times New Roman"/>
                      <w:b/>
                      <w:color w:val="auto"/>
                      <w:sz w:val="22"/>
                      <w:szCs w:val="22"/>
                      <w:u w:val="none" w:color="auto"/>
                    </w:rPr>
                    <w:t>污染源</w:t>
                  </w:r>
                </w:p>
              </w:tc>
              <w:tc>
                <w:tcPr>
                  <w:tcW w:w="1354"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none" w:color="auto"/>
                    </w:rPr>
                  </w:pPr>
                  <w:r>
                    <w:rPr>
                      <w:rFonts w:hint="default" w:ascii="Times New Roman" w:hAnsi="Times New Roman" w:cs="Times New Roman"/>
                      <w:b/>
                      <w:color w:val="auto"/>
                      <w:sz w:val="22"/>
                      <w:szCs w:val="22"/>
                      <w:u w:val="none" w:color="auto"/>
                    </w:rPr>
                    <w:t>污染物名称</w:t>
                  </w:r>
                </w:p>
              </w:tc>
              <w:tc>
                <w:tcPr>
                  <w:tcW w:w="2896"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none" w:color="auto"/>
                    </w:rPr>
                  </w:pPr>
                  <w:r>
                    <w:rPr>
                      <w:rFonts w:hint="default" w:ascii="Times New Roman" w:hAnsi="Times New Roman" w:cs="Times New Roman"/>
                      <w:b/>
                      <w:color w:val="auto"/>
                      <w:sz w:val="22"/>
                      <w:szCs w:val="22"/>
                      <w:u w:val="none" w:color="auto"/>
                    </w:rPr>
                    <w:t>防治措施与工艺</w:t>
                  </w:r>
                </w:p>
              </w:tc>
              <w:tc>
                <w:tcPr>
                  <w:tcW w:w="1530"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none" w:color="auto"/>
                    </w:rPr>
                  </w:pPr>
                  <w:r>
                    <w:rPr>
                      <w:rFonts w:hint="default" w:ascii="Times New Roman" w:hAnsi="Times New Roman" w:cs="Times New Roman"/>
                      <w:b/>
                      <w:color w:val="auto"/>
                      <w:sz w:val="22"/>
                      <w:szCs w:val="22"/>
                      <w:u w:val="none" w:color="auto"/>
                    </w:rPr>
                    <w:t>三同时竣</w:t>
                  </w:r>
                </w:p>
                <w:p>
                  <w:pPr>
                    <w:spacing w:line="360" w:lineRule="auto"/>
                    <w:jc w:val="center"/>
                    <w:rPr>
                      <w:rFonts w:hint="default" w:ascii="Times New Roman" w:hAnsi="Times New Roman" w:cs="Times New Roman"/>
                      <w:b/>
                      <w:color w:val="auto"/>
                      <w:sz w:val="22"/>
                      <w:szCs w:val="22"/>
                      <w:u w:val="none" w:color="auto"/>
                    </w:rPr>
                  </w:pPr>
                  <w:r>
                    <w:rPr>
                      <w:rFonts w:hint="default" w:ascii="Times New Roman" w:hAnsi="Times New Roman" w:cs="Times New Roman"/>
                      <w:b/>
                      <w:color w:val="auto"/>
                      <w:sz w:val="22"/>
                      <w:szCs w:val="22"/>
                      <w:u w:val="none" w:color="auto"/>
                    </w:rPr>
                    <w:t>工验收</w:t>
                  </w:r>
                </w:p>
              </w:tc>
              <w:tc>
                <w:tcPr>
                  <w:tcW w:w="2590" w:type="dxa"/>
                  <w:tcBorders>
                    <w:tl2br w:val="nil"/>
                    <w:tr2bl w:val="nil"/>
                  </w:tcBorders>
                  <w:noWrap w:val="0"/>
                  <w:vAlign w:val="center"/>
                </w:tcPr>
                <w:p>
                  <w:pPr>
                    <w:spacing w:line="360" w:lineRule="auto"/>
                    <w:jc w:val="center"/>
                    <w:rPr>
                      <w:rFonts w:hint="default" w:ascii="Times New Roman" w:hAnsi="Times New Roman" w:cs="Times New Roman"/>
                      <w:b/>
                      <w:color w:val="auto"/>
                      <w:sz w:val="22"/>
                      <w:szCs w:val="22"/>
                      <w:u w:val="none" w:color="auto"/>
                    </w:rPr>
                  </w:pPr>
                  <w:r>
                    <w:rPr>
                      <w:rFonts w:hint="default" w:ascii="Times New Roman" w:hAnsi="Times New Roman" w:cs="Times New Roman"/>
                      <w:b/>
                      <w:color w:val="auto"/>
                      <w:sz w:val="22"/>
                      <w:szCs w:val="22"/>
                      <w:u w:val="none" w:color="auto"/>
                    </w:rPr>
                    <w:t>预期治理效果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702"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废水</w:t>
                  </w:r>
                </w:p>
              </w:tc>
              <w:tc>
                <w:tcPr>
                  <w:tcW w:w="1354"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生活</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污水</w:t>
                  </w:r>
                </w:p>
              </w:tc>
              <w:tc>
                <w:tcPr>
                  <w:tcW w:w="2896" w:type="dxa"/>
                  <w:tcBorders>
                    <w:bottom w:val="single" w:color="000000" w:sz="4" w:space="0"/>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val="en-US" w:eastAsia="zh-CN"/>
                    </w:rPr>
                  </w:pPr>
                  <w:r>
                    <w:rPr>
                      <w:rFonts w:hint="eastAsia"/>
                      <w:sz w:val="24"/>
                      <w:szCs w:val="24"/>
                      <w:u w:val="none" w:color="auto"/>
                      <w:lang w:val="en-US" w:eastAsia="zh-CN"/>
                    </w:rPr>
                    <w:t>湘阴县第三污水处理厂建成且接通前：</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污水通过化粪池处理后排入园区污水管网再进入</w:t>
                  </w:r>
                  <w:r>
                    <w:rPr>
                      <w:rFonts w:hint="eastAsia"/>
                      <w:sz w:val="24"/>
                      <w:szCs w:val="24"/>
                      <w:u w:val="none" w:color="auto"/>
                      <w:lang w:eastAsia="zh-CN"/>
                    </w:rPr>
                    <w:t>卓达金谷创业园自建的污水处理站</w:t>
                  </w:r>
                  <w:r>
                    <w:rPr>
                      <w:sz w:val="24"/>
                      <w:szCs w:val="24"/>
                      <w:u w:val="none" w:color="auto"/>
                    </w:rPr>
                    <w:t>处理</w:t>
                  </w:r>
                  <w:r>
                    <w:rPr>
                      <w:rFonts w:hAnsi="宋体"/>
                      <w:sz w:val="24"/>
                      <w:szCs w:val="24"/>
                      <w:u w:val="none" w:color="auto"/>
                    </w:rPr>
                    <w:t>达</w:t>
                  </w:r>
                  <w:r>
                    <w:rPr>
                      <w:rFonts w:hint="eastAsia" w:hAnsi="宋体"/>
                      <w:sz w:val="24"/>
                      <w:szCs w:val="24"/>
                      <w:u w:val="none" w:color="auto"/>
                      <w:lang w:eastAsia="zh-CN"/>
                    </w:rPr>
                    <w:t>到</w:t>
                  </w:r>
                  <w:r>
                    <w:rPr>
                      <w:sz w:val="24"/>
                      <w:szCs w:val="24"/>
                      <w:u w:val="none" w:color="auto"/>
                    </w:rPr>
                    <w:t>《城镇污水处理厂污染物排放标准（GB18918—2002）》中一级标准的A类标准后</w:t>
                  </w:r>
                  <w:r>
                    <w:rPr>
                      <w:rFonts w:hint="eastAsia"/>
                      <w:sz w:val="24"/>
                      <w:szCs w:val="24"/>
                      <w:u w:val="none" w:color="auto"/>
                      <w:lang w:eastAsia="zh-CN"/>
                    </w:rPr>
                    <w:t>进入洋沙河</w:t>
                  </w:r>
                  <w:r>
                    <w:rPr>
                      <w:rFonts w:hint="eastAsia"/>
                      <w:sz w:val="24"/>
                      <w:szCs w:val="24"/>
                      <w:u w:val="none" w:color="auto"/>
                      <w:lang w:val="en-US" w:eastAsia="zh-CN"/>
                    </w:rPr>
                    <w:t>排入洋沙湖</w:t>
                  </w:r>
                  <w:r>
                    <w:rPr>
                      <w:sz w:val="24"/>
                      <w:szCs w:val="24"/>
                      <w:u w:val="none" w:color="auto"/>
                    </w:rPr>
                    <w:t>，最终汇入湘江</w:t>
                  </w:r>
                  <w:r>
                    <w:rPr>
                      <w:rFonts w:hint="eastAsia"/>
                      <w:sz w:val="24"/>
                      <w:szCs w:val="24"/>
                      <w:u w:val="none" w:color="auto"/>
                      <w:lang w:eastAsia="zh-CN"/>
                    </w:rPr>
                    <w:t>。</w:t>
                  </w:r>
                </w:p>
              </w:tc>
              <w:tc>
                <w:tcPr>
                  <w:tcW w:w="1530" w:type="dxa"/>
                  <w:tcBorders>
                    <w:bottom w:val="single" w:color="000000" w:sz="4" w:space="0"/>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default" w:ascii="Times New Roman" w:hAnsi="Times New Roman" w:cs="Times New Roman"/>
                      <w:color w:val="auto"/>
                      <w:sz w:val="22"/>
                      <w:szCs w:val="22"/>
                      <w:u w:val="none" w:color="auto"/>
                    </w:rPr>
                    <w:t>化粪池</w:t>
                  </w:r>
                  <w:r>
                    <w:rPr>
                      <w:rFonts w:hint="eastAsia" w:cs="Times New Roman"/>
                      <w:color w:val="auto"/>
                      <w:sz w:val="22"/>
                      <w:szCs w:val="22"/>
                      <w:u w:val="none" w:color="auto"/>
                      <w:lang w:eastAsia="zh-CN"/>
                    </w:rPr>
                    <w:t>、园区自建污水处理站</w:t>
                  </w:r>
                </w:p>
              </w:tc>
              <w:tc>
                <w:tcPr>
                  <w:tcW w:w="2590"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sz w:val="22"/>
                      <w:szCs w:val="22"/>
                      <w:u w:val="none" w:color="auto"/>
                    </w:rPr>
                    <w:t>《城镇污水处理厂污染物排放标准（GB18918—2002）》中一级标准的A类标准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02"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54" w:type="dxa"/>
                  <w:vMerge w:val="continue"/>
                  <w:tcBorders>
                    <w:bottom w:val="single" w:color="000000" w:sz="4" w:space="0"/>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2896" w:type="dxa"/>
                  <w:tcBorders>
                    <w:top w:val="single" w:color="000000" w:sz="4" w:space="0"/>
                    <w:bottom w:val="single" w:color="000000" w:sz="4" w:space="0"/>
                    <w:tl2br w:val="nil"/>
                    <w:tr2bl w:val="nil"/>
                  </w:tcBorders>
                  <w:noWrap w:val="0"/>
                  <w:vAlign w:val="center"/>
                </w:tcPr>
                <w:p>
                  <w:pPr>
                    <w:spacing w:line="360" w:lineRule="auto"/>
                    <w:jc w:val="center"/>
                    <w:rPr>
                      <w:rFonts w:hint="eastAsia"/>
                      <w:sz w:val="24"/>
                      <w:szCs w:val="24"/>
                      <w:u w:val="none" w:color="auto"/>
                      <w:lang w:val="en-US" w:eastAsia="zh-CN"/>
                    </w:rPr>
                  </w:pPr>
                  <w:r>
                    <w:rPr>
                      <w:rFonts w:hint="eastAsia"/>
                      <w:sz w:val="24"/>
                      <w:szCs w:val="24"/>
                      <w:u w:val="none" w:color="auto"/>
                      <w:lang w:val="en-US" w:eastAsia="zh-CN"/>
                    </w:rPr>
                    <w:t>湘阴县第三污水处理厂建成且接通后：</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w:t>
                  </w:r>
                  <w:r>
                    <w:rPr>
                      <w:rFonts w:hint="eastAsia"/>
                      <w:sz w:val="24"/>
                      <w:szCs w:val="24"/>
                      <w:u w:val="none" w:color="auto"/>
                      <w:lang w:val="en-US" w:eastAsia="zh-CN"/>
                    </w:rPr>
                    <w:t>进入湘阴县第三污水处理厂处理后排入洋沙河流入洋沙湖，最终进入湘江</w:t>
                  </w:r>
                </w:p>
              </w:tc>
              <w:tc>
                <w:tcPr>
                  <w:tcW w:w="1530" w:type="dxa"/>
                  <w:tcBorders>
                    <w:top w:val="single" w:color="000000" w:sz="4" w:space="0"/>
                    <w:bottom w:val="single" w:color="000000" w:sz="4" w:space="0"/>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化粪池、湘阴县第三污水处理厂</w:t>
                  </w:r>
                </w:p>
              </w:tc>
              <w:tc>
                <w:tcPr>
                  <w:tcW w:w="2590" w:type="dxa"/>
                  <w:vMerge w:val="continue"/>
                  <w:tcBorders>
                    <w:bottom w:val="single" w:color="000000" w:sz="4" w:space="0"/>
                    <w:tl2br w:val="nil"/>
                    <w:tr2bl w:val="nil"/>
                  </w:tcBorders>
                  <w:noWrap w:val="0"/>
                  <w:vAlign w:val="center"/>
                </w:tcPr>
                <w:p>
                  <w:pPr>
                    <w:spacing w:line="360" w:lineRule="auto"/>
                    <w:jc w:val="center"/>
                    <w:rPr>
                      <w:sz w:val="22"/>
                      <w:szCs w:val="22"/>
                      <w:u w:val="none" w:color="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02"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54" w:type="dxa"/>
                  <w:tcBorders>
                    <w:top w:val="single" w:color="000000" w:sz="4" w:space="0"/>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冷却水</w:t>
                  </w:r>
                </w:p>
              </w:tc>
              <w:tc>
                <w:tcPr>
                  <w:tcW w:w="2896" w:type="dxa"/>
                  <w:tcBorders>
                    <w:top w:val="single" w:color="000000" w:sz="4" w:space="0"/>
                    <w:tl2br w:val="nil"/>
                    <w:tr2bl w:val="nil"/>
                  </w:tcBorders>
                  <w:noWrap w:val="0"/>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经循环水池收集后循环使用</w:t>
                  </w:r>
                </w:p>
              </w:tc>
              <w:tc>
                <w:tcPr>
                  <w:tcW w:w="1530" w:type="dxa"/>
                  <w:tcBorders>
                    <w:top w:val="single" w:color="000000" w:sz="4" w:space="0"/>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循环水池</w:t>
                  </w:r>
                </w:p>
              </w:tc>
              <w:tc>
                <w:tcPr>
                  <w:tcW w:w="2590" w:type="dxa"/>
                  <w:tcBorders>
                    <w:top w:val="single" w:color="000000" w:sz="4" w:space="0"/>
                    <w:tl2br w:val="nil"/>
                    <w:tr2bl w:val="nil"/>
                  </w:tcBorders>
                  <w:noWrap w:val="0"/>
                  <w:vAlign w:val="center"/>
                </w:tcPr>
                <w:p>
                  <w:pPr>
                    <w:spacing w:line="360" w:lineRule="auto"/>
                    <w:jc w:val="center"/>
                    <w:rPr>
                      <w:rFonts w:hint="eastAsia" w:eastAsia="宋体"/>
                      <w:sz w:val="22"/>
                      <w:szCs w:val="22"/>
                      <w:u w:val="none" w:color="auto"/>
                      <w:lang w:eastAsia="zh-CN"/>
                    </w:rPr>
                  </w:pPr>
                  <w:r>
                    <w:rPr>
                      <w:rFonts w:hint="eastAsia"/>
                      <w:sz w:val="22"/>
                      <w:szCs w:val="22"/>
                      <w:u w:val="none" w:color="auto"/>
                      <w:lang w:eastAsia="zh-CN"/>
                    </w:rPr>
                    <w:t>循环使用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2"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废气</w:t>
                  </w:r>
                </w:p>
              </w:tc>
              <w:tc>
                <w:tcPr>
                  <w:tcW w:w="1354" w:type="dxa"/>
                  <w:tcBorders>
                    <w:tl2br w:val="nil"/>
                    <w:tr2bl w:val="nil"/>
                  </w:tcBorders>
                  <w:noWrap w:val="0"/>
                  <w:vAlign w:val="center"/>
                </w:tcPr>
                <w:p>
                  <w:pPr>
                    <w:spacing w:line="360" w:lineRule="auto"/>
                    <w:jc w:val="center"/>
                    <w:rPr>
                      <w:rFonts w:hint="eastAsia" w:cs="Times New Roman"/>
                      <w:color w:val="auto"/>
                      <w:sz w:val="22"/>
                      <w:szCs w:val="22"/>
                      <w:u w:val="none" w:color="auto"/>
                      <w:lang w:eastAsia="zh-CN"/>
                    </w:rPr>
                  </w:pPr>
                  <w:r>
                    <w:rPr>
                      <w:rFonts w:hint="eastAsia" w:cs="Times New Roman"/>
                      <w:color w:val="auto"/>
                      <w:sz w:val="22"/>
                      <w:szCs w:val="22"/>
                      <w:u w:val="none" w:color="auto"/>
                      <w:lang w:eastAsia="zh-CN"/>
                    </w:rPr>
                    <w:t>模压成型</w:t>
                  </w:r>
                </w:p>
                <w:p>
                  <w:pPr>
                    <w:spacing w:line="360" w:lineRule="auto"/>
                    <w:jc w:val="center"/>
                    <w:rPr>
                      <w:rFonts w:hint="default" w:ascii="Times New Roman" w:hAnsi="Times New Roman" w:cs="Times New Roman"/>
                      <w:color w:val="auto"/>
                      <w:sz w:val="22"/>
                      <w:szCs w:val="22"/>
                      <w:u w:val="none" w:color="auto"/>
                    </w:rPr>
                  </w:pPr>
                  <w:r>
                    <w:rPr>
                      <w:rFonts w:hint="eastAsia" w:cs="Times New Roman"/>
                      <w:color w:val="auto"/>
                      <w:sz w:val="22"/>
                      <w:szCs w:val="22"/>
                      <w:u w:val="none" w:color="auto"/>
                      <w:lang w:eastAsia="zh-CN"/>
                    </w:rPr>
                    <w:t>废气</w:t>
                  </w:r>
                </w:p>
              </w:tc>
              <w:tc>
                <w:tcPr>
                  <w:tcW w:w="2896"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经集气罩+活性炭吸附设施</w:t>
                  </w:r>
                  <w:r>
                    <w:rPr>
                      <w:rFonts w:hint="eastAsia" w:ascii="Times New Roman" w:hAnsi="Times New Roman" w:cs="Times New Roman"/>
                      <w:color w:val="auto"/>
                      <w:sz w:val="22"/>
                      <w:szCs w:val="22"/>
                      <w:u w:val="none" w:color="auto"/>
                      <w:lang w:val="en-US" w:eastAsia="zh-CN"/>
                    </w:rPr>
                    <w:t>+</w:t>
                  </w:r>
                  <w:r>
                    <w:rPr>
                      <w:rFonts w:hint="eastAsia" w:cs="Times New Roman"/>
                      <w:color w:val="auto"/>
                      <w:sz w:val="22"/>
                      <w:szCs w:val="22"/>
                      <w:u w:val="none" w:color="auto"/>
                      <w:lang w:val="en-US" w:eastAsia="zh-CN"/>
                    </w:rPr>
                    <w:t>24</w:t>
                  </w:r>
                  <w:r>
                    <w:rPr>
                      <w:rFonts w:hint="eastAsia" w:ascii="Times New Roman" w:hAnsi="Times New Roman" w:cs="Times New Roman"/>
                      <w:color w:val="auto"/>
                      <w:sz w:val="22"/>
                      <w:szCs w:val="22"/>
                      <w:u w:val="none" w:color="auto"/>
                      <w:lang w:val="en-US" w:eastAsia="zh-CN"/>
                    </w:rPr>
                    <w:t>m高排气筒处理后高空排放</w:t>
                  </w:r>
                </w:p>
              </w:tc>
              <w:tc>
                <w:tcPr>
                  <w:tcW w:w="1530"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cs="Times New Roman"/>
                      <w:color w:val="auto"/>
                      <w:sz w:val="22"/>
                      <w:szCs w:val="22"/>
                      <w:u w:val="none" w:color="auto"/>
                      <w:lang w:val="en-US" w:eastAsia="zh-CN"/>
                    </w:rPr>
                    <w:t>集气罩+活性炭吸附设施</w:t>
                  </w:r>
                  <w:r>
                    <w:rPr>
                      <w:rFonts w:hint="eastAsia" w:ascii="Times New Roman" w:hAnsi="Times New Roman" w:cs="Times New Roman"/>
                      <w:color w:val="auto"/>
                      <w:sz w:val="22"/>
                      <w:szCs w:val="22"/>
                      <w:u w:val="none" w:color="auto"/>
                      <w:lang w:val="en-US" w:eastAsia="zh-CN"/>
                    </w:rPr>
                    <w:t>+</w:t>
                  </w:r>
                  <w:r>
                    <w:rPr>
                      <w:rFonts w:hint="eastAsia" w:cs="Times New Roman"/>
                      <w:color w:val="auto"/>
                      <w:sz w:val="22"/>
                      <w:szCs w:val="22"/>
                      <w:u w:val="none" w:color="auto"/>
                      <w:lang w:val="en-US" w:eastAsia="zh-CN"/>
                    </w:rPr>
                    <w:t>24</w:t>
                  </w:r>
                  <w:r>
                    <w:rPr>
                      <w:rFonts w:hint="eastAsia" w:ascii="Times New Roman" w:hAnsi="Times New Roman" w:cs="Times New Roman"/>
                      <w:color w:val="auto"/>
                      <w:sz w:val="22"/>
                      <w:szCs w:val="22"/>
                      <w:u w:val="none" w:color="auto"/>
                      <w:lang w:val="en-US" w:eastAsia="zh-CN"/>
                    </w:rPr>
                    <w:t>m高排气筒</w:t>
                  </w:r>
                </w:p>
              </w:tc>
              <w:tc>
                <w:tcPr>
                  <w:tcW w:w="2590"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val="en-US" w:eastAsia="zh-CN"/>
                    </w:rPr>
                  </w:pPr>
                  <w:r>
                    <w:rPr>
                      <w:rFonts w:hint="eastAsia"/>
                      <w:sz w:val="22"/>
                      <w:szCs w:val="22"/>
                      <w:u w:val="none" w:color="auto"/>
                    </w:rPr>
                    <w:t>《</w:t>
                  </w:r>
                  <w:r>
                    <w:rPr>
                      <w:rFonts w:hint="eastAsia"/>
                      <w:sz w:val="22"/>
                      <w:szCs w:val="22"/>
                      <w:u w:val="none" w:color="auto"/>
                      <w:lang w:eastAsia="zh-CN"/>
                    </w:rPr>
                    <w:t>合成树脂工业污染物排放标准》</w:t>
                  </w:r>
                  <w:r>
                    <w:rPr>
                      <w:rFonts w:hint="eastAsia"/>
                      <w:sz w:val="22"/>
                      <w:szCs w:val="22"/>
                      <w:u w:val="none" w:color="auto"/>
                    </w:rPr>
                    <w:t>（</w:t>
                  </w:r>
                  <w:r>
                    <w:rPr>
                      <w:rFonts w:hint="eastAsia"/>
                      <w:sz w:val="22"/>
                      <w:szCs w:val="22"/>
                      <w:u w:val="none" w:color="auto"/>
                      <w:lang w:val="en-US" w:eastAsia="zh-CN"/>
                    </w:rPr>
                    <w:t>GB31572-2015</w:t>
                  </w:r>
                  <w:r>
                    <w:rPr>
                      <w:rFonts w:hint="eastAsia"/>
                      <w:sz w:val="22"/>
                      <w:szCs w:val="22"/>
                      <w:u w:val="none" w:color="auto"/>
                    </w:rPr>
                    <w:t>）表</w:t>
                  </w:r>
                  <w:r>
                    <w:rPr>
                      <w:rFonts w:hint="eastAsia"/>
                      <w:sz w:val="22"/>
                      <w:szCs w:val="22"/>
                      <w:u w:val="none" w:color="auto"/>
                      <w:lang w:val="en-US" w:eastAsia="zh-CN"/>
                    </w:rPr>
                    <w:t>4</w:t>
                  </w:r>
                  <w:r>
                    <w:rPr>
                      <w:rFonts w:hint="eastAsia"/>
                      <w:sz w:val="22"/>
                      <w:szCs w:val="22"/>
                      <w:u w:val="none" w:color="auto"/>
                    </w:rPr>
                    <w:t xml:space="preserve"> </w:t>
                  </w:r>
                  <w:r>
                    <w:rPr>
                      <w:rFonts w:hint="eastAsia"/>
                      <w:sz w:val="22"/>
                      <w:szCs w:val="22"/>
                      <w:u w:val="none" w:color="auto"/>
                      <w:lang w:eastAsia="zh-CN"/>
                    </w:rPr>
                    <w:t>中的</w:t>
                  </w:r>
                  <w:r>
                    <w:rPr>
                      <w:rFonts w:hint="eastAsia"/>
                      <w:sz w:val="22"/>
                      <w:szCs w:val="22"/>
                      <w:u w:val="none" w:color="auto"/>
                    </w:rPr>
                    <w:t>排放限值</w:t>
                  </w:r>
                  <w:r>
                    <w:rPr>
                      <w:rFonts w:hint="eastAsia"/>
                      <w:sz w:val="22"/>
                      <w:szCs w:val="22"/>
                      <w:u w:val="none" w:color="auto"/>
                      <w:lang w:eastAsia="zh-CN"/>
                    </w:rPr>
                    <w:t>及表</w:t>
                  </w:r>
                  <w:r>
                    <w:rPr>
                      <w:rFonts w:hint="eastAsia"/>
                      <w:sz w:val="22"/>
                      <w:szCs w:val="22"/>
                      <w:u w:val="none" w:color="auto"/>
                      <w:lang w:val="en-US" w:eastAsia="zh-CN"/>
                    </w:rPr>
                    <w:t>9无组织排放限值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2"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54" w:type="dxa"/>
                  <w:tcBorders>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sz w:val="22"/>
                      <w:szCs w:val="22"/>
                      <w:u w:val="none" w:color="auto"/>
                      <w:lang w:eastAsia="zh-CN"/>
                    </w:rPr>
                    <w:t>印刷废气</w:t>
                  </w:r>
                </w:p>
              </w:tc>
              <w:tc>
                <w:tcPr>
                  <w:tcW w:w="289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val="en-US" w:eastAsia="zh-CN"/>
                    </w:rPr>
                    <w:t>排风扇抽排风</w:t>
                  </w:r>
                </w:p>
              </w:tc>
              <w:tc>
                <w:tcPr>
                  <w:tcW w:w="153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cs="Times New Roman"/>
                      <w:color w:val="auto"/>
                      <w:sz w:val="22"/>
                      <w:szCs w:val="22"/>
                      <w:u w:val="none" w:color="auto"/>
                      <w:lang w:eastAsia="zh-CN"/>
                    </w:rPr>
                    <w:t>排风扇</w:t>
                  </w:r>
                </w:p>
              </w:tc>
              <w:tc>
                <w:tcPr>
                  <w:tcW w:w="2590" w:type="dxa"/>
                  <w:tcBorders>
                    <w:tl2br w:val="nil"/>
                    <w:tr2bl w:val="nil"/>
                  </w:tcBorders>
                  <w:noWrap w:val="0"/>
                  <w:vAlign w:val="center"/>
                </w:tcPr>
                <w:p>
                  <w:pPr>
                    <w:spacing w:line="360" w:lineRule="auto"/>
                    <w:jc w:val="center"/>
                    <w:rPr>
                      <w:rFonts w:hint="eastAsia" w:ascii="Times New Roman" w:hAnsi="Times New Roman" w:eastAsia="宋体" w:cs="Times New Roman"/>
                      <w:color w:val="auto"/>
                      <w:sz w:val="22"/>
                      <w:szCs w:val="22"/>
                      <w:u w:val="none" w:color="auto"/>
                      <w:lang w:eastAsia="zh-CN"/>
                    </w:rPr>
                  </w:pPr>
                  <w:r>
                    <w:rPr>
                      <w:rFonts w:hint="eastAsia" w:cs="Times New Roman"/>
                      <w:color w:val="auto"/>
                      <w:kern w:val="0"/>
                      <w:sz w:val="24"/>
                      <w:szCs w:val="24"/>
                      <w:u w:val="none" w:color="auto"/>
                      <w:lang w:val="en-US" w:eastAsia="zh-CN" w:bidi="ar"/>
                    </w:rPr>
                    <w:t>《印刷业挥发性有机物排放标准》（DB43/1357-2017）中排放标准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02" w:type="dxa"/>
                  <w:vMerge w:val="restart"/>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固废</w:t>
                  </w:r>
                </w:p>
              </w:tc>
              <w:tc>
                <w:tcPr>
                  <w:tcW w:w="135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一般</w:t>
                  </w:r>
                </w:p>
                <w:p>
                  <w:pPr>
                    <w:spacing w:line="360" w:lineRule="auto"/>
                    <w:jc w:val="center"/>
                    <w:rPr>
                      <w:rFonts w:hint="default" w:ascii="Times New Roman" w:hAnsi="Times New Roman" w:eastAsia="宋体"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固废</w:t>
                  </w:r>
                </w:p>
              </w:tc>
              <w:tc>
                <w:tcPr>
                  <w:tcW w:w="289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按《一般工业固体废物贮存、处置场污染控制标准》（GB18599-2001）及其修改单的要求固定堆存</w:t>
                  </w:r>
                </w:p>
              </w:tc>
              <w:tc>
                <w:tcPr>
                  <w:tcW w:w="1530"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建设一般固废堆场</w:t>
                  </w:r>
                </w:p>
              </w:tc>
              <w:tc>
                <w:tcPr>
                  <w:tcW w:w="2590"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eastAsia="zh-CN"/>
                    </w:rPr>
                  </w:pPr>
                  <w:r>
                    <w:rPr>
                      <w:rFonts w:hint="eastAsia"/>
                      <w:sz w:val="22"/>
                      <w:szCs w:val="22"/>
                      <w:u w:val="none" w:color="auto"/>
                      <w:lang w:eastAsia="zh-CN"/>
                    </w:rPr>
                    <w:t>收集后交由环卫部门进行处理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2"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5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危险</w:t>
                  </w:r>
                </w:p>
                <w:p>
                  <w:pPr>
                    <w:spacing w:line="360" w:lineRule="auto"/>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废物</w:t>
                  </w:r>
                </w:p>
              </w:tc>
              <w:tc>
                <w:tcPr>
                  <w:tcW w:w="289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《危险废物贮存污染控制标准》</w:t>
                  </w:r>
                  <w:r>
                    <w:rPr>
                      <w:rFonts w:hint="default" w:ascii="Times New Roman" w:hAnsi="Times New Roman" w:cs="Times New Roman"/>
                      <w:color w:val="auto"/>
                      <w:sz w:val="22"/>
                      <w:szCs w:val="22"/>
                      <w:u w:val="none" w:color="auto"/>
                      <w:lang w:eastAsia="zh-CN"/>
                    </w:rPr>
                    <w:t>（</w:t>
                  </w:r>
                  <w:r>
                    <w:rPr>
                      <w:rFonts w:hint="default" w:ascii="Times New Roman" w:hAnsi="Times New Roman" w:cs="Times New Roman"/>
                      <w:color w:val="auto"/>
                      <w:sz w:val="22"/>
                      <w:szCs w:val="22"/>
                      <w:u w:val="none" w:color="auto"/>
                    </w:rPr>
                    <w:t>GB18597-2001）及2013年修改单</w:t>
                  </w:r>
                </w:p>
              </w:tc>
              <w:tc>
                <w:tcPr>
                  <w:tcW w:w="153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危险废物</w:t>
                  </w:r>
                </w:p>
                <w:p>
                  <w:pPr>
                    <w:spacing w:line="360" w:lineRule="auto"/>
                    <w:jc w:val="center"/>
                    <w:rPr>
                      <w:rFonts w:hint="default" w:ascii="Times New Roman" w:hAnsi="Times New Roman" w:cs="Times New Roman"/>
                      <w:color w:val="auto"/>
                      <w:sz w:val="22"/>
                      <w:szCs w:val="22"/>
                      <w:u w:val="none" w:color="auto"/>
                      <w:lang w:eastAsia="zh-CN"/>
                    </w:rPr>
                  </w:pPr>
                  <w:r>
                    <w:rPr>
                      <w:rFonts w:hint="default" w:ascii="Times New Roman" w:hAnsi="Times New Roman" w:cs="Times New Roman"/>
                      <w:color w:val="auto"/>
                      <w:sz w:val="22"/>
                      <w:szCs w:val="22"/>
                      <w:u w:val="none" w:color="auto"/>
                      <w:lang w:eastAsia="zh-CN"/>
                    </w:rPr>
                    <w:t>储存间</w:t>
                  </w:r>
                </w:p>
              </w:tc>
              <w:tc>
                <w:tcPr>
                  <w:tcW w:w="259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lang w:val="en-US" w:eastAsia="zh-CN"/>
                    </w:rPr>
                  </w:pPr>
                  <w:r>
                    <w:rPr>
                      <w:rFonts w:hint="eastAsia" w:ascii="Times New Roman" w:hAnsi="Times New Roman" w:cs="Times New Roman"/>
                      <w:color w:val="auto"/>
                      <w:sz w:val="22"/>
                      <w:szCs w:val="22"/>
                      <w:u w:val="none" w:color="auto"/>
                      <w:lang w:val="en-US" w:eastAsia="zh-CN"/>
                    </w:rPr>
                    <w:t>交由</w:t>
                  </w:r>
                  <w:r>
                    <w:rPr>
                      <w:rFonts w:hint="eastAsia" w:cs="Times New Roman"/>
                      <w:color w:val="auto"/>
                      <w:sz w:val="22"/>
                      <w:szCs w:val="22"/>
                      <w:u w:val="none" w:color="auto"/>
                      <w:lang w:val="en-US" w:eastAsia="zh-CN"/>
                    </w:rPr>
                    <w:t>有资质单位进行回收处理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vMerge w:val="continue"/>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p>
              </w:tc>
              <w:tc>
                <w:tcPr>
                  <w:tcW w:w="135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生活</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垃圾</w:t>
                  </w:r>
                </w:p>
              </w:tc>
              <w:tc>
                <w:tcPr>
                  <w:tcW w:w="2896"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集中收集后</w:t>
                  </w:r>
                  <w:r>
                    <w:rPr>
                      <w:rFonts w:hint="default" w:ascii="Times New Roman" w:hAnsi="Times New Roman" w:cs="Times New Roman"/>
                      <w:color w:val="auto"/>
                      <w:sz w:val="22"/>
                      <w:szCs w:val="22"/>
                      <w:u w:val="none" w:color="auto"/>
                      <w:lang w:eastAsia="zh-CN"/>
                    </w:rPr>
                    <w:t>交由环卫部门</w:t>
                  </w:r>
                  <w:r>
                    <w:rPr>
                      <w:rFonts w:hint="default" w:ascii="Times New Roman" w:hAnsi="Times New Roman" w:cs="Times New Roman"/>
                      <w:color w:val="auto"/>
                      <w:sz w:val="22"/>
                      <w:szCs w:val="22"/>
                      <w:u w:val="none" w:color="auto"/>
                    </w:rPr>
                    <w:t>进行处理</w:t>
                  </w:r>
                </w:p>
              </w:tc>
              <w:tc>
                <w:tcPr>
                  <w:tcW w:w="153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生活垃圾是否妥善处理</w:t>
                  </w:r>
                </w:p>
              </w:tc>
              <w:tc>
                <w:tcPr>
                  <w:tcW w:w="2590" w:type="dxa"/>
                  <w:tcBorders>
                    <w:tl2br w:val="nil"/>
                    <w:tr2bl w:val="nil"/>
                  </w:tcBorders>
                  <w:noWrap w:val="0"/>
                  <w:vAlign w:val="center"/>
                </w:tcPr>
                <w:p>
                  <w:pPr>
                    <w:spacing w:line="360" w:lineRule="auto"/>
                    <w:jc w:val="center"/>
                    <w:rPr>
                      <w:rFonts w:hint="default" w:ascii="Times New Roman" w:hAnsi="Times New Roman" w:eastAsia="宋体" w:cs="Times New Roman"/>
                      <w:color w:val="auto"/>
                      <w:sz w:val="22"/>
                      <w:szCs w:val="22"/>
                      <w:u w:val="none" w:color="auto"/>
                      <w:lang w:eastAsia="zh-CN"/>
                    </w:rPr>
                  </w:pPr>
                  <w:r>
                    <w:rPr>
                      <w:rFonts w:hint="eastAsia"/>
                      <w:sz w:val="22"/>
                      <w:szCs w:val="22"/>
                      <w:u w:val="none" w:color="auto"/>
                      <w:lang w:eastAsia="zh-CN"/>
                    </w:rPr>
                    <w:t>收集后交由环卫部门进行处理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2"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噪声</w:t>
                  </w:r>
                </w:p>
              </w:tc>
              <w:tc>
                <w:tcPr>
                  <w:tcW w:w="1354"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机械</w:t>
                  </w:r>
                </w:p>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噪声</w:t>
                  </w:r>
                </w:p>
              </w:tc>
              <w:tc>
                <w:tcPr>
                  <w:tcW w:w="2896" w:type="dxa"/>
                  <w:tcBorders>
                    <w:tl2br w:val="nil"/>
                    <w:tr2bl w:val="nil"/>
                  </w:tcBorders>
                  <w:noWrap w:val="0"/>
                  <w:vAlign w:val="center"/>
                </w:tcPr>
                <w:p>
                  <w:pPr>
                    <w:adjustRightInd w:val="0"/>
                    <w:snapToGrid w:val="0"/>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对所有高噪声的机械设备的安装，其基础均应作减振处理；加强设备的日常维护管理，发现问题及时处理，使设备始终保持在良好状态；合理布局</w:t>
                  </w:r>
                </w:p>
              </w:tc>
              <w:tc>
                <w:tcPr>
                  <w:tcW w:w="153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隔声降噪措施</w:t>
                  </w:r>
                </w:p>
              </w:tc>
              <w:tc>
                <w:tcPr>
                  <w:tcW w:w="2590" w:type="dxa"/>
                  <w:tcBorders>
                    <w:tl2br w:val="nil"/>
                    <w:tr2bl w:val="nil"/>
                  </w:tcBorders>
                  <w:noWrap w:val="0"/>
                  <w:vAlign w:val="center"/>
                </w:tcPr>
                <w:p>
                  <w:pPr>
                    <w:spacing w:line="360" w:lineRule="auto"/>
                    <w:jc w:val="center"/>
                    <w:rPr>
                      <w:rFonts w:hint="default" w:ascii="Times New Roman" w:hAnsi="Times New Roman" w:cs="Times New Roman"/>
                      <w:color w:val="auto"/>
                      <w:sz w:val="22"/>
                      <w:szCs w:val="22"/>
                      <w:u w:val="none" w:color="auto"/>
                    </w:rPr>
                  </w:pPr>
                  <w:r>
                    <w:rPr>
                      <w:rFonts w:hint="default" w:ascii="Times New Roman" w:hAnsi="Times New Roman" w:cs="Times New Roman"/>
                      <w:color w:val="auto"/>
                      <w:sz w:val="22"/>
                      <w:szCs w:val="22"/>
                      <w:u w:val="none" w:color="auto"/>
                    </w:rPr>
                    <w:t>达到《工业企业厂界环境噪声排放标准》(GB12348-2008)</w:t>
                  </w:r>
                  <w:r>
                    <w:rPr>
                      <w:rFonts w:hint="eastAsia" w:cs="Times New Roman"/>
                      <w:color w:val="auto"/>
                      <w:sz w:val="22"/>
                      <w:szCs w:val="22"/>
                      <w:u w:val="none" w:color="auto"/>
                      <w:lang w:val="en-US" w:eastAsia="zh-CN"/>
                    </w:rPr>
                    <w:t>3</w:t>
                  </w:r>
                  <w:r>
                    <w:rPr>
                      <w:rFonts w:hint="default" w:ascii="Times New Roman" w:hAnsi="Times New Roman" w:cs="Times New Roman"/>
                      <w:color w:val="auto"/>
                      <w:sz w:val="22"/>
                      <w:szCs w:val="22"/>
                      <w:u w:val="none" w:color="auto"/>
                    </w:rPr>
                    <w:t>类</w:t>
                  </w:r>
                </w:p>
              </w:tc>
            </w:tr>
          </w:tbl>
          <w:p>
            <w:pPr>
              <w:spacing w:line="360" w:lineRule="auto"/>
              <w:rPr>
                <w:rFonts w:hint="default" w:ascii="Times New Roman" w:hAnsi="Times New Roman" w:cs="Times New Roman"/>
                <w:sz w:val="24"/>
                <w:szCs w:val="24"/>
                <w:u w:val="none" w:color="auto"/>
              </w:rPr>
            </w:pPr>
          </w:p>
        </w:tc>
      </w:tr>
    </w:tbl>
    <w:p>
      <w:pPr>
        <w:snapToGrid w:val="0"/>
        <w:outlineLvl w:val="0"/>
        <w:rPr>
          <w:rFonts w:eastAsia="黑体"/>
          <w:sz w:val="32"/>
          <w:u w:val="none" w:color="auto"/>
        </w:rPr>
      </w:pPr>
      <w:r>
        <w:rPr>
          <w:u w:val="none" w:color="auto"/>
        </w:rPr>
        <w:br w:type="page"/>
      </w:r>
      <w:bookmarkStart w:id="11" w:name="_Toc6121"/>
      <w:r>
        <w:rPr>
          <w:rFonts w:hint="default" w:ascii="Times New Roman" w:hAnsi="Times New Roman" w:eastAsia="宋体" w:cs="Times New Roman"/>
          <w:sz w:val="32"/>
          <w:szCs w:val="32"/>
          <w:u w:val="none" w:color="auto"/>
        </w:rPr>
        <mc:AlternateContent>
          <mc:Choice Requires="wps">
            <w:drawing>
              <wp:anchor distT="0" distB="0" distL="114300" distR="114300" simplePos="0" relativeHeight="251658240" behindDoc="0" locked="0" layoutInCell="0" allowOverlap="1">
                <wp:simplePos x="0" y="0"/>
                <wp:positionH relativeFrom="column">
                  <wp:posOffset>-6223000</wp:posOffset>
                </wp:positionH>
                <wp:positionV relativeFrom="paragraph">
                  <wp:posOffset>1311275</wp:posOffset>
                </wp:positionV>
                <wp:extent cx="5334000" cy="635"/>
                <wp:effectExtent l="8890" t="11430" r="10160" b="6985"/>
                <wp:wrapNone/>
                <wp:docPr id="10" name="直线 24"/>
                <wp:cNvGraphicFramePr/>
                <a:graphic xmlns:a="http://schemas.openxmlformats.org/drawingml/2006/main">
                  <a:graphicData uri="http://schemas.microsoft.com/office/word/2010/wordprocessingShape">
                    <wps:wsp>
                      <wps:cNvCnPr>
                        <a:cxnSpLocks noChangeShapeType="1"/>
                      </wps:cNvCnPr>
                      <wps:spPr bwMode="auto">
                        <a:xfrm>
                          <a:off x="0" y="0"/>
                          <a:ext cx="5334000" cy="635"/>
                        </a:xfrm>
                        <a:prstGeom prst="line">
                          <a:avLst/>
                        </a:prstGeom>
                        <a:noFill/>
                        <a:ln w="9525">
                          <a:solidFill>
                            <a:srgbClr val="000000"/>
                          </a:solidFill>
                          <a:round/>
                        </a:ln>
                      </wps:spPr>
                      <wps:bodyPr/>
                    </wps:wsp>
                  </a:graphicData>
                </a:graphic>
              </wp:anchor>
            </w:drawing>
          </mc:Choice>
          <mc:Fallback>
            <w:pict>
              <v:line id="直线 24" o:spid="_x0000_s1026" o:spt="20" style="position:absolute;left:0pt;margin-left:-490pt;margin-top:103.25pt;height:0.05pt;width:420pt;z-index:251658240;mso-width-relative:page;mso-height-relative:page;" filled="f" stroked="t" coordsize="21600,21600" o:allowincell="f" o:gfxdata="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kCezHZAAAADQEAAA8AAAAAAAAAAQAgAAAAIgAAAGRycy9kb3ducmV2Lnht&#10;bFBLAQIUABQAAAAIAIdO4kB7P5wpvwEAAFcDAAAOAAAAAAAAAAEAIAAAACgBAABkcnMvZTJvRG9j&#10;LnhtbFBLBQYAAAAABgAGAFkBAABZBQAAAAA=&#10;">
                <v:fill on="f" focussize="0,0"/>
                <v:stroke color="#000000" joinstyle="round"/>
                <v:imagedata o:title=""/>
                <o:lock v:ext="edit" aspectratio="f"/>
              </v:line>
            </w:pict>
          </mc:Fallback>
        </mc:AlternateContent>
      </w:r>
      <w:r>
        <w:rPr>
          <w:rFonts w:hint="default" w:ascii="Times New Roman" w:hAnsi="Times New Roman" w:eastAsia="宋体" w:cs="Times New Roman"/>
          <w:sz w:val="32"/>
          <w:szCs w:val="32"/>
          <w:u w:val="none" w:color="auto"/>
        </w:rPr>
        <mc:AlternateContent>
          <mc:Choice Requires="wps">
            <w:drawing>
              <wp:anchor distT="0" distB="0" distL="114300" distR="114300" simplePos="0" relativeHeight="251657216" behindDoc="0" locked="0" layoutInCell="0" allowOverlap="1">
                <wp:simplePos x="0" y="0"/>
                <wp:positionH relativeFrom="column">
                  <wp:posOffset>-6578600</wp:posOffset>
                </wp:positionH>
                <wp:positionV relativeFrom="paragraph">
                  <wp:posOffset>949325</wp:posOffset>
                </wp:positionV>
                <wp:extent cx="5422900" cy="635"/>
                <wp:effectExtent l="5715" t="11430" r="10160" b="6985"/>
                <wp:wrapNone/>
                <wp:docPr id="9" name="直线 25"/>
                <wp:cNvGraphicFramePr/>
                <a:graphic xmlns:a="http://schemas.openxmlformats.org/drawingml/2006/main">
                  <a:graphicData uri="http://schemas.microsoft.com/office/word/2010/wordprocessingShape">
                    <wps:wsp>
                      <wps:cNvCnPr>
                        <a:cxnSpLocks noChangeShapeType="1"/>
                      </wps:cNvCnPr>
                      <wps:spPr bwMode="auto">
                        <a:xfrm>
                          <a:off x="0" y="0"/>
                          <a:ext cx="5422900" cy="635"/>
                        </a:xfrm>
                        <a:prstGeom prst="line">
                          <a:avLst/>
                        </a:prstGeom>
                        <a:noFill/>
                        <a:ln w="9525">
                          <a:solidFill>
                            <a:srgbClr val="000000"/>
                          </a:solidFill>
                          <a:round/>
                        </a:ln>
                      </wps:spPr>
                      <wps:bodyPr/>
                    </wps:wsp>
                  </a:graphicData>
                </a:graphic>
              </wp:anchor>
            </w:drawing>
          </mc:Choice>
          <mc:Fallback>
            <w:pict>
              <v:line id="直线 25" o:spid="_x0000_s1026" o:spt="20" style="position:absolute;left:0pt;margin-left:-518pt;margin-top:74.75pt;height:0.05pt;width:427pt;z-index:251657216;mso-width-relative:page;mso-height-relative:page;" filled="f" stroked="t" coordsize="21600,21600" o:allowincell="f" o:gfxdata="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dJZWtoAAAAOAQAADwAAAAAAAAABACAAAAAiAAAAZHJzL2Rvd25yZXYueG1s&#10;UEsBAhQAFAAAAAgAh07iQHBpb1a9AQAAVgMAAA4AAAAAAAAAAQAgAAAAKQEAAGRycy9lMm9Eb2Mu&#10;eG1sUEsFBgAAAAAGAAYAWQEAAFgFAAAAAA==&#10;">
                <v:fill on="f" focussize="0,0"/>
                <v:stroke color="#000000" joinstyle="round"/>
                <v:imagedata o:title=""/>
                <o:lock v:ext="edit" aspectratio="f"/>
              </v:line>
            </w:pict>
          </mc:Fallback>
        </mc:AlternateContent>
      </w:r>
      <w:r>
        <w:rPr>
          <w:rFonts w:hint="default" w:ascii="Times New Roman" w:hAnsi="Times New Roman" w:eastAsia="宋体" w:cs="Times New Roman"/>
          <w:sz w:val="32"/>
          <w:szCs w:val="32"/>
          <w:u w:val="none" w:color="auto"/>
        </w:rPr>
        <mc:AlternateContent>
          <mc:Choice Requires="wps">
            <w:drawing>
              <wp:anchor distT="0" distB="0" distL="114300" distR="114300" simplePos="0" relativeHeight="251659264" behindDoc="0" locked="0" layoutInCell="0" allowOverlap="1">
                <wp:simplePos x="0" y="0"/>
                <wp:positionH relativeFrom="column">
                  <wp:posOffset>-6223000</wp:posOffset>
                </wp:positionH>
                <wp:positionV relativeFrom="paragraph">
                  <wp:posOffset>346075</wp:posOffset>
                </wp:positionV>
                <wp:extent cx="4889500" cy="635"/>
                <wp:effectExtent l="8890" t="8255" r="6985" b="10160"/>
                <wp:wrapNone/>
                <wp:docPr id="8" name="直线 26"/>
                <wp:cNvGraphicFramePr/>
                <a:graphic xmlns:a="http://schemas.openxmlformats.org/drawingml/2006/main">
                  <a:graphicData uri="http://schemas.microsoft.com/office/word/2010/wordprocessingShape">
                    <wps:wsp>
                      <wps:cNvCnPr>
                        <a:cxnSpLocks noChangeShapeType="1"/>
                      </wps:cNvCnPr>
                      <wps:spPr bwMode="auto">
                        <a:xfrm>
                          <a:off x="0" y="0"/>
                          <a:ext cx="4889500" cy="635"/>
                        </a:xfrm>
                        <a:prstGeom prst="line">
                          <a:avLst/>
                        </a:prstGeom>
                        <a:noFill/>
                        <a:ln w="9525">
                          <a:solidFill>
                            <a:srgbClr val="000000"/>
                          </a:solidFill>
                          <a:round/>
                        </a:ln>
                      </wps:spPr>
                      <wps:bodyPr/>
                    </wps:wsp>
                  </a:graphicData>
                </a:graphic>
              </wp:anchor>
            </w:drawing>
          </mc:Choice>
          <mc:Fallback>
            <w:pict>
              <v:line id="直线 26" o:spid="_x0000_s1026" o:spt="20" style="position:absolute;left:0pt;margin-left:-490pt;margin-top:27.25pt;height:0.05pt;width:385pt;z-index:251659264;mso-width-relative:page;mso-height-relative:page;" filled="f" stroked="t" coordsize="21600,21600" o:allowincell="f" o:gfxdata="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zAnGdgAAAALAQAADwAAAAAAAAABACAAAAAiAAAAZHJzL2Rvd25yZXYueG1s&#10;UEsBAhQAFAAAAAgAh07iQA96ZyC/AQAAVgMAAA4AAAAAAAAAAQAgAAAAJwEAAGRycy9lMm9Eb2Mu&#10;eG1sUEsFBgAAAAAGAAYAWQEAAFgFAAAAAA==&#10;">
                <v:fill on="f" focussize="0,0"/>
                <v:stroke color="#000000" joinstyle="round"/>
                <v:imagedata o:title=""/>
                <o:lock v:ext="edit" aspectratio="f"/>
              </v:line>
            </w:pict>
          </mc:Fallback>
        </mc:AlternateContent>
      </w:r>
      <w:r>
        <w:rPr>
          <w:rFonts w:hint="default" w:ascii="Times New Roman" w:hAnsi="Times New Roman" w:eastAsia="宋体" w:cs="Times New Roman"/>
          <w:sz w:val="32"/>
          <w:szCs w:val="32"/>
          <w:u w:val="none" w:color="auto"/>
        </w:rPr>
        <mc:AlternateContent>
          <mc:Choice Requires="wps">
            <w:drawing>
              <wp:anchor distT="0" distB="0" distL="114300" distR="114300" simplePos="0" relativeHeight="251656192" behindDoc="0" locked="0" layoutInCell="0" allowOverlap="1">
                <wp:simplePos x="0" y="0"/>
                <wp:positionH relativeFrom="column">
                  <wp:posOffset>-7112000</wp:posOffset>
                </wp:positionH>
                <wp:positionV relativeFrom="paragraph">
                  <wp:posOffset>466725</wp:posOffset>
                </wp:positionV>
                <wp:extent cx="5422900" cy="635"/>
                <wp:effectExtent l="5715" t="5080" r="10160" b="13335"/>
                <wp:wrapNone/>
                <wp:docPr id="7" name="直线 27"/>
                <wp:cNvGraphicFramePr/>
                <a:graphic xmlns:a="http://schemas.openxmlformats.org/drawingml/2006/main">
                  <a:graphicData uri="http://schemas.microsoft.com/office/word/2010/wordprocessingShape">
                    <wps:wsp>
                      <wps:cNvCnPr>
                        <a:cxnSpLocks noChangeShapeType="1"/>
                      </wps:cNvCnPr>
                      <wps:spPr bwMode="auto">
                        <a:xfrm>
                          <a:off x="0" y="0"/>
                          <a:ext cx="5422900" cy="635"/>
                        </a:xfrm>
                        <a:prstGeom prst="line">
                          <a:avLst/>
                        </a:prstGeom>
                        <a:noFill/>
                        <a:ln w="9525">
                          <a:solidFill>
                            <a:srgbClr val="000000"/>
                          </a:solidFill>
                          <a:round/>
                        </a:ln>
                      </wps:spPr>
                      <wps:bodyPr/>
                    </wps:wsp>
                  </a:graphicData>
                </a:graphic>
              </wp:anchor>
            </w:drawing>
          </mc:Choice>
          <mc:Fallback>
            <w:pict>
              <v:line id="直线 27" o:spid="_x0000_s1026" o:spt="20" style="position:absolute;left:0pt;margin-left:-560pt;margin-top:36.75pt;height:0.05pt;width:427pt;z-index:251656192;mso-width-relative:page;mso-height-relative:page;" filled="f" stroked="t" coordsize="21600,21600" o:allowincell="f" o:gfxdata="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vNIEB1wAAAAwBAAAPAAAAAAAAAAEAIAAAACIAAABkcnMvZG93bnJldi54bWxQ&#10;SwECFAAUAAAACACHTuJAgTJp7L8BAABWAwAADgAAAAAAAAABACAAAAAmAQAAZHJzL2Uyb0RvYy54&#10;bWxQSwUGAAAAAAYABgBZAQAAVwUAAAAA&#10;">
                <v:fill on="f" focussize="0,0"/>
                <v:stroke color="#000000" joinstyle="round"/>
                <v:imagedata o:title=""/>
                <o:lock v:ext="edit" aspectratio="f"/>
              </v:line>
            </w:pict>
          </mc:Fallback>
        </mc:AlternateContent>
      </w:r>
      <w:r>
        <w:rPr>
          <w:rFonts w:hint="default" w:ascii="Times New Roman" w:hAnsi="Times New Roman" w:eastAsia="宋体" w:cs="Times New Roman"/>
          <w:sz w:val="32"/>
          <w:szCs w:val="32"/>
          <w:u w:val="none" w:color="auto"/>
        </w:rPr>
        <w:t>八、建设项目拟采取的防治措施及</w:t>
      </w:r>
      <w:r>
        <w:rPr>
          <w:rFonts w:hint="default" w:ascii="Times New Roman" w:hAnsi="Times New Roman" w:eastAsia="宋体" w:cs="Times New Roman"/>
          <w:sz w:val="32"/>
          <w:u w:val="none" w:color="auto"/>
        </w:rPr>
        <w:t>预期治理效果</w:t>
      </w:r>
      <w:bookmarkEnd w:id="11"/>
    </w:p>
    <w:tbl>
      <w:tblPr>
        <w:tblStyle w:val="40"/>
        <w:tblW w:w="9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67"/>
        <w:gridCol w:w="1339"/>
        <w:gridCol w:w="1496"/>
        <w:gridCol w:w="2918"/>
        <w:gridCol w:w="26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78" w:type="dxa"/>
            <w:tcBorders>
              <w:tl2br w:val="nil"/>
              <w:tr2bl w:val="nil"/>
            </w:tcBorders>
            <w:vAlign w:val="center"/>
          </w:tcPr>
          <w:p>
            <w:pPr>
              <w:snapToGrid w:val="0"/>
              <w:spacing w:line="360" w:lineRule="auto"/>
              <w:jc w:val="both"/>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内容</w:t>
            </w:r>
          </w:p>
          <w:p>
            <w:pPr>
              <w:snapToGrid w:val="0"/>
              <w:spacing w:line="360" w:lineRule="auto"/>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类型</w:t>
            </w:r>
          </w:p>
        </w:tc>
        <w:tc>
          <w:tcPr>
            <w:tcW w:w="1906" w:type="dxa"/>
            <w:gridSpan w:val="2"/>
            <w:tcBorders>
              <w:tl2br w:val="nil"/>
              <w:tr2bl w:val="nil"/>
            </w:tcBorders>
            <w:vAlign w:val="center"/>
          </w:tcPr>
          <w:p>
            <w:pPr>
              <w:snapToGrid w:val="0"/>
              <w:spacing w:line="360" w:lineRule="auto"/>
              <w:jc w:val="center"/>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排放源</w:t>
            </w:r>
          </w:p>
          <w:p>
            <w:pPr>
              <w:snapToGrid w:val="0"/>
              <w:spacing w:line="360" w:lineRule="auto"/>
              <w:jc w:val="center"/>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（编号）</w:t>
            </w:r>
          </w:p>
        </w:tc>
        <w:tc>
          <w:tcPr>
            <w:tcW w:w="1496" w:type="dxa"/>
            <w:tcBorders>
              <w:tl2br w:val="nil"/>
              <w:tr2bl w:val="nil"/>
            </w:tcBorders>
            <w:vAlign w:val="center"/>
          </w:tcPr>
          <w:p>
            <w:pPr>
              <w:snapToGrid w:val="0"/>
              <w:spacing w:line="360" w:lineRule="auto"/>
              <w:jc w:val="center"/>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污染物</w:t>
            </w:r>
          </w:p>
          <w:p>
            <w:pPr>
              <w:snapToGrid w:val="0"/>
              <w:spacing w:line="360" w:lineRule="auto"/>
              <w:jc w:val="center"/>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名称</w:t>
            </w:r>
          </w:p>
        </w:tc>
        <w:tc>
          <w:tcPr>
            <w:tcW w:w="2918" w:type="dxa"/>
            <w:tcBorders>
              <w:tl2br w:val="nil"/>
              <w:tr2bl w:val="nil"/>
            </w:tcBorders>
            <w:vAlign w:val="center"/>
          </w:tcPr>
          <w:p>
            <w:pPr>
              <w:snapToGrid w:val="0"/>
              <w:spacing w:line="360" w:lineRule="auto"/>
              <w:jc w:val="center"/>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防治措施</w:t>
            </w:r>
          </w:p>
        </w:tc>
        <w:tc>
          <w:tcPr>
            <w:tcW w:w="2642" w:type="dxa"/>
            <w:tcBorders>
              <w:tl2br w:val="nil"/>
              <w:tr2bl w:val="nil"/>
            </w:tcBorders>
            <w:vAlign w:val="center"/>
          </w:tcPr>
          <w:p>
            <w:pPr>
              <w:snapToGrid w:val="0"/>
              <w:spacing w:line="360" w:lineRule="auto"/>
              <w:jc w:val="center"/>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预期</w:t>
            </w:r>
          </w:p>
          <w:p>
            <w:pPr>
              <w:snapToGrid w:val="0"/>
              <w:spacing w:line="360" w:lineRule="auto"/>
              <w:ind w:left="-101" w:leftChars="-50" w:right="-101" w:rightChars="-50"/>
              <w:jc w:val="center"/>
              <w:rPr>
                <w:rFonts w:hint="default" w:ascii="Times New Roman" w:hAnsi="Times New Roman" w:cs="Times New Roman"/>
                <w:b/>
                <w:sz w:val="22"/>
                <w:szCs w:val="22"/>
                <w:u w:val="none" w:color="auto"/>
              </w:rPr>
            </w:pPr>
            <w:r>
              <w:rPr>
                <w:rFonts w:hint="default" w:ascii="Times New Roman" w:hAnsi="Times New Roman" w:cs="Times New Roman"/>
                <w:b/>
                <w:sz w:val="22"/>
                <w:szCs w:val="22"/>
                <w:u w:val="none" w:color="auto"/>
              </w:rPr>
              <w:t>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978" w:type="dxa"/>
            <w:vMerge w:val="restart"/>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大气污染物</w:t>
            </w:r>
          </w:p>
        </w:tc>
        <w:tc>
          <w:tcPr>
            <w:tcW w:w="567" w:type="dxa"/>
            <w:vMerge w:val="restart"/>
            <w:tcBorders>
              <w:tl2br w:val="nil"/>
              <w:tr2bl w:val="nil"/>
            </w:tcBorders>
            <w:vAlign w:val="center"/>
          </w:tcPr>
          <w:p>
            <w:pPr>
              <w:adjustRightInd w:val="0"/>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营运期</w:t>
            </w:r>
          </w:p>
        </w:tc>
        <w:tc>
          <w:tcPr>
            <w:tcW w:w="1339" w:type="dxa"/>
            <w:tcBorders>
              <w:tl2br w:val="nil"/>
              <w:tr2bl w:val="nil"/>
            </w:tcBorders>
            <w:vAlign w:val="center"/>
          </w:tcPr>
          <w:p>
            <w:pPr>
              <w:adjustRightInd w:val="0"/>
              <w:snapToGrid w:val="0"/>
              <w:spacing w:line="360" w:lineRule="auto"/>
              <w:jc w:val="center"/>
              <w:rPr>
                <w:rFonts w:hint="default" w:ascii="Times New Roman" w:hAnsi="Times New Roman" w:cs="Times New Roman"/>
                <w:sz w:val="22"/>
                <w:szCs w:val="22"/>
                <w:u w:val="none" w:color="auto"/>
              </w:rPr>
            </w:pPr>
            <w:r>
              <w:rPr>
                <w:rFonts w:hint="eastAsia" w:cs="Times New Roman"/>
                <w:sz w:val="22"/>
                <w:szCs w:val="22"/>
                <w:u w:val="none" w:color="auto"/>
                <w:lang w:eastAsia="zh-CN"/>
              </w:rPr>
              <w:t>模压成型废气</w:t>
            </w:r>
            <w:r>
              <w:rPr>
                <w:rFonts w:hint="default" w:ascii="Times New Roman" w:hAnsi="Times New Roman" w:cs="Times New Roman"/>
                <w:sz w:val="22"/>
                <w:szCs w:val="22"/>
                <w:u w:val="none" w:color="auto"/>
              </w:rPr>
              <w:t>排气筒</w:t>
            </w:r>
          </w:p>
        </w:tc>
        <w:tc>
          <w:tcPr>
            <w:tcW w:w="1496" w:type="dxa"/>
            <w:tcBorders>
              <w:tl2br w:val="nil"/>
              <w:tr2bl w:val="nil"/>
            </w:tcBorders>
            <w:vAlign w:val="center"/>
          </w:tcPr>
          <w:p>
            <w:pPr>
              <w:adjustRightInd w:val="0"/>
              <w:snapToGrid w:val="0"/>
              <w:spacing w:line="360" w:lineRule="auto"/>
              <w:jc w:val="center"/>
              <w:rPr>
                <w:rFonts w:hint="default" w:ascii="Times New Roman" w:hAnsi="Times New Roman" w:cs="Times New Roman"/>
                <w:sz w:val="22"/>
                <w:szCs w:val="22"/>
                <w:u w:val="none" w:color="auto"/>
              </w:rPr>
            </w:pPr>
            <w:r>
              <w:rPr>
                <w:rFonts w:hint="eastAsia" w:cs="Times New Roman"/>
                <w:sz w:val="22"/>
                <w:szCs w:val="22"/>
                <w:u w:val="none" w:color="auto"/>
                <w:lang w:eastAsia="zh-CN"/>
              </w:rPr>
              <w:t>非甲烷总烃</w:t>
            </w:r>
          </w:p>
        </w:tc>
        <w:tc>
          <w:tcPr>
            <w:tcW w:w="2918" w:type="dxa"/>
            <w:tcBorders>
              <w:tl2br w:val="nil"/>
              <w:tr2bl w:val="nil"/>
            </w:tcBorders>
            <w:vAlign w:val="center"/>
          </w:tcPr>
          <w:p>
            <w:pPr>
              <w:spacing w:line="360" w:lineRule="auto"/>
              <w:jc w:val="center"/>
              <w:rPr>
                <w:rFonts w:hint="default" w:ascii="Times New Roman" w:hAnsi="Times New Roman" w:cs="Times New Roman"/>
                <w:kern w:val="0"/>
                <w:sz w:val="22"/>
                <w:szCs w:val="22"/>
                <w:u w:val="none" w:color="auto"/>
              </w:rPr>
            </w:pPr>
            <w:r>
              <w:rPr>
                <w:rFonts w:hint="eastAsia" w:cs="Times New Roman"/>
                <w:color w:val="auto"/>
                <w:sz w:val="22"/>
                <w:szCs w:val="22"/>
                <w:u w:val="none" w:color="auto"/>
                <w:lang w:val="en-US" w:eastAsia="zh-CN"/>
              </w:rPr>
              <w:t>经集气罩+活性炭吸附设施+24</w:t>
            </w:r>
            <w:r>
              <w:rPr>
                <w:rFonts w:hint="eastAsia" w:ascii="Times New Roman" w:hAnsi="Times New Roman" w:cs="Times New Roman"/>
                <w:color w:val="auto"/>
                <w:sz w:val="22"/>
                <w:szCs w:val="22"/>
                <w:u w:val="none" w:color="auto"/>
                <w:lang w:val="en-US" w:eastAsia="zh-CN"/>
              </w:rPr>
              <w:t>m高排气筒处理后高空排放</w:t>
            </w:r>
          </w:p>
        </w:tc>
        <w:tc>
          <w:tcPr>
            <w:tcW w:w="2642" w:type="dxa"/>
            <w:tcBorders>
              <w:tl2br w:val="nil"/>
              <w:tr2bl w:val="nil"/>
            </w:tcBorders>
            <w:vAlign w:val="center"/>
          </w:tcPr>
          <w:p>
            <w:pPr>
              <w:adjustRightInd w:val="0"/>
              <w:snapToGrid w:val="0"/>
              <w:spacing w:line="360" w:lineRule="auto"/>
              <w:ind w:left="-105" w:right="-105"/>
              <w:jc w:val="center"/>
              <w:rPr>
                <w:rFonts w:hint="default" w:ascii="Times New Roman" w:hAnsi="Times New Roman" w:cs="Times New Roman"/>
                <w:kern w:val="0"/>
                <w:sz w:val="22"/>
                <w:szCs w:val="22"/>
                <w:u w:val="none" w:color="auto"/>
              </w:rPr>
            </w:pPr>
            <w:r>
              <w:rPr>
                <w:rFonts w:hint="eastAsia"/>
                <w:sz w:val="22"/>
                <w:szCs w:val="22"/>
                <w:u w:val="none" w:color="auto"/>
              </w:rPr>
              <w:t>《</w:t>
            </w:r>
            <w:r>
              <w:rPr>
                <w:rFonts w:hint="eastAsia"/>
                <w:sz w:val="22"/>
                <w:szCs w:val="22"/>
                <w:u w:val="none" w:color="auto"/>
                <w:lang w:eastAsia="zh-CN"/>
              </w:rPr>
              <w:t>合成树脂工业污染物排放标准》</w:t>
            </w:r>
            <w:r>
              <w:rPr>
                <w:rFonts w:hint="eastAsia"/>
                <w:sz w:val="22"/>
                <w:szCs w:val="22"/>
                <w:u w:val="none" w:color="auto"/>
              </w:rPr>
              <w:t>（</w:t>
            </w:r>
            <w:r>
              <w:rPr>
                <w:rFonts w:hint="eastAsia"/>
                <w:sz w:val="22"/>
                <w:szCs w:val="22"/>
                <w:u w:val="none" w:color="auto"/>
                <w:lang w:val="en-US" w:eastAsia="zh-CN"/>
              </w:rPr>
              <w:t>GB31572-2015</w:t>
            </w:r>
            <w:r>
              <w:rPr>
                <w:rFonts w:hint="eastAsia"/>
                <w:sz w:val="22"/>
                <w:szCs w:val="22"/>
                <w:u w:val="none" w:color="auto"/>
              </w:rPr>
              <w:t>）表</w:t>
            </w:r>
            <w:r>
              <w:rPr>
                <w:rFonts w:hint="eastAsia"/>
                <w:sz w:val="22"/>
                <w:szCs w:val="22"/>
                <w:u w:val="none" w:color="auto"/>
                <w:lang w:val="en-US" w:eastAsia="zh-CN"/>
              </w:rPr>
              <w:t>4</w:t>
            </w:r>
            <w:r>
              <w:rPr>
                <w:rFonts w:hint="eastAsia"/>
                <w:sz w:val="22"/>
                <w:szCs w:val="22"/>
                <w:u w:val="none" w:color="auto"/>
              </w:rPr>
              <w:t xml:space="preserve"> </w:t>
            </w:r>
            <w:r>
              <w:rPr>
                <w:rFonts w:hint="eastAsia"/>
                <w:sz w:val="22"/>
                <w:szCs w:val="22"/>
                <w:u w:val="none" w:color="auto"/>
                <w:lang w:eastAsia="zh-CN"/>
              </w:rPr>
              <w:t>中的</w:t>
            </w:r>
            <w:r>
              <w:rPr>
                <w:rFonts w:hint="eastAsia"/>
                <w:sz w:val="22"/>
                <w:szCs w:val="22"/>
                <w:u w:val="none" w:color="auto"/>
              </w:rPr>
              <w:t>排放限值</w:t>
            </w:r>
            <w:r>
              <w:rPr>
                <w:rFonts w:hint="eastAsia"/>
                <w:sz w:val="22"/>
                <w:szCs w:val="22"/>
                <w:u w:val="none" w:color="auto"/>
                <w:lang w:eastAsia="zh-CN"/>
              </w:rPr>
              <w:t>及表</w:t>
            </w:r>
            <w:r>
              <w:rPr>
                <w:rFonts w:hint="eastAsia"/>
                <w:sz w:val="22"/>
                <w:szCs w:val="22"/>
                <w:u w:val="none" w:color="auto"/>
                <w:lang w:val="en-US" w:eastAsia="zh-CN"/>
              </w:rPr>
              <w:t>9无组织排放限值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567" w:type="dxa"/>
            <w:vMerge w:val="continue"/>
            <w:tcBorders>
              <w:tl2br w:val="nil"/>
              <w:tr2bl w:val="nil"/>
            </w:tcBorders>
            <w:vAlign w:val="center"/>
          </w:tcPr>
          <w:p>
            <w:pPr>
              <w:adjustRightInd w:val="0"/>
              <w:snapToGrid w:val="0"/>
              <w:spacing w:line="360" w:lineRule="auto"/>
              <w:jc w:val="center"/>
              <w:rPr>
                <w:rFonts w:hint="default" w:ascii="Times New Roman" w:hAnsi="Times New Roman" w:cs="Times New Roman"/>
                <w:sz w:val="22"/>
                <w:szCs w:val="22"/>
                <w:u w:val="none" w:color="auto"/>
              </w:rPr>
            </w:pPr>
          </w:p>
        </w:tc>
        <w:tc>
          <w:tcPr>
            <w:tcW w:w="1339" w:type="dxa"/>
            <w:tcBorders>
              <w:tl2br w:val="nil"/>
              <w:tr2bl w:val="nil"/>
            </w:tcBorders>
            <w:vAlign w:val="center"/>
          </w:tcPr>
          <w:p>
            <w:pPr>
              <w:adjustRightInd w:val="0"/>
              <w:snapToGrid w:val="0"/>
              <w:spacing w:line="360" w:lineRule="auto"/>
              <w:jc w:val="center"/>
              <w:rPr>
                <w:rFonts w:hint="default" w:ascii="Times New Roman" w:hAnsi="Times New Roman" w:eastAsia="宋体" w:cs="Times New Roman"/>
                <w:sz w:val="22"/>
                <w:szCs w:val="22"/>
                <w:u w:val="none" w:color="auto"/>
                <w:lang w:val="en-US" w:eastAsia="zh-CN"/>
              </w:rPr>
            </w:pPr>
            <w:r>
              <w:rPr>
                <w:rFonts w:hint="eastAsia" w:cs="Times New Roman"/>
                <w:sz w:val="22"/>
                <w:szCs w:val="22"/>
                <w:u w:val="none" w:color="auto"/>
                <w:lang w:eastAsia="zh-CN"/>
              </w:rPr>
              <w:t>印刷区</w:t>
            </w:r>
          </w:p>
        </w:tc>
        <w:tc>
          <w:tcPr>
            <w:tcW w:w="1496" w:type="dxa"/>
            <w:tcBorders>
              <w:tl2br w:val="nil"/>
              <w:tr2bl w:val="nil"/>
            </w:tcBorders>
            <w:vAlign w:val="center"/>
          </w:tcPr>
          <w:p>
            <w:pPr>
              <w:adjustRightInd w:val="0"/>
              <w:snapToGrid w:val="0"/>
              <w:spacing w:line="360" w:lineRule="auto"/>
              <w:jc w:val="center"/>
              <w:rPr>
                <w:rFonts w:hint="default" w:ascii="Times New Roman" w:hAnsi="Times New Roman" w:cs="Times New Roman"/>
                <w:sz w:val="22"/>
                <w:szCs w:val="22"/>
                <w:u w:val="none" w:color="auto"/>
              </w:rPr>
            </w:pPr>
            <w:r>
              <w:rPr>
                <w:rFonts w:hint="eastAsia" w:cs="Times New Roman"/>
                <w:sz w:val="22"/>
                <w:szCs w:val="22"/>
                <w:u w:val="none" w:color="auto"/>
                <w:lang w:eastAsia="zh-CN"/>
              </w:rPr>
              <w:t>印刷</w:t>
            </w:r>
          </w:p>
        </w:tc>
        <w:tc>
          <w:tcPr>
            <w:tcW w:w="2918" w:type="dxa"/>
            <w:tcBorders>
              <w:tl2br w:val="nil"/>
              <w:tr2bl w:val="nil"/>
            </w:tcBorders>
            <w:vAlign w:val="center"/>
          </w:tcPr>
          <w:p>
            <w:pPr>
              <w:spacing w:line="360" w:lineRule="auto"/>
              <w:jc w:val="center"/>
              <w:rPr>
                <w:rFonts w:hint="default" w:ascii="Times New Roman" w:hAnsi="Times New Roman" w:cs="Times New Roman"/>
                <w:kern w:val="0"/>
                <w:sz w:val="22"/>
                <w:szCs w:val="22"/>
                <w:u w:val="none" w:color="auto"/>
              </w:rPr>
            </w:pPr>
            <w:r>
              <w:rPr>
                <w:rFonts w:hint="eastAsia" w:cs="Times New Roman"/>
                <w:color w:val="auto"/>
                <w:sz w:val="22"/>
                <w:szCs w:val="22"/>
                <w:u w:val="none" w:color="auto"/>
                <w:lang w:val="en-US" w:eastAsia="zh-CN"/>
              </w:rPr>
              <w:t>排风扇抽排风</w:t>
            </w:r>
          </w:p>
        </w:tc>
        <w:tc>
          <w:tcPr>
            <w:tcW w:w="2642" w:type="dxa"/>
            <w:tcBorders>
              <w:tl2br w:val="nil"/>
              <w:tr2bl w:val="nil"/>
            </w:tcBorders>
            <w:vAlign w:val="center"/>
          </w:tcPr>
          <w:p>
            <w:pPr>
              <w:adjustRightInd w:val="0"/>
              <w:snapToGrid w:val="0"/>
              <w:spacing w:line="360" w:lineRule="auto"/>
              <w:ind w:left="-105" w:right="-105"/>
              <w:jc w:val="center"/>
              <w:rPr>
                <w:rFonts w:hint="eastAsia" w:ascii="Times New Roman" w:hAnsi="Times New Roman" w:eastAsia="宋体" w:cs="Times New Roman"/>
                <w:kern w:val="0"/>
                <w:sz w:val="22"/>
                <w:szCs w:val="22"/>
                <w:u w:val="none" w:color="auto"/>
                <w:lang w:eastAsia="zh-CN"/>
              </w:rPr>
            </w:pPr>
            <w:r>
              <w:rPr>
                <w:rFonts w:hint="eastAsia" w:cs="Times New Roman"/>
                <w:color w:val="auto"/>
                <w:kern w:val="0"/>
                <w:sz w:val="22"/>
                <w:szCs w:val="22"/>
                <w:u w:val="none" w:color="auto"/>
                <w:lang w:val="en-US" w:eastAsia="zh-CN" w:bidi="ar"/>
              </w:rPr>
              <w:t>《印刷业挥发性有机物排放标准》（DB43/1357-2017）中排放标准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78" w:type="dxa"/>
            <w:vMerge w:val="restart"/>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水污染物</w:t>
            </w:r>
          </w:p>
        </w:tc>
        <w:tc>
          <w:tcPr>
            <w:tcW w:w="567" w:type="dxa"/>
            <w:vMerge w:val="restart"/>
            <w:tcBorders>
              <w:tl2br w:val="nil"/>
              <w:tr2bl w:val="nil"/>
            </w:tcBorders>
            <w:vAlign w:val="center"/>
          </w:tcPr>
          <w:p>
            <w:pPr>
              <w:adjustRightInd w:val="0"/>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营运期</w:t>
            </w:r>
          </w:p>
        </w:tc>
        <w:tc>
          <w:tcPr>
            <w:tcW w:w="1339" w:type="dxa"/>
            <w:tcBorders>
              <w:tl2br w:val="nil"/>
              <w:tr2bl w:val="nil"/>
            </w:tcBorders>
            <w:vAlign w:val="center"/>
          </w:tcPr>
          <w:p>
            <w:pPr>
              <w:adjustRightInd w:val="0"/>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生活</w:t>
            </w:r>
          </w:p>
          <w:p>
            <w:pPr>
              <w:adjustRightInd w:val="0"/>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污水</w:t>
            </w:r>
          </w:p>
        </w:tc>
        <w:tc>
          <w:tcPr>
            <w:tcW w:w="1496" w:type="dxa"/>
            <w:tcBorders>
              <w:tl2br w:val="nil"/>
              <w:tr2bl w:val="nil"/>
            </w:tcBorders>
            <w:vAlign w:val="center"/>
          </w:tcPr>
          <w:p>
            <w:pPr>
              <w:pStyle w:val="124"/>
              <w:overflowPunct/>
              <w:autoSpaceDE/>
              <w:autoSpaceDN/>
              <w:snapToGrid w:val="0"/>
              <w:spacing w:line="360" w:lineRule="auto"/>
              <w:jc w:val="center"/>
              <w:textAlignment w:val="auto"/>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COD</w:t>
            </w:r>
            <w:r>
              <w:rPr>
                <w:rFonts w:hint="default" w:ascii="Times New Roman" w:hAnsi="Times New Roman" w:cs="Times New Roman"/>
                <w:sz w:val="22"/>
                <w:szCs w:val="22"/>
                <w:u w:val="none" w:color="auto"/>
                <w:vertAlign w:val="subscript"/>
              </w:rPr>
              <w:t>Cr</w:t>
            </w:r>
            <w:r>
              <w:rPr>
                <w:rFonts w:hint="default" w:ascii="Times New Roman" w:hAnsi="Times New Roman" w:cs="Times New Roman"/>
                <w:sz w:val="22"/>
                <w:szCs w:val="22"/>
                <w:u w:val="none" w:color="auto"/>
              </w:rPr>
              <w:t>、NH</w:t>
            </w:r>
            <w:r>
              <w:rPr>
                <w:rFonts w:hint="default" w:ascii="Times New Roman" w:hAnsi="Times New Roman" w:cs="Times New Roman"/>
                <w:sz w:val="22"/>
                <w:szCs w:val="22"/>
                <w:u w:val="none" w:color="auto"/>
                <w:vertAlign w:val="subscript"/>
              </w:rPr>
              <w:t>3</w:t>
            </w:r>
            <w:r>
              <w:rPr>
                <w:rFonts w:hint="default" w:ascii="Times New Roman" w:hAnsi="Times New Roman" w:cs="Times New Roman"/>
                <w:sz w:val="22"/>
                <w:szCs w:val="22"/>
                <w:u w:val="none" w:color="auto"/>
              </w:rPr>
              <w:t>-N</w:t>
            </w:r>
          </w:p>
        </w:tc>
        <w:tc>
          <w:tcPr>
            <w:tcW w:w="2918" w:type="dxa"/>
            <w:tcBorders>
              <w:tl2br w:val="nil"/>
              <w:tr2bl w:val="nil"/>
            </w:tcBorders>
            <w:vAlign w:val="center"/>
          </w:tcPr>
          <w:p>
            <w:pPr>
              <w:pStyle w:val="4"/>
              <w:spacing w:before="162" w:line="360" w:lineRule="auto"/>
              <w:ind w:firstLine="0" w:firstLineChars="0"/>
              <w:jc w:val="center"/>
              <w:rPr>
                <w:rFonts w:hint="default" w:ascii="Times New Roman" w:hAnsi="Times New Roman" w:cs="Times New Roman"/>
                <w:sz w:val="22"/>
                <w:szCs w:val="22"/>
                <w:u w:val="none" w:color="auto"/>
                <w:lang w:val="en-US"/>
              </w:rPr>
            </w:pPr>
            <w:r>
              <w:rPr>
                <w:rFonts w:hint="default" w:ascii="Times New Roman" w:hAnsi="Times New Roman" w:cs="Times New Roman"/>
                <w:sz w:val="22"/>
                <w:szCs w:val="22"/>
                <w:u w:val="none" w:color="auto"/>
                <w:lang w:bidi="ar"/>
              </w:rPr>
              <w:t>化粪池</w:t>
            </w:r>
            <w:r>
              <w:rPr>
                <w:rFonts w:hint="eastAsia" w:cs="Times New Roman"/>
                <w:color w:val="auto"/>
                <w:sz w:val="22"/>
                <w:szCs w:val="22"/>
                <w:u w:val="none" w:color="auto"/>
                <w:lang w:eastAsia="zh-CN"/>
              </w:rPr>
              <w:t>、园区自建污水处理站（</w:t>
            </w:r>
            <w:r>
              <w:rPr>
                <w:rFonts w:hint="eastAsia" w:cs="Times New Roman"/>
                <w:color w:val="auto"/>
                <w:sz w:val="22"/>
                <w:szCs w:val="22"/>
                <w:u w:val="none" w:color="auto"/>
                <w:lang w:val="en-US" w:eastAsia="zh-CN"/>
              </w:rPr>
              <w:t>近期</w:t>
            </w:r>
            <w:r>
              <w:rPr>
                <w:rFonts w:hint="eastAsia" w:cs="Times New Roman"/>
                <w:color w:val="auto"/>
                <w:sz w:val="22"/>
                <w:szCs w:val="22"/>
                <w:u w:val="none" w:color="auto"/>
                <w:lang w:eastAsia="zh-CN"/>
              </w:rPr>
              <w:t>），</w:t>
            </w:r>
            <w:r>
              <w:rPr>
                <w:rFonts w:hint="eastAsia" w:cs="Times New Roman"/>
                <w:color w:val="auto"/>
                <w:sz w:val="22"/>
                <w:szCs w:val="22"/>
                <w:u w:val="none" w:color="auto"/>
                <w:lang w:val="en-US" w:eastAsia="zh-CN"/>
              </w:rPr>
              <w:t>湘阴县第三污水处理厂（远期）</w:t>
            </w:r>
          </w:p>
        </w:tc>
        <w:tc>
          <w:tcPr>
            <w:tcW w:w="2642" w:type="dxa"/>
            <w:tcBorders>
              <w:tl2br w:val="nil"/>
              <w:tr2bl w:val="nil"/>
            </w:tcBorders>
            <w:vAlign w:val="center"/>
          </w:tcPr>
          <w:p>
            <w:pPr>
              <w:adjustRightInd w:val="0"/>
              <w:snapToGrid w:val="0"/>
              <w:spacing w:line="360" w:lineRule="auto"/>
              <w:ind w:left="-105" w:right="-105"/>
              <w:jc w:val="center"/>
              <w:rPr>
                <w:rFonts w:hint="eastAsia" w:ascii="Times New Roman" w:hAnsi="Times New Roman" w:eastAsia="宋体" w:cs="Times New Roman"/>
                <w:sz w:val="22"/>
                <w:szCs w:val="22"/>
                <w:u w:val="none" w:color="auto"/>
                <w:lang w:eastAsia="zh-CN"/>
              </w:rPr>
            </w:pPr>
            <w:r>
              <w:rPr>
                <w:sz w:val="22"/>
                <w:szCs w:val="22"/>
                <w:u w:val="none" w:color="auto"/>
              </w:rPr>
              <w:t>《城镇污水处理厂污染物排放标准（GB18918—2002）》中一级标准的A类标准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567" w:type="dxa"/>
            <w:vMerge w:val="continue"/>
            <w:tcBorders>
              <w:tl2br w:val="nil"/>
              <w:tr2bl w:val="nil"/>
            </w:tcBorders>
            <w:vAlign w:val="center"/>
          </w:tcPr>
          <w:p>
            <w:pPr>
              <w:adjustRightInd w:val="0"/>
              <w:snapToGrid w:val="0"/>
              <w:spacing w:line="360" w:lineRule="auto"/>
              <w:jc w:val="center"/>
              <w:rPr>
                <w:rFonts w:hint="default" w:ascii="Times New Roman" w:hAnsi="Times New Roman" w:cs="Times New Roman"/>
                <w:sz w:val="22"/>
                <w:szCs w:val="22"/>
                <w:u w:val="none" w:color="auto"/>
              </w:rPr>
            </w:pPr>
          </w:p>
        </w:tc>
        <w:tc>
          <w:tcPr>
            <w:tcW w:w="1339" w:type="dxa"/>
            <w:tcBorders>
              <w:tl2br w:val="nil"/>
              <w:tr2bl w:val="nil"/>
            </w:tcBorders>
            <w:vAlign w:val="center"/>
          </w:tcPr>
          <w:p>
            <w:pPr>
              <w:adjustRightInd w:val="0"/>
              <w:snapToGrid w:val="0"/>
              <w:spacing w:line="360" w:lineRule="auto"/>
              <w:jc w:val="center"/>
              <w:rPr>
                <w:rFonts w:hint="eastAsia" w:ascii="Times New Roman" w:hAnsi="Times New Roman" w:eastAsia="宋体" w:cs="Times New Roman"/>
                <w:sz w:val="22"/>
                <w:szCs w:val="22"/>
                <w:u w:val="none" w:color="auto"/>
                <w:lang w:eastAsia="zh-CN"/>
              </w:rPr>
            </w:pPr>
            <w:r>
              <w:rPr>
                <w:rFonts w:hint="eastAsia" w:cs="Times New Roman"/>
                <w:sz w:val="22"/>
                <w:szCs w:val="22"/>
                <w:u w:val="none" w:color="auto"/>
                <w:lang w:eastAsia="zh-CN"/>
              </w:rPr>
              <w:t>冷却水</w:t>
            </w:r>
          </w:p>
        </w:tc>
        <w:tc>
          <w:tcPr>
            <w:tcW w:w="4414" w:type="dxa"/>
            <w:gridSpan w:val="2"/>
            <w:tcBorders>
              <w:tl2br w:val="nil"/>
              <w:tr2bl w:val="nil"/>
            </w:tcBorders>
            <w:vAlign w:val="center"/>
          </w:tcPr>
          <w:p>
            <w:pPr>
              <w:pStyle w:val="4"/>
              <w:spacing w:before="162" w:line="360" w:lineRule="auto"/>
              <w:ind w:firstLine="0" w:firstLineChars="0"/>
              <w:jc w:val="center"/>
              <w:rPr>
                <w:rFonts w:hint="eastAsia" w:ascii="Times New Roman" w:hAnsi="Times New Roman" w:eastAsia="宋体" w:cs="Times New Roman"/>
                <w:sz w:val="22"/>
                <w:szCs w:val="22"/>
                <w:u w:val="none" w:color="auto"/>
                <w:lang w:eastAsia="zh-CN" w:bidi="ar"/>
              </w:rPr>
            </w:pPr>
            <w:r>
              <w:rPr>
                <w:rFonts w:hint="eastAsia" w:cs="Times New Roman"/>
                <w:sz w:val="22"/>
                <w:szCs w:val="22"/>
                <w:u w:val="none" w:color="auto"/>
                <w:lang w:eastAsia="zh-CN" w:bidi="ar"/>
              </w:rPr>
              <w:t>循环水池</w:t>
            </w:r>
          </w:p>
        </w:tc>
        <w:tc>
          <w:tcPr>
            <w:tcW w:w="2642" w:type="dxa"/>
            <w:tcBorders>
              <w:tl2br w:val="nil"/>
              <w:tr2bl w:val="nil"/>
            </w:tcBorders>
            <w:vAlign w:val="center"/>
          </w:tcPr>
          <w:p>
            <w:pPr>
              <w:adjustRightInd w:val="0"/>
              <w:snapToGrid w:val="0"/>
              <w:spacing w:line="360" w:lineRule="auto"/>
              <w:ind w:left="-105" w:right="-105"/>
              <w:jc w:val="center"/>
              <w:rPr>
                <w:rFonts w:hint="eastAsia" w:eastAsia="宋体"/>
                <w:sz w:val="22"/>
                <w:szCs w:val="22"/>
                <w:u w:val="none" w:color="auto"/>
                <w:lang w:eastAsia="zh-CN"/>
              </w:rPr>
            </w:pPr>
            <w:r>
              <w:rPr>
                <w:rFonts w:hint="eastAsia"/>
                <w:sz w:val="22"/>
                <w:szCs w:val="22"/>
                <w:u w:val="none" w:color="auto"/>
                <w:lang w:eastAsia="zh-CN"/>
              </w:rPr>
              <w:t>循环使用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78" w:type="dxa"/>
            <w:vMerge w:val="restart"/>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固体废弃物</w:t>
            </w:r>
          </w:p>
        </w:tc>
        <w:tc>
          <w:tcPr>
            <w:tcW w:w="567" w:type="dxa"/>
            <w:vMerge w:val="restart"/>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营运期</w:t>
            </w:r>
          </w:p>
        </w:tc>
        <w:tc>
          <w:tcPr>
            <w:tcW w:w="1339" w:type="dxa"/>
            <w:vMerge w:val="restart"/>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生产</w:t>
            </w:r>
          </w:p>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车间</w:t>
            </w:r>
          </w:p>
        </w:tc>
        <w:tc>
          <w:tcPr>
            <w:tcW w:w="1496"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eastAsia"/>
                <w:sz w:val="22"/>
                <w:szCs w:val="22"/>
                <w:u w:val="none" w:color="auto"/>
                <w:lang w:eastAsia="zh-CN"/>
              </w:rPr>
              <w:t>废边角料</w:t>
            </w:r>
          </w:p>
        </w:tc>
        <w:tc>
          <w:tcPr>
            <w:tcW w:w="2918" w:type="dxa"/>
            <w:tcBorders>
              <w:tl2br w:val="nil"/>
              <w:tr2bl w:val="nil"/>
            </w:tcBorders>
            <w:vAlign w:val="center"/>
          </w:tcPr>
          <w:p>
            <w:pPr>
              <w:spacing w:line="360" w:lineRule="auto"/>
              <w:jc w:val="center"/>
              <w:rPr>
                <w:rFonts w:hint="eastAsia" w:ascii="Times New Roman" w:hAnsi="Times New Roman" w:eastAsia="宋体" w:cs="Times New Roman"/>
                <w:sz w:val="22"/>
                <w:szCs w:val="22"/>
                <w:u w:val="none" w:color="auto"/>
                <w:lang w:eastAsia="zh-CN"/>
              </w:rPr>
            </w:pPr>
            <w:r>
              <w:rPr>
                <w:rFonts w:hint="eastAsia"/>
                <w:sz w:val="22"/>
                <w:szCs w:val="22"/>
                <w:u w:val="none" w:color="auto"/>
                <w:lang w:eastAsia="zh-CN"/>
              </w:rPr>
              <w:t>收集后交由环卫部门进行处理</w:t>
            </w:r>
          </w:p>
        </w:tc>
        <w:tc>
          <w:tcPr>
            <w:tcW w:w="2642" w:type="dxa"/>
            <w:vMerge w:val="restart"/>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资源化</w:t>
            </w:r>
          </w:p>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无害化</w:t>
            </w:r>
          </w:p>
          <w:p>
            <w:pPr>
              <w:snapToGrid w:val="0"/>
              <w:spacing w:line="360" w:lineRule="auto"/>
              <w:jc w:val="center"/>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减量化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567"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1339"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1496"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rFonts w:hint="eastAsia"/>
                <w:sz w:val="22"/>
                <w:szCs w:val="22"/>
                <w:u w:val="none" w:color="auto"/>
                <w:lang w:eastAsia="zh-CN"/>
              </w:rPr>
              <w:t>废油墨桶</w:t>
            </w:r>
          </w:p>
        </w:tc>
        <w:tc>
          <w:tcPr>
            <w:tcW w:w="2918"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sz w:val="22"/>
                <w:szCs w:val="22"/>
                <w:u w:val="none" w:color="auto"/>
              </w:rPr>
              <w:t>暂存危废暂存间，定期交由</w:t>
            </w:r>
            <w:r>
              <w:rPr>
                <w:rFonts w:hint="eastAsia"/>
                <w:sz w:val="22"/>
                <w:szCs w:val="22"/>
                <w:u w:val="none" w:color="auto"/>
                <w:lang w:eastAsia="zh-CN"/>
              </w:rPr>
              <w:t>生产厂家回收或交由有资质单位进行处理</w:t>
            </w:r>
          </w:p>
        </w:tc>
        <w:tc>
          <w:tcPr>
            <w:tcW w:w="2642"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567"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1339"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1496" w:type="dxa"/>
            <w:tcBorders>
              <w:tl2br w:val="nil"/>
              <w:tr2bl w:val="nil"/>
            </w:tcBorders>
            <w:vAlign w:val="center"/>
          </w:tcPr>
          <w:p>
            <w:pPr>
              <w:spacing w:line="360" w:lineRule="auto"/>
              <w:jc w:val="center"/>
              <w:rPr>
                <w:rFonts w:hint="eastAsia" w:cs="Times New Roman"/>
                <w:sz w:val="22"/>
                <w:szCs w:val="22"/>
                <w:u w:val="none" w:color="auto"/>
                <w:lang w:eastAsia="zh-CN"/>
              </w:rPr>
            </w:pPr>
            <w:r>
              <w:rPr>
                <w:rFonts w:hint="eastAsia"/>
                <w:sz w:val="22"/>
                <w:szCs w:val="22"/>
                <w:u w:val="none" w:color="auto"/>
                <w:lang w:eastAsia="zh-CN"/>
              </w:rPr>
              <w:t>废活性炭</w:t>
            </w:r>
          </w:p>
        </w:tc>
        <w:tc>
          <w:tcPr>
            <w:tcW w:w="2918" w:type="dxa"/>
            <w:tcBorders>
              <w:tl2br w:val="nil"/>
              <w:tr2bl w:val="nil"/>
            </w:tcBorders>
            <w:vAlign w:val="center"/>
          </w:tcPr>
          <w:p>
            <w:pPr>
              <w:spacing w:line="360" w:lineRule="auto"/>
              <w:jc w:val="center"/>
              <w:rPr>
                <w:rFonts w:hint="eastAsia" w:cs="Times New Roman"/>
                <w:sz w:val="22"/>
                <w:szCs w:val="22"/>
                <w:u w:val="none" w:color="auto"/>
                <w:lang w:eastAsia="zh-CN"/>
              </w:rPr>
            </w:pPr>
            <w:r>
              <w:rPr>
                <w:sz w:val="22"/>
                <w:szCs w:val="22"/>
                <w:u w:val="none" w:color="auto"/>
              </w:rPr>
              <w:t>暂存危废暂存间，定期交由</w:t>
            </w:r>
            <w:r>
              <w:rPr>
                <w:rFonts w:hint="eastAsia"/>
                <w:sz w:val="22"/>
                <w:szCs w:val="22"/>
                <w:u w:val="none" w:color="auto"/>
                <w:lang w:eastAsia="zh-CN"/>
              </w:rPr>
              <w:t>有资质单位进行处理</w:t>
            </w:r>
          </w:p>
        </w:tc>
        <w:tc>
          <w:tcPr>
            <w:tcW w:w="2642"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78"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567"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1339"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c>
          <w:tcPr>
            <w:tcW w:w="1496" w:type="dxa"/>
            <w:tcBorders>
              <w:tl2br w:val="nil"/>
              <w:tr2bl w:val="nil"/>
            </w:tcBorders>
            <w:vAlign w:val="center"/>
          </w:tcPr>
          <w:p>
            <w:pPr>
              <w:spacing w:line="360" w:lineRule="auto"/>
              <w:jc w:val="center"/>
              <w:rPr>
                <w:rFonts w:hint="eastAsia"/>
                <w:sz w:val="22"/>
                <w:szCs w:val="22"/>
                <w:u w:val="none" w:color="auto"/>
                <w:lang w:eastAsia="zh-CN"/>
              </w:rPr>
            </w:pPr>
            <w:r>
              <w:rPr>
                <w:rFonts w:hint="eastAsia"/>
                <w:sz w:val="22"/>
                <w:szCs w:val="22"/>
                <w:u w:val="none" w:color="auto"/>
                <w:lang w:eastAsia="zh-CN"/>
              </w:rPr>
              <w:t>生活垃圾</w:t>
            </w:r>
          </w:p>
        </w:tc>
        <w:tc>
          <w:tcPr>
            <w:tcW w:w="2918" w:type="dxa"/>
            <w:tcBorders>
              <w:tl2br w:val="nil"/>
              <w:tr2bl w:val="nil"/>
            </w:tcBorders>
            <w:vAlign w:val="center"/>
          </w:tcPr>
          <w:p>
            <w:pPr>
              <w:spacing w:line="360" w:lineRule="auto"/>
              <w:jc w:val="center"/>
              <w:rPr>
                <w:rFonts w:hint="default" w:ascii="Times New Roman" w:hAnsi="Times New Roman" w:cs="Times New Roman"/>
                <w:sz w:val="22"/>
                <w:szCs w:val="22"/>
                <w:u w:val="none" w:color="auto"/>
              </w:rPr>
            </w:pPr>
            <w:r>
              <w:rPr>
                <w:sz w:val="22"/>
                <w:szCs w:val="22"/>
                <w:u w:val="none" w:color="auto"/>
              </w:rPr>
              <w:t>收集后交环卫部门统一清运处理</w:t>
            </w:r>
          </w:p>
        </w:tc>
        <w:tc>
          <w:tcPr>
            <w:tcW w:w="2642" w:type="dxa"/>
            <w:vMerge w:val="continue"/>
            <w:tcBorders>
              <w:tl2br w:val="nil"/>
              <w:tr2bl w:val="nil"/>
            </w:tcBorders>
            <w:vAlign w:val="center"/>
          </w:tcPr>
          <w:p>
            <w:pPr>
              <w:snapToGrid w:val="0"/>
              <w:spacing w:line="360" w:lineRule="auto"/>
              <w:jc w:val="center"/>
              <w:rPr>
                <w:rFonts w:hint="default" w:ascii="Times New Roman" w:hAnsi="Times New Roman" w:cs="Times New Roman"/>
                <w:sz w:val="22"/>
                <w:szCs w:val="22"/>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78" w:type="dxa"/>
            <w:tcBorders>
              <w:tl2br w:val="nil"/>
              <w:tr2bl w:val="nil"/>
            </w:tcBorders>
            <w:vAlign w:val="center"/>
          </w:tcPr>
          <w:p>
            <w:pPr>
              <w:snapToGrid w:val="0"/>
              <w:spacing w:line="360" w:lineRule="auto"/>
              <w:jc w:val="center"/>
              <w:rPr>
                <w:rFonts w:hint="default" w:ascii="Times New Roman" w:hAnsi="Times New Roman" w:cs="Times New Roman"/>
                <w:kern w:val="0"/>
                <w:sz w:val="22"/>
                <w:szCs w:val="22"/>
                <w:u w:val="none" w:color="auto"/>
              </w:rPr>
            </w:pPr>
            <w:r>
              <w:rPr>
                <w:rFonts w:hint="default" w:ascii="Times New Roman" w:hAnsi="Times New Roman" w:cs="Times New Roman"/>
                <w:kern w:val="0"/>
                <w:sz w:val="22"/>
                <w:szCs w:val="22"/>
                <w:u w:val="none" w:color="auto"/>
              </w:rPr>
              <w:t>噪声</w:t>
            </w:r>
          </w:p>
        </w:tc>
        <w:tc>
          <w:tcPr>
            <w:tcW w:w="567" w:type="dxa"/>
            <w:tcBorders>
              <w:tl2br w:val="nil"/>
              <w:tr2bl w:val="nil"/>
            </w:tcBorders>
            <w:vAlign w:val="center"/>
          </w:tcPr>
          <w:p>
            <w:pPr>
              <w:snapToGrid w:val="0"/>
              <w:spacing w:line="360" w:lineRule="auto"/>
              <w:jc w:val="center"/>
              <w:rPr>
                <w:rFonts w:hint="default" w:ascii="Times New Roman" w:hAnsi="Times New Roman" w:cs="Times New Roman"/>
                <w:b/>
                <w:kern w:val="0"/>
                <w:sz w:val="22"/>
                <w:szCs w:val="22"/>
                <w:u w:val="none" w:color="auto"/>
              </w:rPr>
            </w:pPr>
            <w:r>
              <w:rPr>
                <w:rFonts w:hint="default" w:ascii="Times New Roman" w:hAnsi="Times New Roman" w:cs="Times New Roman"/>
                <w:sz w:val="22"/>
                <w:szCs w:val="22"/>
                <w:u w:val="none" w:color="auto"/>
              </w:rPr>
              <w:t>营运期</w:t>
            </w:r>
          </w:p>
        </w:tc>
        <w:tc>
          <w:tcPr>
            <w:tcW w:w="8395" w:type="dxa"/>
            <w:gridSpan w:val="4"/>
            <w:tcBorders>
              <w:tl2br w:val="nil"/>
              <w:tr2bl w:val="nil"/>
            </w:tcBorders>
          </w:tcPr>
          <w:p>
            <w:pPr>
              <w:snapToGrid w:val="0"/>
              <w:spacing w:line="360" w:lineRule="auto"/>
              <w:jc w:val="left"/>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噪声主要来源于</w:t>
            </w:r>
            <w:r>
              <w:rPr>
                <w:rFonts w:hint="eastAsia" w:cs="Times New Roman"/>
                <w:sz w:val="22"/>
                <w:szCs w:val="22"/>
                <w:u w:val="none" w:color="auto"/>
                <w:lang w:eastAsia="zh-CN"/>
              </w:rPr>
              <w:t>混料机、空压机、切条机</w:t>
            </w:r>
            <w:r>
              <w:rPr>
                <w:rFonts w:hint="default" w:ascii="Times New Roman" w:hAnsi="Times New Roman" w:cs="Times New Roman"/>
                <w:sz w:val="22"/>
                <w:szCs w:val="22"/>
                <w:u w:val="none" w:color="auto"/>
              </w:rPr>
              <w:t>等运行过程所产生的噪声，声值为</w:t>
            </w:r>
            <w:r>
              <w:rPr>
                <w:rFonts w:hint="eastAsia" w:cs="Times New Roman"/>
                <w:sz w:val="22"/>
                <w:szCs w:val="22"/>
                <w:u w:val="none" w:color="auto"/>
                <w:lang w:val="en-US" w:eastAsia="zh-CN"/>
              </w:rPr>
              <w:t>65</w:t>
            </w:r>
            <w:r>
              <w:rPr>
                <w:rFonts w:hint="default" w:ascii="Times New Roman" w:hAnsi="Times New Roman" w:cs="Times New Roman"/>
                <w:sz w:val="22"/>
                <w:szCs w:val="22"/>
                <w:u w:val="none" w:color="auto"/>
              </w:rPr>
              <w:t>~8</w:t>
            </w:r>
            <w:r>
              <w:rPr>
                <w:rFonts w:hint="eastAsia" w:cs="Times New Roman"/>
                <w:sz w:val="22"/>
                <w:szCs w:val="22"/>
                <w:u w:val="none" w:color="auto"/>
                <w:lang w:val="en-US" w:eastAsia="zh-CN"/>
              </w:rPr>
              <w:t>0</w:t>
            </w:r>
            <w:r>
              <w:rPr>
                <w:rFonts w:hint="default" w:ascii="Times New Roman" w:hAnsi="Times New Roman" w:cs="Times New Roman"/>
                <w:sz w:val="22"/>
                <w:szCs w:val="22"/>
                <w:u w:val="none" w:color="auto"/>
              </w:rPr>
              <w:t>dB(A)，经采取合理布局、隔音、减振等措施，使厂界噪声达到《工业企业场界环境噪声排放标准》（GB12348-2008）</w:t>
            </w:r>
            <w:r>
              <w:rPr>
                <w:rFonts w:hint="eastAsia" w:cs="Times New Roman"/>
                <w:sz w:val="22"/>
                <w:szCs w:val="22"/>
                <w:u w:val="none" w:color="auto"/>
                <w:lang w:val="en-US" w:eastAsia="zh-CN"/>
              </w:rPr>
              <w:t>3</w:t>
            </w:r>
            <w:r>
              <w:rPr>
                <w:rFonts w:hint="default" w:ascii="Times New Roman" w:hAnsi="Times New Roman" w:cs="Times New Roman"/>
                <w:sz w:val="22"/>
                <w:szCs w:val="22"/>
                <w:u w:val="none" w:color="auto"/>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940" w:type="dxa"/>
            <w:gridSpan w:val="6"/>
            <w:tcBorders>
              <w:tl2br w:val="nil"/>
              <w:tr2bl w:val="nil"/>
            </w:tcBorders>
          </w:tcPr>
          <w:p>
            <w:pPr>
              <w:snapToGrid w:val="0"/>
              <w:spacing w:line="360" w:lineRule="auto"/>
              <w:rPr>
                <w:rFonts w:hint="default" w:ascii="Times New Roman" w:hAnsi="Times New Roman" w:cs="Times New Roman"/>
                <w:b/>
                <w:kern w:val="0"/>
                <w:sz w:val="22"/>
                <w:szCs w:val="22"/>
                <w:u w:val="none" w:color="auto"/>
              </w:rPr>
            </w:pPr>
            <w:r>
              <w:rPr>
                <w:rFonts w:hint="default" w:ascii="Times New Roman" w:hAnsi="Times New Roman" w:cs="Times New Roman"/>
                <w:b/>
                <w:kern w:val="0"/>
                <w:sz w:val="22"/>
                <w:szCs w:val="22"/>
                <w:u w:val="none" w:color="auto"/>
              </w:rPr>
              <w:t>生态保护措施及预期效果：</w:t>
            </w:r>
          </w:p>
          <w:p>
            <w:pPr>
              <w:snapToGrid w:val="0"/>
              <w:spacing w:line="360" w:lineRule="auto"/>
              <w:ind w:firstLine="482"/>
              <w:rPr>
                <w:rFonts w:hint="default" w:ascii="Times New Roman" w:hAnsi="Times New Roman" w:cs="Times New Roman"/>
                <w:sz w:val="22"/>
                <w:szCs w:val="22"/>
                <w:u w:val="none" w:color="auto"/>
              </w:rPr>
            </w:pPr>
            <w:r>
              <w:rPr>
                <w:rFonts w:hint="default" w:ascii="Times New Roman" w:hAnsi="Times New Roman" w:cs="Times New Roman"/>
                <w:sz w:val="22"/>
                <w:szCs w:val="22"/>
                <w:u w:val="none" w:color="auto"/>
              </w:rPr>
              <w:t>本项目位于</w:t>
            </w:r>
            <w:r>
              <w:rPr>
                <w:rFonts w:hint="eastAsia" w:cs="Times New Roman"/>
                <w:sz w:val="22"/>
                <w:szCs w:val="22"/>
                <w:u w:val="none" w:color="auto"/>
                <w:lang w:eastAsia="zh-CN"/>
              </w:rPr>
              <w:t>岳阳市湘阴县金龙新区工业园湖南卓达置业有限公司一期7A栋</w:t>
            </w:r>
            <w:r>
              <w:rPr>
                <w:rFonts w:hint="eastAsia" w:ascii="Times New Roman" w:hAnsi="Times New Roman" w:cs="Times New Roman"/>
                <w:color w:val="auto"/>
                <w:sz w:val="22"/>
                <w:szCs w:val="22"/>
                <w:u w:val="none" w:color="auto"/>
                <w:lang w:eastAsia="zh-CN"/>
              </w:rPr>
              <w:t>现有</w:t>
            </w:r>
            <w:r>
              <w:rPr>
                <w:rFonts w:hint="default" w:ascii="Times New Roman" w:hAnsi="Times New Roman" w:cs="Times New Roman"/>
                <w:color w:val="auto"/>
                <w:sz w:val="22"/>
                <w:szCs w:val="22"/>
                <w:u w:val="none" w:color="auto"/>
              </w:rPr>
              <w:t>厂房进行生产，不会对生态环境产生影响。此外，项目营运期产生的废气、废水、固废和噪声均得到有效处理与处置，项目营运不会对周围的生态环境产生明显影响。</w:t>
            </w:r>
          </w:p>
        </w:tc>
      </w:tr>
    </w:tbl>
    <w:p>
      <w:pPr>
        <w:snapToGrid w:val="0"/>
        <w:jc w:val="left"/>
        <w:outlineLvl w:val="0"/>
        <w:rPr>
          <w:u w:val="none" w:color="auto"/>
        </w:rPr>
      </w:pPr>
      <w:r>
        <w:rPr>
          <w:u w:val="none" w:color="auto"/>
        </w:rPr>
        <w:br w:type="page"/>
      </w:r>
      <w:bookmarkStart w:id="12" w:name="_Toc22711"/>
      <w:r>
        <w:rPr>
          <w:rFonts w:hint="eastAsia" w:eastAsia="黑体"/>
          <w:sz w:val="32"/>
          <w:u w:val="none" w:color="auto"/>
        </w:rPr>
        <w:t>九、</w:t>
      </w:r>
      <w:r>
        <w:rPr>
          <w:rFonts w:eastAsia="黑体"/>
          <w:sz w:val="32"/>
          <w:u w:val="none" w:color="auto"/>
        </w:rPr>
        <w:t>结论与建议</w:t>
      </w:r>
      <w:bookmarkEnd w:id="12"/>
    </w:p>
    <w:tbl>
      <w:tblPr>
        <w:tblStyle w:val="40"/>
        <w:tblW w:w="935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85" w:type="dxa"/>
          <w:bottom w:w="0" w:type="dxa"/>
          <w:right w:w="85" w:type="dxa"/>
        </w:tblCellMar>
      </w:tblPr>
      <w:tblGrid>
        <w:gridCol w:w="935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85" w:type="dxa"/>
            <w:bottom w:w="0" w:type="dxa"/>
            <w:right w:w="85" w:type="dxa"/>
          </w:tblCellMar>
        </w:tblPrEx>
        <w:trPr>
          <w:trHeight w:val="13397" w:hRule="atLeast"/>
          <w:jc w:val="center"/>
        </w:trPr>
        <w:tc>
          <w:tcPr>
            <w:tcW w:w="9356" w:type="dxa"/>
          </w:tcPr>
          <w:p>
            <w:pPr>
              <w:snapToGrid w:val="0"/>
              <w:spacing w:line="360" w:lineRule="auto"/>
              <w:rPr>
                <w:b/>
                <w:sz w:val="24"/>
                <w:szCs w:val="24"/>
                <w:u w:val="none" w:color="auto"/>
              </w:rPr>
            </w:pPr>
            <w:r>
              <w:rPr>
                <w:b/>
                <w:sz w:val="24"/>
                <w:szCs w:val="24"/>
                <w:u w:val="none" w:color="auto"/>
              </w:rPr>
              <w:t>一. 结论</w:t>
            </w:r>
          </w:p>
          <w:p>
            <w:pPr>
              <w:adjustRightInd w:val="0"/>
              <w:snapToGrid w:val="0"/>
              <w:spacing w:line="360" w:lineRule="auto"/>
              <w:ind w:firstLine="466" w:firstLineChars="200"/>
              <w:rPr>
                <w:b/>
                <w:bCs/>
                <w:sz w:val="24"/>
                <w:szCs w:val="24"/>
                <w:u w:val="none" w:color="auto"/>
              </w:rPr>
            </w:pPr>
            <w:r>
              <w:rPr>
                <w:b/>
                <w:bCs/>
                <w:sz w:val="24"/>
                <w:szCs w:val="24"/>
                <w:u w:val="none" w:color="auto"/>
              </w:rPr>
              <w:t>1、项目概况</w:t>
            </w:r>
          </w:p>
          <w:p>
            <w:pPr>
              <w:adjustRightInd w:val="0"/>
              <w:snapToGrid w:val="0"/>
              <w:spacing w:line="360" w:lineRule="auto"/>
              <w:ind w:firstLine="466" w:firstLineChars="200"/>
              <w:rPr>
                <w:rFonts w:hint="eastAsia"/>
                <w:sz w:val="24"/>
                <w:szCs w:val="24"/>
                <w:u w:val="none" w:color="auto"/>
                <w:lang w:eastAsia="zh-CN"/>
              </w:rPr>
            </w:pPr>
            <w:r>
              <w:rPr>
                <w:rFonts w:hint="eastAsia"/>
                <w:sz w:val="24"/>
                <w:szCs w:val="24"/>
                <w:u w:val="none" w:color="auto"/>
                <w:lang w:eastAsia="zh-CN"/>
              </w:rPr>
              <w:t>湖南康每达新材料科技有限公司年产45万个硅胶制品建设项目</w:t>
            </w:r>
            <w:r>
              <w:rPr>
                <w:rFonts w:hint="eastAsia"/>
                <w:sz w:val="24"/>
                <w:szCs w:val="24"/>
                <w:u w:val="none" w:color="auto"/>
              </w:rPr>
              <w:t>选</w:t>
            </w:r>
            <w:r>
              <w:rPr>
                <w:rFonts w:hint="eastAsia"/>
                <w:sz w:val="24"/>
                <w:szCs w:val="24"/>
                <w:u w:val="none" w:color="auto"/>
                <w:lang w:eastAsia="zh-CN"/>
              </w:rPr>
              <w:t>址</w:t>
            </w:r>
            <w:r>
              <w:rPr>
                <w:rFonts w:hint="default"/>
                <w:sz w:val="24"/>
                <w:szCs w:val="24"/>
                <w:u w:val="none" w:color="auto"/>
                <w:lang w:eastAsia="zh-CN"/>
              </w:rPr>
              <w:t>于</w:t>
            </w:r>
            <w:r>
              <w:rPr>
                <w:rFonts w:hint="eastAsia"/>
                <w:sz w:val="24"/>
                <w:szCs w:val="24"/>
                <w:u w:val="none" w:color="auto"/>
                <w:lang w:eastAsia="zh-CN"/>
              </w:rPr>
              <w:t>岳阳市湘阴县金龙新区工业园湖南卓达置业有限公司一期7A栋现有厂房，总投资</w:t>
            </w:r>
            <w:r>
              <w:rPr>
                <w:rFonts w:hint="eastAsia"/>
                <w:sz w:val="24"/>
                <w:szCs w:val="24"/>
                <w:u w:val="none" w:color="auto"/>
                <w:lang w:val="en-US" w:eastAsia="zh-CN"/>
              </w:rPr>
              <w:t>1000万元</w:t>
            </w:r>
            <w:r>
              <w:rPr>
                <w:rFonts w:hint="eastAsia"/>
                <w:sz w:val="24"/>
                <w:szCs w:val="24"/>
                <w:u w:val="none" w:color="auto"/>
                <w:lang w:eastAsia="zh-CN"/>
              </w:rPr>
              <w:t>（环保投资为</w:t>
            </w:r>
            <w:r>
              <w:rPr>
                <w:rFonts w:hint="eastAsia"/>
                <w:sz w:val="24"/>
                <w:szCs w:val="24"/>
                <w:u w:val="none" w:color="auto"/>
                <w:lang w:val="en-US" w:eastAsia="zh-CN"/>
              </w:rPr>
              <w:t>26</w:t>
            </w:r>
            <w:r>
              <w:rPr>
                <w:rFonts w:hint="eastAsia"/>
                <w:sz w:val="24"/>
                <w:szCs w:val="24"/>
                <w:u w:val="none" w:color="auto"/>
                <w:lang w:eastAsia="zh-CN"/>
              </w:rPr>
              <w:t>万元），总占地面积</w:t>
            </w:r>
            <w:r>
              <w:rPr>
                <w:rFonts w:hint="eastAsia"/>
                <w:sz w:val="24"/>
                <w:szCs w:val="24"/>
                <w:u w:val="none" w:color="auto"/>
                <w:lang w:val="en-US" w:eastAsia="zh-CN"/>
              </w:rPr>
              <w:t>612.39</w:t>
            </w:r>
            <w:r>
              <w:rPr>
                <w:rFonts w:hint="eastAsia"/>
                <w:sz w:val="24"/>
                <w:szCs w:val="24"/>
                <w:u w:val="none" w:color="auto"/>
                <w:lang w:eastAsia="zh-CN"/>
              </w:rPr>
              <w:t>平方米，总建筑面积</w:t>
            </w:r>
            <w:r>
              <w:rPr>
                <w:rFonts w:hint="eastAsia"/>
                <w:sz w:val="24"/>
                <w:szCs w:val="24"/>
                <w:u w:val="none" w:color="auto"/>
                <w:lang w:val="en-US" w:eastAsia="zh-CN"/>
              </w:rPr>
              <w:t>2449.57</w:t>
            </w:r>
            <w:r>
              <w:rPr>
                <w:rFonts w:hint="eastAsia"/>
                <w:sz w:val="24"/>
                <w:szCs w:val="24"/>
                <w:u w:val="none" w:color="auto"/>
                <w:lang w:eastAsia="zh-CN"/>
              </w:rPr>
              <w:t>平方米</w:t>
            </w:r>
            <w:r>
              <w:rPr>
                <w:rFonts w:hint="eastAsia" w:ascii="Times New Roman" w:hAnsi="Times New Roman" w:eastAsia="宋体" w:cs="Times New Roman"/>
                <w:sz w:val="24"/>
                <w:szCs w:val="24"/>
                <w:u w:val="none" w:color="auto"/>
                <w:lang w:eastAsia="zh-CN"/>
              </w:rPr>
              <w:t>，项目建成投</w:t>
            </w:r>
            <w:r>
              <w:rPr>
                <w:rFonts w:hint="eastAsia"/>
                <w:sz w:val="24"/>
                <w:szCs w:val="24"/>
                <w:u w:val="none" w:color="auto"/>
              </w:rPr>
              <w:t>产后年产</w:t>
            </w:r>
            <w:r>
              <w:rPr>
                <w:rFonts w:hint="eastAsia"/>
                <w:sz w:val="24"/>
                <w:szCs w:val="24"/>
                <w:u w:val="none" w:color="auto"/>
                <w:lang w:val="en-US" w:eastAsia="zh-CN"/>
              </w:rPr>
              <w:t>45万个硅胶制品（</w:t>
            </w:r>
            <w:r>
              <w:rPr>
                <w:rFonts w:hint="eastAsia" w:cs="Times New Roman"/>
                <w:sz w:val="24"/>
                <w:szCs w:val="22"/>
                <w:u w:val="none" w:color="auto"/>
                <w:lang w:val="en-US" w:eastAsia="zh-CN"/>
              </w:rPr>
              <w:t>均为硅胶类美容练习耗材，康体仪器配件、新能源汽车零配件</w:t>
            </w:r>
            <w:r>
              <w:rPr>
                <w:rFonts w:hint="eastAsia"/>
                <w:sz w:val="24"/>
                <w:szCs w:val="24"/>
                <w:u w:val="none" w:color="auto"/>
                <w:lang w:val="en-US" w:eastAsia="zh-CN"/>
              </w:rPr>
              <w:t>）</w:t>
            </w:r>
            <w:r>
              <w:rPr>
                <w:rFonts w:hint="eastAsia"/>
                <w:sz w:val="24"/>
                <w:szCs w:val="24"/>
                <w:u w:val="none" w:color="auto"/>
                <w:lang w:eastAsia="zh-CN"/>
              </w:rPr>
              <w:t>。</w:t>
            </w:r>
          </w:p>
          <w:p>
            <w:pPr>
              <w:adjustRightInd w:val="0"/>
              <w:snapToGrid w:val="0"/>
              <w:spacing w:line="360" w:lineRule="auto"/>
              <w:ind w:firstLine="466" w:firstLineChars="200"/>
              <w:rPr>
                <w:sz w:val="24"/>
                <w:u w:val="none" w:color="auto"/>
              </w:rPr>
            </w:pPr>
            <w:r>
              <w:rPr>
                <w:b/>
                <w:bCs/>
                <w:sz w:val="24"/>
                <w:szCs w:val="24"/>
                <w:u w:val="none" w:color="auto"/>
              </w:rPr>
              <w:t>2</w:t>
            </w:r>
            <w:r>
              <w:rPr>
                <w:b/>
                <w:sz w:val="24"/>
                <w:u w:val="none" w:color="auto"/>
              </w:rPr>
              <w:t>、区域环境质量结论</w:t>
            </w:r>
          </w:p>
          <w:p>
            <w:pPr>
              <w:snapToGrid w:val="0"/>
              <w:spacing w:line="360" w:lineRule="auto"/>
              <w:ind w:firstLine="457" w:firstLineChars="196"/>
              <w:rPr>
                <w:rFonts w:hAnsi="宋体"/>
                <w:sz w:val="24"/>
                <w:szCs w:val="24"/>
                <w:u w:val="none" w:color="auto"/>
              </w:rPr>
            </w:pPr>
            <w:r>
              <w:rPr>
                <w:rFonts w:hAnsi="宋体"/>
                <w:sz w:val="24"/>
                <w:szCs w:val="24"/>
                <w:u w:val="none" w:color="auto"/>
              </w:rPr>
              <w:t>本项目所在地区域环境质量现状调查结果表明：</w:t>
            </w:r>
          </w:p>
          <w:p>
            <w:pPr>
              <w:pStyle w:val="5"/>
              <w:keepNext w:val="0"/>
              <w:keepLines w:val="0"/>
              <w:pageBreakBefore w:val="0"/>
              <w:widowControl w:val="0"/>
              <w:kinsoku/>
              <w:wordWrap/>
              <w:overflowPunct/>
              <w:topLinePunct w:val="0"/>
              <w:autoSpaceDE/>
              <w:autoSpaceDN/>
              <w:bidi w:val="0"/>
              <w:spacing w:after="0" w:afterLines="0" w:line="360" w:lineRule="auto"/>
              <w:ind w:left="0" w:right="0" w:firstLine="466" w:firstLineChars="200"/>
              <w:textAlignment w:val="auto"/>
              <w:rPr>
                <w:rFonts w:hint="eastAsia" w:cs="Times New Roman"/>
                <w:iCs w:val="0"/>
                <w:color w:val="auto"/>
                <w:kern w:val="2"/>
                <w:sz w:val="24"/>
                <w:szCs w:val="24"/>
                <w:u w:val="none" w:color="auto"/>
                <w:lang w:val="en-US" w:eastAsia="zh-CN" w:bidi="ar-SA"/>
              </w:rPr>
            </w:pPr>
            <w:r>
              <w:rPr>
                <w:rFonts w:hint="default" w:ascii="Times New Roman" w:hAnsi="Times New Roman" w:eastAsia="宋体" w:cs="Times New Roman"/>
                <w:iCs w:val="0"/>
                <w:color w:val="auto"/>
                <w:kern w:val="2"/>
                <w:sz w:val="24"/>
                <w:szCs w:val="24"/>
                <w:u w:val="none" w:color="auto"/>
                <w:lang w:val="en-US" w:eastAsia="zh-CN" w:bidi="ar-SA"/>
              </w:rPr>
              <w:t>大气</w:t>
            </w:r>
            <w:r>
              <w:rPr>
                <w:rFonts w:hint="default" w:ascii="Times New Roman" w:hAnsi="Times New Roman" w:cs="Times New Roman"/>
                <w:iCs w:val="0"/>
                <w:color w:val="auto"/>
                <w:kern w:val="2"/>
                <w:sz w:val="24"/>
                <w:szCs w:val="24"/>
                <w:u w:val="none" w:color="auto"/>
                <w:lang w:val="en-US" w:eastAsia="zh-CN" w:bidi="ar-SA"/>
              </w:rPr>
              <w:t>：</w:t>
            </w:r>
            <w:r>
              <w:rPr>
                <w:rFonts w:hint="default" w:ascii="Times New Roman" w:hAnsi="Times New Roman" w:eastAsia="宋体" w:cs="Times New Roman"/>
                <w:iCs w:val="0"/>
                <w:color w:val="auto"/>
                <w:kern w:val="2"/>
                <w:sz w:val="24"/>
                <w:szCs w:val="24"/>
                <w:u w:val="none" w:color="auto"/>
                <w:lang w:val="en-US" w:eastAsia="zh-CN" w:bidi="ar-SA"/>
              </w:rPr>
              <w:t>为了解建设项目所在区域的大气环境状况，本环评引用</w:t>
            </w:r>
            <w:r>
              <w:rPr>
                <w:rFonts w:hint="eastAsia" w:ascii="Times New Roman" w:hAnsi="Times New Roman" w:eastAsia="宋体" w:cs="Times New Roman"/>
                <w:iCs w:val="0"/>
                <w:color w:val="auto"/>
                <w:kern w:val="2"/>
                <w:sz w:val="24"/>
                <w:szCs w:val="24"/>
                <w:u w:val="none" w:color="auto"/>
                <w:lang w:val="en-US" w:eastAsia="zh-CN" w:bidi="ar-SA"/>
              </w:rPr>
              <w:t>湘阴县</w:t>
            </w:r>
            <w:r>
              <w:rPr>
                <w:rFonts w:hint="default" w:ascii="Times New Roman" w:hAnsi="Times New Roman" w:eastAsia="宋体" w:cs="Times New Roman"/>
                <w:iCs w:val="0"/>
                <w:color w:val="auto"/>
                <w:kern w:val="2"/>
                <w:sz w:val="24"/>
                <w:szCs w:val="24"/>
                <w:u w:val="none" w:color="auto"/>
                <w:lang w:val="en-US" w:eastAsia="zh-CN" w:bidi="ar-SA"/>
              </w:rPr>
              <w:t>环境保护监测站2018年</w:t>
            </w:r>
            <w:r>
              <w:rPr>
                <w:rFonts w:hint="eastAsia" w:cs="Times New Roman"/>
                <w:iCs w:val="0"/>
                <w:color w:val="auto"/>
                <w:kern w:val="2"/>
                <w:sz w:val="24"/>
                <w:szCs w:val="24"/>
                <w:u w:val="none" w:color="auto"/>
                <w:lang w:val="en-US" w:eastAsia="zh-CN" w:bidi="ar-SA"/>
              </w:rPr>
              <w:t>、2019年</w:t>
            </w:r>
            <w:r>
              <w:rPr>
                <w:rFonts w:hint="default" w:ascii="Times New Roman" w:hAnsi="Times New Roman" w:eastAsia="宋体" w:cs="Times New Roman"/>
                <w:iCs w:val="0"/>
                <w:color w:val="auto"/>
                <w:kern w:val="2"/>
                <w:sz w:val="24"/>
                <w:szCs w:val="24"/>
                <w:u w:val="none" w:color="auto"/>
                <w:lang w:val="en-US" w:eastAsia="zh-CN" w:bidi="ar-SA"/>
              </w:rPr>
              <w:t>常规监测点对区域环境空气质量现状进行评价，监测因子为 NO</w:t>
            </w:r>
            <w:r>
              <w:rPr>
                <w:rFonts w:hint="default" w:ascii="Times New Roman" w:hAnsi="Times New Roman" w:eastAsia="宋体" w:cs="Times New Roman"/>
                <w:iCs w:val="0"/>
                <w:color w:val="auto"/>
                <w:kern w:val="2"/>
                <w:sz w:val="24"/>
                <w:szCs w:val="24"/>
                <w:u w:val="none" w:color="auto"/>
                <w:vertAlign w:val="subscript"/>
                <w:lang w:val="en-US" w:eastAsia="zh-CN" w:bidi="ar-SA"/>
              </w:rPr>
              <w:t>2</w:t>
            </w:r>
            <w:r>
              <w:rPr>
                <w:rFonts w:hint="default" w:ascii="Times New Roman" w:hAnsi="Times New Roman" w:eastAsia="宋体" w:cs="Times New Roman"/>
                <w:iCs w:val="0"/>
                <w:color w:val="auto"/>
                <w:kern w:val="2"/>
                <w:sz w:val="24"/>
                <w:szCs w:val="24"/>
                <w:u w:val="none" w:color="auto"/>
                <w:lang w:val="en-US" w:eastAsia="zh-CN" w:bidi="ar-SA"/>
              </w:rPr>
              <w:t>、SO</w:t>
            </w:r>
            <w:r>
              <w:rPr>
                <w:rFonts w:hint="default" w:ascii="Times New Roman" w:hAnsi="Times New Roman" w:eastAsia="宋体" w:cs="Times New Roman"/>
                <w:iCs w:val="0"/>
                <w:color w:val="auto"/>
                <w:kern w:val="2"/>
                <w:sz w:val="24"/>
                <w:szCs w:val="24"/>
                <w:u w:val="none" w:color="auto"/>
                <w:vertAlign w:val="subscript"/>
                <w:lang w:val="en-US" w:eastAsia="zh-CN" w:bidi="ar-SA"/>
              </w:rPr>
              <w:t>2</w:t>
            </w:r>
            <w:r>
              <w:rPr>
                <w:rFonts w:hint="default" w:ascii="Times New Roman" w:hAnsi="Times New Roman" w:eastAsia="宋体" w:cs="Times New Roman"/>
                <w:iCs w:val="0"/>
                <w:color w:val="auto"/>
                <w:kern w:val="2"/>
                <w:sz w:val="24"/>
                <w:szCs w:val="24"/>
                <w:u w:val="none" w:color="auto"/>
                <w:lang w:val="en-US" w:eastAsia="zh-CN" w:bidi="ar-SA"/>
              </w:rPr>
              <w:t>、PM</w:t>
            </w:r>
            <w:r>
              <w:rPr>
                <w:rFonts w:hint="default" w:ascii="Times New Roman" w:hAnsi="Times New Roman" w:eastAsia="宋体" w:cs="Times New Roman"/>
                <w:iCs w:val="0"/>
                <w:color w:val="auto"/>
                <w:kern w:val="2"/>
                <w:sz w:val="24"/>
                <w:szCs w:val="24"/>
                <w:u w:val="none" w:color="auto"/>
                <w:vertAlign w:val="subscript"/>
                <w:lang w:val="en-US" w:eastAsia="zh-CN" w:bidi="ar-SA"/>
              </w:rPr>
              <w:t>10</w:t>
            </w:r>
            <w:r>
              <w:rPr>
                <w:rFonts w:hint="default" w:ascii="Times New Roman" w:hAnsi="Times New Roman" w:eastAsia="宋体" w:cs="Times New Roman"/>
                <w:iCs w:val="0"/>
                <w:color w:val="auto"/>
                <w:kern w:val="2"/>
                <w:sz w:val="24"/>
                <w:szCs w:val="24"/>
                <w:u w:val="none" w:color="auto"/>
                <w:lang w:val="en-US" w:eastAsia="zh-CN" w:bidi="ar-SA"/>
              </w:rPr>
              <w:t>、PM</w:t>
            </w:r>
            <w:r>
              <w:rPr>
                <w:rFonts w:hint="default" w:ascii="Times New Roman" w:hAnsi="Times New Roman" w:eastAsia="宋体" w:cs="Times New Roman"/>
                <w:iCs w:val="0"/>
                <w:color w:val="auto"/>
                <w:kern w:val="2"/>
                <w:sz w:val="24"/>
                <w:szCs w:val="24"/>
                <w:u w:val="none" w:color="auto"/>
                <w:vertAlign w:val="subscript"/>
                <w:lang w:val="en-US" w:eastAsia="zh-CN" w:bidi="ar-SA"/>
              </w:rPr>
              <w:t>2.5</w:t>
            </w:r>
            <w:r>
              <w:rPr>
                <w:rFonts w:hint="default" w:ascii="Times New Roman" w:hAnsi="Times New Roman" w:eastAsia="宋体" w:cs="Times New Roman"/>
                <w:iCs w:val="0"/>
                <w:color w:val="auto"/>
                <w:kern w:val="2"/>
                <w:sz w:val="24"/>
                <w:szCs w:val="24"/>
                <w:u w:val="none" w:color="auto"/>
                <w:lang w:val="en-US" w:eastAsia="zh-CN" w:bidi="ar-SA"/>
              </w:rPr>
              <w:t>、CO、O</w:t>
            </w:r>
            <w:r>
              <w:rPr>
                <w:rFonts w:hint="default" w:ascii="Times New Roman" w:hAnsi="Times New Roman" w:eastAsia="宋体" w:cs="Times New Roman"/>
                <w:iCs w:val="0"/>
                <w:color w:val="auto"/>
                <w:kern w:val="2"/>
                <w:sz w:val="24"/>
                <w:szCs w:val="24"/>
                <w:u w:val="none" w:color="auto"/>
                <w:vertAlign w:val="subscript"/>
                <w:lang w:val="en-US" w:eastAsia="zh-CN" w:bidi="ar-SA"/>
              </w:rPr>
              <w:t>3</w:t>
            </w:r>
            <w:r>
              <w:rPr>
                <w:rFonts w:hint="default" w:ascii="Times New Roman" w:hAnsi="Times New Roman" w:eastAsia="宋体" w:cs="Times New Roman"/>
                <w:iCs w:val="0"/>
                <w:color w:val="auto"/>
                <w:kern w:val="2"/>
                <w:sz w:val="24"/>
                <w:szCs w:val="24"/>
                <w:u w:val="none" w:color="auto"/>
                <w:lang w:val="en-US" w:eastAsia="zh-CN" w:bidi="ar-SA"/>
              </w:rPr>
              <w:t>，监测结果显示项目 SO</w:t>
            </w:r>
            <w:r>
              <w:rPr>
                <w:rFonts w:hint="default" w:ascii="Times New Roman" w:hAnsi="Times New Roman" w:eastAsia="宋体" w:cs="Times New Roman"/>
                <w:iCs w:val="0"/>
                <w:color w:val="auto"/>
                <w:kern w:val="2"/>
                <w:sz w:val="24"/>
                <w:szCs w:val="24"/>
                <w:u w:val="none" w:color="auto"/>
                <w:vertAlign w:val="subscript"/>
                <w:lang w:val="en-US" w:eastAsia="zh-CN" w:bidi="ar-SA"/>
              </w:rPr>
              <w:t>2</w:t>
            </w:r>
            <w:r>
              <w:rPr>
                <w:rFonts w:hint="default" w:ascii="Times New Roman" w:hAnsi="Times New Roman" w:eastAsia="宋体" w:cs="Times New Roman"/>
                <w:iCs w:val="0"/>
                <w:color w:val="auto"/>
                <w:kern w:val="2"/>
                <w:sz w:val="24"/>
                <w:szCs w:val="24"/>
                <w:u w:val="none" w:color="auto"/>
                <w:lang w:val="en-US" w:eastAsia="zh-CN" w:bidi="ar-SA"/>
              </w:rPr>
              <w:t>、NO</w:t>
            </w:r>
            <w:r>
              <w:rPr>
                <w:rFonts w:hint="default" w:ascii="Times New Roman" w:hAnsi="Times New Roman" w:eastAsia="宋体" w:cs="Times New Roman"/>
                <w:iCs w:val="0"/>
                <w:color w:val="auto"/>
                <w:kern w:val="2"/>
                <w:sz w:val="24"/>
                <w:szCs w:val="24"/>
                <w:u w:val="none" w:color="auto"/>
                <w:vertAlign w:val="subscript"/>
                <w:lang w:val="en-US" w:eastAsia="zh-CN" w:bidi="ar-SA"/>
              </w:rPr>
              <w:t>2</w:t>
            </w:r>
            <w:r>
              <w:rPr>
                <w:rFonts w:hint="default" w:ascii="Times New Roman" w:hAnsi="Times New Roman" w:eastAsia="宋体" w:cs="Times New Roman"/>
                <w:iCs w:val="0"/>
                <w:color w:val="auto"/>
                <w:kern w:val="2"/>
                <w:sz w:val="24"/>
                <w:szCs w:val="24"/>
                <w:u w:val="none" w:color="auto"/>
                <w:lang w:val="en-US" w:eastAsia="zh-CN" w:bidi="ar-SA"/>
              </w:rPr>
              <w:t>、CO、PM</w:t>
            </w:r>
            <w:r>
              <w:rPr>
                <w:rFonts w:hint="default" w:ascii="Times New Roman" w:hAnsi="Times New Roman" w:eastAsia="宋体" w:cs="Times New Roman"/>
                <w:iCs w:val="0"/>
                <w:color w:val="auto"/>
                <w:kern w:val="2"/>
                <w:sz w:val="24"/>
                <w:szCs w:val="24"/>
                <w:u w:val="none" w:color="auto"/>
                <w:vertAlign w:val="subscript"/>
                <w:lang w:val="en-US" w:eastAsia="zh-CN" w:bidi="ar-SA"/>
              </w:rPr>
              <w:t>10</w:t>
            </w:r>
            <w:r>
              <w:rPr>
                <w:rFonts w:hint="default" w:ascii="Times New Roman" w:hAnsi="Times New Roman" w:eastAsia="宋体" w:cs="Times New Roman"/>
                <w:iCs w:val="0"/>
                <w:color w:val="auto"/>
                <w:kern w:val="2"/>
                <w:sz w:val="24"/>
                <w:szCs w:val="24"/>
                <w:u w:val="none" w:color="auto"/>
                <w:lang w:val="en-US" w:eastAsia="zh-CN" w:bidi="ar-SA"/>
              </w:rPr>
              <w:t xml:space="preserve"> 、O</w:t>
            </w:r>
            <w:r>
              <w:rPr>
                <w:rFonts w:hint="default" w:ascii="Times New Roman" w:hAnsi="Times New Roman" w:eastAsia="宋体" w:cs="Times New Roman"/>
                <w:iCs w:val="0"/>
                <w:color w:val="auto"/>
                <w:kern w:val="2"/>
                <w:sz w:val="24"/>
                <w:szCs w:val="24"/>
                <w:u w:val="none" w:color="auto"/>
                <w:vertAlign w:val="subscript"/>
                <w:lang w:val="en-US" w:eastAsia="zh-CN" w:bidi="ar-SA"/>
              </w:rPr>
              <w:t>3</w:t>
            </w:r>
            <w:r>
              <w:rPr>
                <w:rFonts w:hint="default" w:ascii="Times New Roman" w:hAnsi="Times New Roman" w:eastAsia="宋体" w:cs="Times New Roman"/>
                <w:iCs w:val="0"/>
                <w:color w:val="auto"/>
                <w:kern w:val="2"/>
                <w:sz w:val="24"/>
                <w:szCs w:val="24"/>
                <w:u w:val="none" w:color="auto"/>
                <w:lang w:val="en-US" w:eastAsia="zh-CN" w:bidi="ar-SA"/>
              </w:rPr>
              <w:t>环境质量达标，PM</w:t>
            </w:r>
            <w:r>
              <w:rPr>
                <w:rFonts w:hint="default" w:ascii="Times New Roman" w:hAnsi="Times New Roman" w:eastAsia="宋体" w:cs="Times New Roman"/>
                <w:iCs w:val="0"/>
                <w:color w:val="auto"/>
                <w:kern w:val="2"/>
                <w:sz w:val="24"/>
                <w:szCs w:val="24"/>
                <w:u w:val="none" w:color="auto"/>
                <w:vertAlign w:val="subscript"/>
                <w:lang w:val="en-US" w:eastAsia="zh-CN" w:bidi="ar-SA"/>
              </w:rPr>
              <w:t>2.5</w:t>
            </w:r>
            <w:r>
              <w:rPr>
                <w:rFonts w:hint="default" w:ascii="Times New Roman" w:hAnsi="Times New Roman" w:eastAsia="宋体" w:cs="Times New Roman"/>
                <w:iCs w:val="0"/>
                <w:color w:val="auto"/>
                <w:kern w:val="2"/>
                <w:sz w:val="24"/>
                <w:szCs w:val="24"/>
                <w:u w:val="none" w:color="auto"/>
                <w:lang w:val="en-US" w:eastAsia="zh-CN" w:bidi="ar-SA"/>
              </w:rPr>
              <w:t xml:space="preserve"> 不达标，因此区域为不达标区</w:t>
            </w:r>
            <w:r>
              <w:rPr>
                <w:rFonts w:hint="default" w:ascii="Times New Roman" w:hAnsi="Times New Roman" w:cs="Times New Roman"/>
                <w:iCs w:val="0"/>
                <w:color w:val="auto"/>
                <w:kern w:val="2"/>
                <w:sz w:val="24"/>
                <w:szCs w:val="24"/>
                <w:u w:val="none" w:color="auto"/>
                <w:lang w:val="en-US" w:eastAsia="zh-CN" w:bidi="ar-SA"/>
              </w:rPr>
              <w:t>，通过</w:t>
            </w:r>
            <w:r>
              <w:rPr>
                <w:rFonts w:hint="eastAsia" w:ascii="Times New Roman" w:hAnsi="Times New Roman" w:cs="Times New Roman"/>
                <w:iCs w:val="0"/>
                <w:color w:val="auto"/>
                <w:kern w:val="2"/>
                <w:sz w:val="24"/>
                <w:szCs w:val="24"/>
                <w:u w:val="none" w:color="auto"/>
                <w:lang w:val="en-US" w:eastAsia="zh-CN" w:bidi="ar-SA"/>
              </w:rPr>
              <w:t>一系列的调整</w:t>
            </w:r>
            <w:r>
              <w:rPr>
                <w:rFonts w:hint="default" w:ascii="Times New Roman" w:hAnsi="Times New Roman" w:cs="Times New Roman"/>
                <w:iCs w:val="0"/>
                <w:color w:val="auto"/>
                <w:kern w:val="2"/>
                <w:sz w:val="24"/>
                <w:szCs w:val="24"/>
                <w:u w:val="none" w:color="auto"/>
                <w:lang w:val="en-US" w:eastAsia="zh-CN" w:bidi="ar-SA"/>
              </w:rPr>
              <w:t>可改善所在区域的环境问题</w:t>
            </w:r>
            <w:r>
              <w:rPr>
                <w:rFonts w:hint="eastAsia" w:cs="Times New Roman"/>
                <w:iCs w:val="0"/>
                <w:color w:val="auto"/>
                <w:kern w:val="2"/>
                <w:sz w:val="24"/>
                <w:szCs w:val="24"/>
                <w:u w:val="none" w:color="auto"/>
                <w:lang w:val="en-US" w:eastAsia="zh-CN" w:bidi="ar-SA"/>
              </w:rPr>
              <w:t>，通过对比2018年和2019年监测数据可知，项目所在地环境空气正在逐步改善。</w:t>
            </w:r>
          </w:p>
          <w:p>
            <w:pPr>
              <w:pStyle w:val="5"/>
              <w:keepNext w:val="0"/>
              <w:keepLines w:val="0"/>
              <w:pageBreakBefore w:val="0"/>
              <w:widowControl w:val="0"/>
              <w:kinsoku/>
              <w:wordWrap/>
              <w:overflowPunct/>
              <w:topLinePunct w:val="0"/>
              <w:autoSpaceDE/>
              <w:autoSpaceDN/>
              <w:bidi w:val="0"/>
              <w:spacing w:after="0" w:afterLines="0" w:line="360" w:lineRule="auto"/>
              <w:ind w:left="0" w:right="0" w:firstLine="466" w:firstLineChars="200"/>
              <w:textAlignment w:val="auto"/>
              <w:rPr>
                <w:rFonts w:hint="default" w:ascii="Times New Roman" w:hAnsi="Times New Roman" w:eastAsia="宋体" w:cs="Times New Roman"/>
                <w:iCs w:val="0"/>
                <w:color w:val="auto"/>
                <w:kern w:val="2"/>
                <w:sz w:val="24"/>
                <w:szCs w:val="24"/>
                <w:u w:val="none" w:color="auto"/>
                <w:lang w:val="en-US" w:eastAsia="zh-CN" w:bidi="ar-SA"/>
              </w:rPr>
            </w:pPr>
            <w:r>
              <w:rPr>
                <w:rFonts w:hint="eastAsia" w:ascii="Times New Roman" w:hAnsi="Times New Roman" w:cs="Times New Roman"/>
                <w:color w:val="auto"/>
                <w:sz w:val="24"/>
                <w:szCs w:val="24"/>
                <w:u w:val="none" w:color="auto"/>
                <w:lang w:eastAsia="zh-CN"/>
              </w:rPr>
              <w:t>项目所在区域中</w:t>
            </w:r>
            <w:r>
              <w:rPr>
                <w:rFonts w:hint="default" w:ascii="Times New Roman" w:hAnsi="Times New Roman" w:cs="Times New Roman"/>
                <w:color w:val="auto"/>
                <w:sz w:val="24"/>
                <w:szCs w:val="24"/>
                <w:u w:val="none" w:color="auto"/>
              </w:rPr>
              <w:t>TVOC均符合《环境影响评价技术导则（HJ2.3-2018）》（大气环境附录D)中标准要求</w:t>
            </w:r>
            <w:r>
              <w:rPr>
                <w:rFonts w:hint="default" w:ascii="Times New Roman" w:hAnsi="Times New Roman" w:eastAsia="宋体" w:cs="Times New Roman"/>
                <w:iCs w:val="0"/>
                <w:color w:val="auto"/>
                <w:kern w:val="2"/>
                <w:sz w:val="24"/>
                <w:szCs w:val="24"/>
                <w:u w:val="none" w:color="auto"/>
                <w:lang w:val="en-US" w:eastAsia="zh-CN" w:bidi="ar-SA"/>
              </w:rPr>
              <w:t xml:space="preserve">。 </w:t>
            </w:r>
          </w:p>
          <w:p>
            <w:pPr>
              <w:pStyle w:val="5"/>
              <w:keepNext w:val="0"/>
              <w:keepLines w:val="0"/>
              <w:pageBreakBefore w:val="0"/>
              <w:widowControl w:val="0"/>
              <w:kinsoku/>
              <w:wordWrap/>
              <w:overflowPunct/>
              <w:topLinePunct w:val="0"/>
              <w:autoSpaceDE/>
              <w:autoSpaceDN/>
              <w:bidi w:val="0"/>
              <w:spacing w:after="0" w:afterLines="0" w:line="360" w:lineRule="auto"/>
              <w:ind w:left="0" w:right="0" w:firstLine="466" w:firstLineChars="200"/>
              <w:textAlignment w:val="auto"/>
              <w:rPr>
                <w:rFonts w:hint="default" w:ascii="Times New Roman" w:hAnsi="Times New Roman" w:eastAsia="宋体" w:cs="Times New Roman"/>
                <w:iCs w:val="0"/>
                <w:color w:val="auto"/>
                <w:kern w:val="2"/>
                <w:sz w:val="24"/>
                <w:szCs w:val="24"/>
                <w:u w:val="none" w:color="auto"/>
                <w:lang w:val="en-US" w:eastAsia="zh-CN" w:bidi="ar-SA"/>
              </w:rPr>
            </w:pPr>
            <w:r>
              <w:rPr>
                <w:rFonts w:hint="default" w:ascii="Times New Roman" w:hAnsi="Times New Roman" w:eastAsia="宋体" w:cs="Times New Roman"/>
                <w:iCs w:val="0"/>
                <w:color w:val="auto"/>
                <w:kern w:val="2"/>
                <w:sz w:val="24"/>
                <w:szCs w:val="24"/>
                <w:u w:val="none" w:color="auto"/>
                <w:lang w:val="en-US" w:eastAsia="zh-CN" w:bidi="ar-SA"/>
              </w:rPr>
              <w:t>地表水</w:t>
            </w:r>
            <w:r>
              <w:rPr>
                <w:rFonts w:hint="default" w:ascii="Times New Roman" w:hAnsi="Times New Roman" w:cs="Times New Roman"/>
                <w:iCs w:val="0"/>
                <w:color w:val="auto"/>
                <w:kern w:val="2"/>
                <w:sz w:val="24"/>
                <w:szCs w:val="24"/>
                <w:u w:val="none" w:color="auto"/>
                <w:lang w:val="en-US" w:eastAsia="zh-CN" w:bidi="ar-SA"/>
              </w:rPr>
              <w:t>：</w:t>
            </w:r>
            <w:r>
              <w:rPr>
                <w:rFonts w:hint="default" w:ascii="Times New Roman" w:hAnsi="Times New Roman" w:eastAsia="宋体" w:cs="Times New Roman"/>
                <w:iCs w:val="0"/>
                <w:color w:val="auto"/>
                <w:kern w:val="2"/>
                <w:sz w:val="24"/>
                <w:szCs w:val="24"/>
                <w:u w:val="none" w:color="auto"/>
                <w:lang w:val="en-US" w:eastAsia="zh-CN" w:bidi="ar-SA"/>
              </w:rPr>
              <w:t>本次评价引用</w:t>
            </w:r>
            <w:r>
              <w:rPr>
                <w:rFonts w:hint="eastAsia" w:ascii="Times New Roman" w:hAnsi="Times New Roman" w:eastAsia="宋体" w:cs="Times New Roman"/>
                <w:iCs w:val="0"/>
                <w:color w:val="auto"/>
                <w:kern w:val="2"/>
                <w:sz w:val="24"/>
                <w:szCs w:val="24"/>
                <w:u w:val="none" w:color="auto"/>
                <w:lang w:val="en-US" w:eastAsia="zh-CN" w:bidi="ar-SA"/>
              </w:rPr>
              <w:t>湘阴县监测站对洋沙湖</w:t>
            </w:r>
            <w:r>
              <w:rPr>
                <w:rFonts w:hint="eastAsia" w:cs="Times New Roman"/>
                <w:iCs w:val="0"/>
                <w:color w:val="auto"/>
                <w:kern w:val="2"/>
                <w:sz w:val="24"/>
                <w:szCs w:val="24"/>
                <w:u w:val="none" w:color="auto"/>
                <w:lang w:val="en-US" w:eastAsia="zh-CN" w:bidi="ar-SA"/>
              </w:rPr>
              <w:t>、湘江</w:t>
            </w:r>
            <w:r>
              <w:rPr>
                <w:rFonts w:hint="default" w:ascii="Times New Roman" w:hAnsi="Times New Roman" w:eastAsia="宋体" w:cs="Times New Roman"/>
                <w:iCs w:val="0"/>
                <w:color w:val="auto"/>
                <w:kern w:val="2"/>
                <w:sz w:val="24"/>
                <w:szCs w:val="24"/>
                <w:u w:val="none" w:color="auto"/>
                <w:lang w:val="en-US" w:eastAsia="zh-CN" w:bidi="ar-SA"/>
              </w:rPr>
              <w:t>水质进行评价</w:t>
            </w:r>
            <w:r>
              <w:rPr>
                <w:rFonts w:hint="eastAsia" w:cs="Times New Roman"/>
                <w:iCs w:val="0"/>
                <w:color w:val="auto"/>
                <w:kern w:val="2"/>
                <w:sz w:val="24"/>
                <w:szCs w:val="24"/>
                <w:u w:val="none" w:color="auto"/>
                <w:lang w:val="en-US" w:eastAsia="zh-CN" w:bidi="ar-SA"/>
              </w:rPr>
              <w:t>，根据检测结果可知，</w:t>
            </w:r>
            <w:r>
              <w:rPr>
                <w:bCs/>
                <w:color w:val="auto"/>
                <w:sz w:val="24"/>
                <w:u w:val="none" w:color="auto"/>
              </w:rPr>
              <w:t>湘江乌龙咀断面及洋沙湖水质</w:t>
            </w:r>
            <w:r>
              <w:rPr>
                <w:rFonts w:hint="default" w:ascii="Times New Roman" w:hAnsi="Times New Roman" w:eastAsia="宋体" w:cs="Times New Roman"/>
                <w:iCs w:val="0"/>
                <w:color w:val="auto"/>
                <w:kern w:val="2"/>
                <w:sz w:val="24"/>
                <w:szCs w:val="24"/>
                <w:u w:val="none" w:color="auto"/>
                <w:lang w:val="en-US" w:eastAsia="zh-CN" w:bidi="ar-SA"/>
              </w:rPr>
              <w:t>所有监测指标均符合《地表水环境质量标准》(GB3838-2002)Ⅲ类水质标准要求，未出现超标，项目所在地地表水体水质状况尚好。</w:t>
            </w:r>
          </w:p>
          <w:p>
            <w:pPr>
              <w:pStyle w:val="5"/>
              <w:keepNext w:val="0"/>
              <w:keepLines w:val="0"/>
              <w:pageBreakBefore w:val="0"/>
              <w:widowControl w:val="0"/>
              <w:kinsoku/>
              <w:wordWrap/>
              <w:overflowPunct/>
              <w:topLinePunct w:val="0"/>
              <w:autoSpaceDE/>
              <w:autoSpaceDN/>
              <w:bidi w:val="0"/>
              <w:spacing w:after="0" w:afterLines="0" w:line="360" w:lineRule="auto"/>
              <w:ind w:left="0" w:right="0" w:firstLine="466" w:firstLineChars="200"/>
              <w:jc w:val="both"/>
              <w:textAlignment w:val="auto"/>
              <w:rPr>
                <w:rFonts w:hint="default" w:ascii="Times New Roman" w:hAnsi="Times New Roman" w:eastAsia="宋体" w:cs="Times New Roman"/>
                <w:iCs w:val="0"/>
                <w:color w:val="auto"/>
                <w:kern w:val="2"/>
                <w:sz w:val="24"/>
                <w:szCs w:val="24"/>
                <w:u w:val="none" w:color="auto"/>
                <w:lang w:val="en-US" w:eastAsia="zh-CN" w:bidi="ar-SA"/>
              </w:rPr>
            </w:pPr>
            <w:r>
              <w:rPr>
                <w:rFonts w:hint="default" w:ascii="Times New Roman" w:hAnsi="Times New Roman" w:eastAsia="宋体" w:cs="Times New Roman"/>
                <w:iCs w:val="0"/>
                <w:color w:val="auto"/>
                <w:kern w:val="2"/>
                <w:sz w:val="24"/>
                <w:szCs w:val="24"/>
                <w:u w:val="none" w:color="auto"/>
                <w:lang w:val="en-US" w:eastAsia="zh-CN" w:bidi="ar-SA"/>
              </w:rPr>
              <w:t>声环境</w:t>
            </w:r>
            <w:r>
              <w:rPr>
                <w:rFonts w:hint="default" w:ascii="Times New Roman" w:hAnsi="Times New Roman" w:cs="Times New Roman"/>
                <w:iCs w:val="0"/>
                <w:color w:val="auto"/>
                <w:kern w:val="2"/>
                <w:sz w:val="24"/>
                <w:szCs w:val="24"/>
                <w:u w:val="none" w:color="auto"/>
                <w:lang w:val="en-US" w:eastAsia="zh-CN" w:bidi="ar-SA"/>
              </w:rPr>
              <w:t>：</w:t>
            </w:r>
            <w:r>
              <w:rPr>
                <w:rFonts w:hint="default" w:ascii="Times New Roman" w:hAnsi="Times New Roman" w:eastAsia="宋体" w:cs="Times New Roman"/>
                <w:iCs w:val="0"/>
                <w:color w:val="auto"/>
                <w:kern w:val="2"/>
                <w:sz w:val="24"/>
                <w:szCs w:val="24"/>
                <w:u w:val="none" w:color="auto"/>
                <w:lang w:val="en-US" w:eastAsia="zh-CN" w:bidi="ar-SA"/>
              </w:rPr>
              <w:t>本项目声环境质量现状监测委托湖南</w:t>
            </w:r>
            <w:r>
              <w:rPr>
                <w:rFonts w:hint="default" w:ascii="Times New Roman" w:hAnsi="Times New Roman" w:cs="Times New Roman"/>
                <w:iCs w:val="0"/>
                <w:color w:val="auto"/>
                <w:kern w:val="2"/>
                <w:sz w:val="24"/>
                <w:szCs w:val="24"/>
                <w:u w:val="none" w:color="auto"/>
                <w:lang w:val="en-US" w:eastAsia="zh-CN" w:bidi="ar-SA"/>
              </w:rPr>
              <w:t>精准通检测技术</w:t>
            </w:r>
            <w:r>
              <w:rPr>
                <w:rFonts w:hint="default" w:ascii="Times New Roman" w:hAnsi="Times New Roman" w:eastAsia="宋体" w:cs="Times New Roman"/>
                <w:iCs w:val="0"/>
                <w:color w:val="auto"/>
                <w:kern w:val="2"/>
                <w:sz w:val="24"/>
                <w:szCs w:val="24"/>
                <w:u w:val="none" w:color="auto"/>
                <w:lang w:val="en-US" w:eastAsia="zh-CN" w:bidi="ar-SA"/>
              </w:rPr>
              <w:t>有限公司于20</w:t>
            </w:r>
            <w:r>
              <w:rPr>
                <w:rFonts w:hint="eastAsia" w:cs="Times New Roman"/>
                <w:iCs w:val="0"/>
                <w:color w:val="auto"/>
                <w:kern w:val="2"/>
                <w:sz w:val="24"/>
                <w:szCs w:val="24"/>
                <w:u w:val="none" w:color="auto"/>
                <w:lang w:val="en-US" w:eastAsia="zh-CN" w:bidi="ar-SA"/>
              </w:rPr>
              <w:t>20</w:t>
            </w:r>
            <w:r>
              <w:rPr>
                <w:rFonts w:hint="default" w:ascii="Times New Roman" w:hAnsi="Times New Roman" w:eastAsia="宋体" w:cs="Times New Roman"/>
                <w:iCs w:val="0"/>
                <w:color w:val="auto"/>
                <w:kern w:val="2"/>
                <w:sz w:val="24"/>
                <w:szCs w:val="24"/>
                <w:u w:val="none" w:color="auto"/>
                <w:lang w:val="en-US" w:eastAsia="zh-CN" w:bidi="ar-SA"/>
              </w:rPr>
              <w:t>年</w:t>
            </w:r>
            <w:r>
              <w:rPr>
                <w:rFonts w:hint="eastAsia" w:cs="Times New Roman"/>
                <w:iCs w:val="0"/>
                <w:color w:val="auto"/>
                <w:kern w:val="2"/>
                <w:sz w:val="24"/>
                <w:szCs w:val="24"/>
                <w:u w:val="none" w:color="auto"/>
                <w:lang w:val="en-US" w:eastAsia="zh-CN" w:bidi="ar-SA"/>
              </w:rPr>
              <w:t>6</w:t>
            </w:r>
            <w:r>
              <w:rPr>
                <w:rFonts w:hint="default" w:ascii="Times New Roman" w:hAnsi="Times New Roman" w:eastAsia="宋体" w:cs="Times New Roman"/>
                <w:iCs w:val="0"/>
                <w:color w:val="auto"/>
                <w:kern w:val="2"/>
                <w:sz w:val="24"/>
                <w:szCs w:val="24"/>
                <w:u w:val="none" w:color="auto"/>
                <w:lang w:val="en-US" w:eastAsia="zh-CN" w:bidi="ar-SA"/>
              </w:rPr>
              <w:t>月</w:t>
            </w:r>
            <w:r>
              <w:rPr>
                <w:rFonts w:hint="eastAsia" w:cs="Times New Roman"/>
                <w:iCs w:val="0"/>
                <w:color w:val="auto"/>
                <w:kern w:val="2"/>
                <w:sz w:val="24"/>
                <w:szCs w:val="24"/>
                <w:u w:val="none" w:color="auto"/>
                <w:lang w:val="en-US" w:eastAsia="zh-CN" w:bidi="ar-SA"/>
              </w:rPr>
              <w:t>22-23</w:t>
            </w:r>
            <w:r>
              <w:rPr>
                <w:rFonts w:hint="default" w:ascii="Times New Roman" w:hAnsi="Times New Roman" w:eastAsia="宋体" w:cs="Times New Roman"/>
                <w:iCs w:val="0"/>
                <w:color w:val="auto"/>
                <w:kern w:val="2"/>
                <w:sz w:val="24"/>
                <w:szCs w:val="24"/>
                <w:u w:val="none" w:color="auto"/>
                <w:lang w:val="en-US" w:eastAsia="zh-CN" w:bidi="ar-SA"/>
              </w:rPr>
              <w:t>日对项目 N1 项目建设地厂界东侧、N2 项目建设地厂界南侧、N3 项目建设地厂界西侧、N4 项目建设地厂界北侧进行了为期 2 天的声环境现状监测，共设置 4 个监测点，监测结果表示</w:t>
            </w:r>
            <w:r>
              <w:rPr>
                <w:rFonts w:hint="default" w:ascii="Times New Roman" w:hAnsi="Times New Roman" w:cs="Times New Roman"/>
                <w:iCs w:val="0"/>
                <w:color w:val="auto"/>
                <w:kern w:val="2"/>
                <w:sz w:val="24"/>
                <w:szCs w:val="24"/>
                <w:u w:val="none" w:color="auto"/>
                <w:lang w:val="en-US" w:eastAsia="zh-CN" w:bidi="ar-SA"/>
              </w:rPr>
              <w:t>：</w:t>
            </w:r>
            <w:r>
              <w:rPr>
                <w:rFonts w:hint="default" w:ascii="Times New Roman" w:hAnsi="Times New Roman" w:eastAsia="宋体" w:cs="Times New Roman"/>
                <w:iCs w:val="0"/>
                <w:color w:val="auto"/>
                <w:kern w:val="2"/>
                <w:sz w:val="24"/>
                <w:szCs w:val="24"/>
                <w:u w:val="none" w:color="auto"/>
                <w:lang w:val="en-US" w:eastAsia="zh-CN" w:bidi="ar-SA"/>
              </w:rPr>
              <w:t xml:space="preserve">这 4 个监测点可满足《声环境质量标准》(GB3096-2008) </w:t>
            </w:r>
            <w:r>
              <w:rPr>
                <w:rFonts w:hint="eastAsia" w:cs="Times New Roman"/>
                <w:iCs w:val="0"/>
                <w:color w:val="auto"/>
                <w:kern w:val="2"/>
                <w:sz w:val="24"/>
                <w:szCs w:val="24"/>
                <w:u w:val="none" w:color="auto"/>
                <w:lang w:val="en-US" w:eastAsia="zh-CN" w:bidi="ar-SA"/>
              </w:rPr>
              <w:t>3</w:t>
            </w:r>
            <w:r>
              <w:rPr>
                <w:rFonts w:hint="default" w:ascii="Times New Roman" w:hAnsi="Times New Roman" w:eastAsia="宋体" w:cs="Times New Roman"/>
                <w:iCs w:val="0"/>
                <w:color w:val="auto"/>
                <w:kern w:val="2"/>
                <w:sz w:val="24"/>
                <w:szCs w:val="24"/>
                <w:u w:val="none" w:color="auto"/>
                <w:lang w:val="en-US" w:eastAsia="zh-CN" w:bidi="ar-SA"/>
              </w:rPr>
              <w:t xml:space="preserve"> 类标准要求，项目所在区域声环境质量良好。</w:t>
            </w:r>
          </w:p>
          <w:p>
            <w:pPr>
              <w:snapToGrid w:val="0"/>
              <w:spacing w:line="360" w:lineRule="auto"/>
              <w:ind w:firstLine="457" w:firstLineChars="196"/>
              <w:rPr>
                <w:rFonts w:hAnsi="宋体"/>
                <w:sz w:val="24"/>
                <w:szCs w:val="24"/>
                <w:u w:val="none" w:color="auto"/>
              </w:rPr>
            </w:pPr>
            <w:r>
              <w:rPr>
                <w:rFonts w:hint="default" w:ascii="Times New Roman" w:hAnsi="Times New Roman" w:cs="Times New Roman"/>
                <w:color w:val="auto"/>
                <w:sz w:val="24"/>
                <w:u w:val="none" w:color="auto"/>
              </w:rPr>
              <w:t>总体表明，本项目所在地及周边区域大气、地表水、声环境现状较好</w:t>
            </w:r>
            <w:r>
              <w:rPr>
                <w:rFonts w:hint="eastAsia" w:hAnsi="宋体"/>
                <w:sz w:val="24"/>
                <w:szCs w:val="24"/>
                <w:u w:val="none" w:color="auto"/>
              </w:rPr>
              <w:t>。</w:t>
            </w:r>
          </w:p>
          <w:p>
            <w:pPr>
              <w:snapToGrid w:val="0"/>
              <w:spacing w:line="360" w:lineRule="auto"/>
              <w:ind w:firstLine="398" w:firstLineChars="196"/>
              <w:rPr>
                <w:b/>
                <w:bCs/>
                <w:sz w:val="24"/>
                <w:u w:val="none" w:color="auto"/>
              </w:rPr>
            </w:pPr>
            <w:r>
              <w:rPr>
                <w:b/>
                <w:u w:val="none" w:color="auto"/>
              </w:rPr>
              <w:t>3、</w:t>
            </w:r>
            <w:r>
              <w:rPr>
                <w:rFonts w:hint="eastAsia"/>
                <w:b/>
                <w:bCs/>
                <w:sz w:val="24"/>
                <w:u w:val="none" w:color="auto"/>
              </w:rPr>
              <w:t>环境影响分析结论</w:t>
            </w:r>
          </w:p>
          <w:p>
            <w:pPr>
              <w:snapToGrid w:val="0"/>
              <w:spacing w:line="360" w:lineRule="auto"/>
              <w:ind w:firstLine="457" w:firstLineChars="196"/>
              <w:rPr>
                <w:rFonts w:hAnsi="宋体"/>
                <w:sz w:val="24"/>
                <w:szCs w:val="24"/>
                <w:u w:val="none" w:color="auto"/>
              </w:rPr>
            </w:pPr>
            <w:r>
              <w:rPr>
                <w:rFonts w:hint="eastAsia" w:hAnsi="宋体"/>
                <w:sz w:val="24"/>
                <w:szCs w:val="24"/>
                <w:u w:val="none" w:color="auto"/>
              </w:rPr>
              <w:t>（1）水环境</w:t>
            </w:r>
          </w:p>
          <w:p>
            <w:pPr>
              <w:snapToGrid w:val="0"/>
              <w:spacing w:line="360" w:lineRule="auto"/>
              <w:ind w:firstLine="457" w:firstLineChars="196"/>
              <w:rPr>
                <w:rFonts w:hAnsi="宋体"/>
                <w:sz w:val="24"/>
                <w:szCs w:val="24"/>
                <w:u w:val="none" w:color="auto"/>
              </w:rPr>
            </w:pPr>
            <w:r>
              <w:rPr>
                <w:rFonts w:hint="eastAsia" w:hAnsi="宋体"/>
                <w:sz w:val="24"/>
                <w:szCs w:val="24"/>
                <w:u w:val="none" w:color="auto"/>
              </w:rPr>
              <w:t>本项目排水实行“雨污分流”制。</w:t>
            </w:r>
            <w:r>
              <w:rPr>
                <w:rFonts w:hint="eastAsia" w:hAnsi="宋体"/>
                <w:sz w:val="24"/>
                <w:u w:val="none" w:color="auto"/>
              </w:rPr>
              <w:t>营运期废水为生活污水</w:t>
            </w:r>
            <w:r>
              <w:rPr>
                <w:rFonts w:hint="eastAsia" w:hAnsi="宋体"/>
                <w:sz w:val="24"/>
                <w:szCs w:val="24"/>
                <w:u w:val="none" w:color="auto"/>
              </w:rPr>
              <w:t>，</w:t>
            </w:r>
            <w:r>
              <w:rPr>
                <w:rFonts w:hint="eastAsia"/>
                <w:sz w:val="24"/>
                <w:szCs w:val="24"/>
                <w:u w:val="none" w:color="auto"/>
                <w:lang w:val="en-US" w:eastAsia="zh-CN"/>
              </w:rPr>
              <w:t>湘阴县第三污水处理厂建成且接通前：</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污水通过化粪池处理后排入园区污水管网再进入</w:t>
            </w:r>
            <w:r>
              <w:rPr>
                <w:rFonts w:hint="eastAsia"/>
                <w:sz w:val="24"/>
                <w:szCs w:val="24"/>
                <w:u w:val="none" w:color="auto"/>
                <w:lang w:eastAsia="zh-CN"/>
              </w:rPr>
              <w:t>卓达金谷创业园自建的污水处理站</w:t>
            </w:r>
            <w:r>
              <w:rPr>
                <w:sz w:val="24"/>
                <w:szCs w:val="24"/>
                <w:u w:val="none" w:color="auto"/>
              </w:rPr>
              <w:t>处理</w:t>
            </w:r>
            <w:r>
              <w:rPr>
                <w:rFonts w:hAnsi="宋体"/>
                <w:sz w:val="24"/>
                <w:szCs w:val="24"/>
                <w:u w:val="none" w:color="auto"/>
              </w:rPr>
              <w:t>达</w:t>
            </w:r>
            <w:r>
              <w:rPr>
                <w:rFonts w:hint="eastAsia" w:hAnsi="宋体"/>
                <w:sz w:val="24"/>
                <w:szCs w:val="24"/>
                <w:u w:val="none" w:color="auto"/>
                <w:lang w:eastAsia="zh-CN"/>
              </w:rPr>
              <w:t>到</w:t>
            </w:r>
            <w:r>
              <w:rPr>
                <w:sz w:val="24"/>
                <w:szCs w:val="24"/>
                <w:u w:val="none" w:color="auto"/>
              </w:rPr>
              <w:t>《城镇污水处理厂污染物排放标准（GB18918—2002）》中一级标准的A类标准后</w:t>
            </w:r>
            <w:r>
              <w:rPr>
                <w:rFonts w:hint="eastAsia"/>
                <w:sz w:val="24"/>
                <w:szCs w:val="24"/>
                <w:u w:val="none" w:color="auto"/>
                <w:lang w:eastAsia="zh-CN"/>
              </w:rPr>
              <w:t>进入洋沙河</w:t>
            </w:r>
            <w:r>
              <w:rPr>
                <w:rFonts w:hint="eastAsia"/>
                <w:sz w:val="24"/>
                <w:szCs w:val="24"/>
                <w:u w:val="none" w:color="auto"/>
                <w:lang w:val="en-US" w:eastAsia="zh-CN"/>
              </w:rPr>
              <w:t>排入洋沙湖</w:t>
            </w:r>
            <w:r>
              <w:rPr>
                <w:sz w:val="24"/>
                <w:szCs w:val="24"/>
                <w:u w:val="none" w:color="auto"/>
              </w:rPr>
              <w:t>，最终汇入湘江</w:t>
            </w:r>
            <w:r>
              <w:rPr>
                <w:rFonts w:hint="eastAsia"/>
                <w:sz w:val="24"/>
                <w:szCs w:val="24"/>
                <w:u w:val="none" w:color="auto"/>
                <w:lang w:eastAsia="zh-CN"/>
              </w:rPr>
              <w:t>。</w:t>
            </w:r>
            <w:r>
              <w:rPr>
                <w:rFonts w:hint="eastAsia"/>
                <w:sz w:val="24"/>
                <w:szCs w:val="24"/>
                <w:u w:val="none" w:color="auto"/>
                <w:lang w:val="en-US" w:eastAsia="zh-CN"/>
              </w:rPr>
              <w:t>湘阴县第三污水处理厂建成且接通后：</w:t>
            </w:r>
            <w:r>
              <w:rPr>
                <w:sz w:val="24"/>
                <w:szCs w:val="24"/>
                <w:u w:val="none" w:color="auto"/>
              </w:rPr>
              <w:t>项目</w:t>
            </w:r>
            <w:r>
              <w:rPr>
                <w:rFonts w:hint="eastAsia"/>
                <w:sz w:val="24"/>
                <w:szCs w:val="24"/>
                <w:u w:val="none" w:color="auto"/>
                <w:lang w:val="en-US" w:eastAsia="zh-CN"/>
              </w:rPr>
              <w:t>生活</w:t>
            </w:r>
            <w:r>
              <w:rPr>
                <w:sz w:val="24"/>
                <w:szCs w:val="24"/>
                <w:u w:val="none" w:color="auto"/>
              </w:rPr>
              <w:t>污水通过化粪池处理后排入园区污水管网</w:t>
            </w:r>
            <w:r>
              <w:rPr>
                <w:rFonts w:hint="eastAsia"/>
                <w:sz w:val="24"/>
                <w:szCs w:val="24"/>
                <w:u w:val="none" w:color="auto"/>
                <w:lang w:val="en-US" w:eastAsia="zh-CN"/>
              </w:rPr>
              <w:t>进入湘阴县第三污水处理厂处理后排入洋沙河流入洋沙湖，最终进入湘江</w:t>
            </w:r>
            <w:r>
              <w:rPr>
                <w:rFonts w:hint="eastAsia" w:hAnsi="宋体"/>
                <w:sz w:val="24"/>
                <w:szCs w:val="24"/>
                <w:u w:val="none" w:color="auto"/>
              </w:rPr>
              <w:t>。</w:t>
            </w:r>
            <w:r>
              <w:rPr>
                <w:rFonts w:hAnsi="宋体"/>
                <w:sz w:val="24"/>
                <w:szCs w:val="24"/>
                <w:u w:val="none" w:color="auto"/>
              </w:rPr>
              <w:t>对区域水环境影响较小</w:t>
            </w:r>
            <w:r>
              <w:rPr>
                <w:rFonts w:hint="eastAsia" w:hAnsi="宋体"/>
                <w:sz w:val="24"/>
                <w:szCs w:val="24"/>
                <w:u w:val="none" w:color="auto"/>
                <w:lang w:eastAsia="zh-CN"/>
              </w:rPr>
              <w:t>，冷却水经冷却循环水池收集后循环使用，不外排</w:t>
            </w:r>
            <w:r>
              <w:rPr>
                <w:rFonts w:hAnsi="宋体"/>
                <w:sz w:val="24"/>
                <w:szCs w:val="24"/>
                <w:u w:val="none" w:color="auto"/>
              </w:rPr>
              <w:t>。</w:t>
            </w:r>
          </w:p>
          <w:p>
            <w:pPr>
              <w:pStyle w:val="4"/>
              <w:spacing w:before="0" w:beforeLines="0"/>
              <w:ind w:firstLine="460"/>
              <w:rPr>
                <w:rFonts w:hAnsi="宋体"/>
                <w:szCs w:val="24"/>
                <w:u w:val="none" w:color="auto"/>
              </w:rPr>
            </w:pPr>
            <w:r>
              <w:rPr>
                <w:u w:val="none" w:color="auto"/>
              </w:rPr>
              <w:t>（2）</w:t>
            </w:r>
            <w:r>
              <w:rPr>
                <w:rFonts w:hint="eastAsia" w:hAnsi="宋体"/>
                <w:szCs w:val="24"/>
                <w:u w:val="none" w:color="auto"/>
              </w:rPr>
              <w:t>大气环境</w:t>
            </w:r>
          </w:p>
          <w:p>
            <w:pPr>
              <w:snapToGrid w:val="0"/>
              <w:spacing w:line="360" w:lineRule="auto"/>
              <w:ind w:firstLine="457" w:firstLineChars="196"/>
              <w:rPr>
                <w:rFonts w:hint="eastAsia" w:eastAsia="宋体"/>
                <w:b/>
                <w:sz w:val="24"/>
                <w:u w:val="none" w:color="auto"/>
                <w:lang w:eastAsia="zh-CN"/>
              </w:rPr>
            </w:pPr>
            <w:r>
              <w:rPr>
                <w:rFonts w:hint="eastAsia"/>
                <w:bCs/>
                <w:sz w:val="24"/>
                <w:szCs w:val="24"/>
                <w:u w:val="none" w:color="auto"/>
              </w:rPr>
              <w:t>本项目运营过程中产生的废气主要有</w:t>
            </w:r>
            <w:r>
              <w:rPr>
                <w:rFonts w:hint="eastAsia"/>
                <w:bCs/>
                <w:sz w:val="24"/>
                <w:szCs w:val="24"/>
                <w:u w:val="none" w:color="auto"/>
                <w:lang w:eastAsia="zh-CN"/>
              </w:rPr>
              <w:t>印刷废气、模压成型废气。</w:t>
            </w:r>
          </w:p>
          <w:p>
            <w:pPr>
              <w:spacing w:line="360" w:lineRule="auto"/>
              <w:ind w:firstLine="466" w:firstLineChars="200"/>
              <w:jc w:val="left"/>
              <w:rPr>
                <w:sz w:val="24"/>
                <w:szCs w:val="24"/>
                <w:u w:val="none" w:color="auto"/>
              </w:rPr>
            </w:pPr>
            <w:r>
              <w:rPr>
                <w:rFonts w:hint="eastAsia"/>
                <w:sz w:val="24"/>
                <w:szCs w:val="24"/>
                <w:u w:val="none" w:color="auto"/>
              </w:rPr>
              <w:t>本项目</w:t>
            </w:r>
            <w:r>
              <w:rPr>
                <w:rFonts w:hint="eastAsia"/>
                <w:sz w:val="24"/>
                <w:szCs w:val="24"/>
                <w:u w:val="none" w:color="auto"/>
                <w:lang w:eastAsia="zh-CN"/>
              </w:rPr>
              <w:t>印刷废气产生量较少，经车间通风后无组织排放，</w:t>
            </w:r>
            <w:r>
              <w:rPr>
                <w:rFonts w:hint="eastAsia"/>
                <w:sz w:val="24"/>
                <w:szCs w:val="24"/>
                <w:u w:val="none" w:color="auto"/>
                <w:lang w:val="en-US" w:eastAsia="zh-CN"/>
              </w:rPr>
              <w:t>无组织废气可以达到</w:t>
            </w:r>
            <w:r>
              <w:rPr>
                <w:rFonts w:hint="eastAsia" w:cs="Times New Roman"/>
                <w:color w:val="auto"/>
                <w:kern w:val="0"/>
                <w:sz w:val="22"/>
                <w:szCs w:val="22"/>
                <w:u w:val="none" w:color="auto"/>
                <w:lang w:val="en-US" w:eastAsia="zh-CN" w:bidi="ar"/>
              </w:rPr>
              <w:t>《印刷业挥发性有机物排放标准》（DB43/1357-2017）中排放标准</w:t>
            </w:r>
            <w:r>
              <w:rPr>
                <w:rFonts w:hint="eastAsia"/>
                <w:sz w:val="24"/>
                <w:szCs w:val="24"/>
                <w:u w:val="none" w:color="auto"/>
                <w:lang w:eastAsia="zh-CN"/>
              </w:rPr>
              <w:t>。模压成型废气经集气罩</w:t>
            </w:r>
            <w:r>
              <w:rPr>
                <w:rFonts w:hint="eastAsia"/>
                <w:sz w:val="24"/>
                <w:szCs w:val="24"/>
                <w:u w:val="none" w:color="auto"/>
                <w:lang w:val="en-US" w:eastAsia="zh-CN"/>
              </w:rPr>
              <w:t>+活性炭吸附后由24m高排气筒高空排放</w:t>
            </w:r>
            <w:r>
              <w:rPr>
                <w:rFonts w:hint="default"/>
                <w:sz w:val="24"/>
                <w:szCs w:val="24"/>
                <w:u w:val="none" w:color="auto"/>
              </w:rPr>
              <w:t>。综上，本项目</w:t>
            </w:r>
            <w:r>
              <w:rPr>
                <w:rFonts w:hint="eastAsia"/>
                <w:sz w:val="24"/>
                <w:szCs w:val="24"/>
                <w:u w:val="none" w:color="auto"/>
                <w:lang w:val="en-US" w:eastAsia="zh-CN"/>
              </w:rPr>
              <w:t>模压</w:t>
            </w:r>
            <w:r>
              <w:rPr>
                <w:rFonts w:hint="eastAsia"/>
                <w:sz w:val="24"/>
                <w:szCs w:val="24"/>
                <w:u w:val="none" w:color="auto"/>
                <w:lang w:eastAsia="zh-CN"/>
              </w:rPr>
              <w:t>废气可以达到</w:t>
            </w:r>
            <w:r>
              <w:rPr>
                <w:rFonts w:hint="eastAsia"/>
                <w:sz w:val="24"/>
                <w:szCs w:val="24"/>
                <w:u w:val="none" w:color="auto"/>
              </w:rPr>
              <w:t>《</w:t>
            </w:r>
            <w:r>
              <w:rPr>
                <w:rFonts w:hint="eastAsia"/>
                <w:sz w:val="24"/>
                <w:szCs w:val="24"/>
                <w:u w:val="none" w:color="auto"/>
                <w:lang w:eastAsia="zh-CN"/>
              </w:rPr>
              <w:t>合成树脂工业污染物排放标准》</w:t>
            </w:r>
            <w:r>
              <w:rPr>
                <w:rFonts w:hint="eastAsia"/>
                <w:sz w:val="24"/>
                <w:szCs w:val="24"/>
                <w:u w:val="none" w:color="auto"/>
              </w:rPr>
              <w:t>（</w:t>
            </w:r>
            <w:r>
              <w:rPr>
                <w:rFonts w:hint="eastAsia"/>
                <w:sz w:val="24"/>
                <w:szCs w:val="24"/>
                <w:u w:val="none" w:color="auto"/>
                <w:lang w:val="en-US" w:eastAsia="zh-CN"/>
              </w:rPr>
              <w:t>GB31572-2015</w:t>
            </w:r>
            <w:r>
              <w:rPr>
                <w:rFonts w:hint="eastAsia"/>
                <w:sz w:val="24"/>
                <w:szCs w:val="24"/>
                <w:u w:val="none" w:color="auto"/>
              </w:rPr>
              <w:t>）表</w:t>
            </w:r>
            <w:r>
              <w:rPr>
                <w:rFonts w:hint="eastAsia"/>
                <w:sz w:val="24"/>
                <w:szCs w:val="24"/>
                <w:u w:val="none" w:color="auto"/>
                <w:lang w:val="en-US" w:eastAsia="zh-CN"/>
              </w:rPr>
              <w:t>4</w:t>
            </w:r>
            <w:r>
              <w:rPr>
                <w:rFonts w:hint="eastAsia"/>
                <w:sz w:val="24"/>
                <w:szCs w:val="24"/>
                <w:u w:val="none" w:color="auto"/>
              </w:rPr>
              <w:t xml:space="preserve"> </w:t>
            </w:r>
            <w:r>
              <w:rPr>
                <w:rFonts w:hint="eastAsia"/>
                <w:sz w:val="24"/>
                <w:szCs w:val="24"/>
                <w:u w:val="none" w:color="auto"/>
                <w:lang w:eastAsia="zh-CN"/>
              </w:rPr>
              <w:t>中的</w:t>
            </w:r>
            <w:r>
              <w:rPr>
                <w:rFonts w:hint="eastAsia"/>
                <w:sz w:val="24"/>
                <w:szCs w:val="24"/>
                <w:u w:val="none" w:color="auto"/>
              </w:rPr>
              <w:t>排放限值</w:t>
            </w:r>
            <w:r>
              <w:rPr>
                <w:rFonts w:hint="eastAsia"/>
                <w:sz w:val="24"/>
                <w:szCs w:val="24"/>
                <w:u w:val="none" w:color="auto"/>
                <w:lang w:eastAsia="zh-CN"/>
              </w:rPr>
              <w:t>及表</w:t>
            </w:r>
            <w:r>
              <w:rPr>
                <w:rFonts w:hint="eastAsia"/>
                <w:sz w:val="24"/>
                <w:szCs w:val="24"/>
                <w:u w:val="none" w:color="auto"/>
                <w:lang w:val="en-US" w:eastAsia="zh-CN"/>
              </w:rPr>
              <w:t>9无组织排放限值</w:t>
            </w:r>
            <w:r>
              <w:rPr>
                <w:rFonts w:hint="eastAsia"/>
                <w:sz w:val="24"/>
                <w:szCs w:val="24"/>
                <w:u w:val="none" w:color="auto"/>
              </w:rPr>
              <w:t>。</w:t>
            </w:r>
          </w:p>
          <w:p>
            <w:pPr>
              <w:snapToGrid w:val="0"/>
              <w:spacing w:line="360" w:lineRule="auto"/>
              <w:ind w:firstLine="457" w:firstLineChars="196"/>
              <w:rPr>
                <w:rFonts w:hAnsi="宋体"/>
                <w:sz w:val="24"/>
                <w:szCs w:val="24"/>
                <w:u w:val="none" w:color="auto"/>
              </w:rPr>
            </w:pPr>
            <w:r>
              <w:rPr>
                <w:rFonts w:hint="eastAsia" w:hAnsi="宋体"/>
                <w:sz w:val="24"/>
                <w:szCs w:val="24"/>
                <w:u w:val="none" w:color="auto"/>
              </w:rPr>
              <w:t>（3）噪声</w:t>
            </w:r>
          </w:p>
          <w:p>
            <w:pPr>
              <w:snapToGrid w:val="0"/>
              <w:spacing w:line="360" w:lineRule="auto"/>
              <w:ind w:firstLine="457" w:firstLineChars="196"/>
              <w:rPr>
                <w:rFonts w:hAnsi="宋体"/>
                <w:sz w:val="24"/>
                <w:u w:val="none" w:color="auto"/>
              </w:rPr>
            </w:pPr>
            <w:r>
              <w:rPr>
                <w:rFonts w:hint="eastAsia"/>
                <w:sz w:val="24"/>
                <w:u w:val="none" w:color="auto"/>
              </w:rPr>
              <w:t>本项目的主要噪声源为车间中的生产设备，噪声值为</w:t>
            </w:r>
            <w:r>
              <w:rPr>
                <w:rFonts w:hint="eastAsia"/>
                <w:sz w:val="24"/>
                <w:u w:val="none" w:color="auto"/>
                <w:lang w:val="en-US" w:eastAsia="zh-CN"/>
              </w:rPr>
              <w:t>65-80</w:t>
            </w:r>
            <w:r>
              <w:rPr>
                <w:rFonts w:hint="eastAsia"/>
                <w:sz w:val="24"/>
                <w:u w:val="none" w:color="auto"/>
              </w:rPr>
              <w:t>dB(A)</w:t>
            </w:r>
            <w:r>
              <w:rPr>
                <w:rFonts w:hint="eastAsia" w:hAnsi="宋体"/>
                <w:sz w:val="24"/>
                <w:szCs w:val="24"/>
                <w:u w:val="none" w:color="auto"/>
              </w:rPr>
              <w:t>，经采取合理布局、隔音、减振等措施后，厂界噪声能够满足《工业企业场界环境噪声排放标准》（GB12348-2008）</w:t>
            </w:r>
            <w:r>
              <w:rPr>
                <w:rFonts w:hint="eastAsia" w:hAnsi="宋体"/>
                <w:sz w:val="24"/>
                <w:szCs w:val="24"/>
                <w:u w:val="none" w:color="auto"/>
                <w:lang w:val="en-US" w:eastAsia="zh-CN"/>
              </w:rPr>
              <w:t>3</w:t>
            </w:r>
            <w:r>
              <w:rPr>
                <w:rFonts w:hint="eastAsia" w:hAnsi="宋体"/>
                <w:sz w:val="24"/>
                <w:szCs w:val="24"/>
                <w:u w:val="none" w:color="auto"/>
              </w:rPr>
              <w:t>类标准</w:t>
            </w:r>
            <w:r>
              <w:rPr>
                <w:rFonts w:hint="eastAsia" w:hAnsi="宋体"/>
                <w:sz w:val="24"/>
                <w:u w:val="none" w:color="auto"/>
              </w:rPr>
              <w:t>，对周围声环境产生影响较小。</w:t>
            </w:r>
          </w:p>
          <w:p>
            <w:pPr>
              <w:snapToGrid w:val="0"/>
              <w:spacing w:line="276" w:lineRule="auto"/>
              <w:ind w:firstLine="466" w:firstLineChars="200"/>
              <w:jc w:val="left"/>
              <w:rPr>
                <w:rFonts w:hAnsi="宋体"/>
                <w:sz w:val="24"/>
                <w:szCs w:val="24"/>
                <w:u w:val="none" w:color="auto"/>
              </w:rPr>
            </w:pPr>
            <w:r>
              <w:rPr>
                <w:rFonts w:hint="eastAsia" w:hAnsi="宋体"/>
                <w:sz w:val="24"/>
                <w:szCs w:val="24"/>
                <w:u w:val="none" w:color="auto"/>
              </w:rPr>
              <w:t>（4）固体废物</w:t>
            </w:r>
          </w:p>
          <w:p>
            <w:pPr>
              <w:pStyle w:val="34"/>
              <w:spacing w:line="360" w:lineRule="auto"/>
              <w:ind w:left="0" w:leftChars="0" w:firstLine="466" w:firstLineChars="200"/>
              <w:rPr>
                <w:rFonts w:ascii="宋体" w:hAnsi="宋体"/>
                <w:sz w:val="24"/>
                <w:szCs w:val="32"/>
                <w:u w:val="none" w:color="auto"/>
              </w:rPr>
            </w:pPr>
            <w:r>
              <w:rPr>
                <w:rFonts w:hint="eastAsia" w:ascii="宋体" w:hAnsi="宋体"/>
                <w:sz w:val="24"/>
                <w:szCs w:val="32"/>
                <w:u w:val="none" w:color="auto"/>
              </w:rPr>
              <w:t>本项目产生的固体废物有废</w:t>
            </w:r>
            <w:r>
              <w:rPr>
                <w:rFonts w:hint="eastAsia" w:ascii="宋体" w:hAnsi="宋体"/>
                <w:sz w:val="24"/>
                <w:szCs w:val="32"/>
                <w:u w:val="none" w:color="auto"/>
                <w:lang w:eastAsia="zh-CN"/>
              </w:rPr>
              <w:t>边角料</w:t>
            </w:r>
            <w:r>
              <w:rPr>
                <w:rFonts w:hint="eastAsia" w:ascii="宋体" w:hAnsi="宋体"/>
                <w:sz w:val="24"/>
                <w:szCs w:val="32"/>
                <w:u w:val="none" w:color="auto"/>
              </w:rPr>
              <w:t>、生活垃圾</w:t>
            </w:r>
            <w:r>
              <w:rPr>
                <w:rFonts w:hint="eastAsia" w:ascii="宋体" w:hAnsi="宋体"/>
                <w:sz w:val="24"/>
                <w:szCs w:val="32"/>
                <w:u w:val="none" w:color="auto"/>
                <w:lang w:eastAsia="zh-CN"/>
              </w:rPr>
              <w:t>、废油墨桶、废活性炭</w:t>
            </w:r>
            <w:r>
              <w:rPr>
                <w:rFonts w:hint="eastAsia" w:ascii="宋体" w:hAnsi="宋体"/>
                <w:sz w:val="24"/>
                <w:szCs w:val="32"/>
                <w:u w:val="none" w:color="auto"/>
              </w:rPr>
              <w:t>等。</w:t>
            </w:r>
            <w:r>
              <w:rPr>
                <w:rFonts w:hint="eastAsia" w:ascii="宋体" w:hAnsi="宋体"/>
                <w:sz w:val="24"/>
                <w:szCs w:val="32"/>
                <w:u w:val="none" w:color="auto"/>
                <w:lang w:eastAsia="zh-CN"/>
              </w:rPr>
              <w:t>其中废边角料</w:t>
            </w:r>
            <w:r>
              <w:rPr>
                <w:rFonts w:hint="default" w:ascii="Times New Roman" w:hAnsi="Times New Roman" w:cs="Times New Roman"/>
                <w:sz w:val="24"/>
                <w:u w:val="none" w:color="auto"/>
              </w:rPr>
              <w:t>收集后均</w:t>
            </w:r>
            <w:r>
              <w:rPr>
                <w:rFonts w:hint="eastAsia" w:cs="Times New Roman"/>
                <w:sz w:val="24"/>
                <w:u w:val="none" w:color="auto"/>
                <w:lang w:eastAsia="zh-CN"/>
              </w:rPr>
              <w:t>交由环卫部门进行收集处置；</w:t>
            </w:r>
            <w:r>
              <w:rPr>
                <w:rFonts w:hint="default" w:ascii="Times New Roman" w:hAnsi="Times New Roman" w:cs="Times New Roman"/>
                <w:sz w:val="24"/>
                <w:u w:val="none" w:color="auto"/>
              </w:rPr>
              <w:t>生活垃圾</w:t>
            </w:r>
            <w:r>
              <w:rPr>
                <w:rFonts w:hint="default" w:ascii="Times New Roman" w:hAnsi="Times New Roman" w:cs="Times New Roman"/>
                <w:sz w:val="24"/>
                <w:szCs w:val="24"/>
                <w:u w:val="none" w:color="auto"/>
              </w:rPr>
              <w:t>集中收集后交环卫部门统一清运处理</w:t>
            </w:r>
            <w:r>
              <w:rPr>
                <w:rFonts w:hint="eastAsia" w:ascii="Times New Roman" w:hAnsi="Times New Roman" w:cs="Times New Roman"/>
                <w:sz w:val="24"/>
                <w:szCs w:val="24"/>
                <w:u w:val="none" w:color="auto"/>
                <w:lang w:eastAsia="zh-CN"/>
              </w:rPr>
              <w:t>；</w:t>
            </w:r>
            <w:r>
              <w:rPr>
                <w:rFonts w:hint="eastAsia" w:hAnsi="宋体"/>
                <w:sz w:val="24"/>
                <w:u w:val="none" w:color="auto"/>
                <w:lang w:val="en-US" w:eastAsia="zh-CN"/>
              </w:rPr>
              <w:t xml:space="preserve">废活性炭属于危险废物（代码：HW49  900-039-49 </w:t>
            </w:r>
            <w:r>
              <w:rPr>
                <w:rFonts w:hint="eastAsia" w:hAnsi="宋体"/>
                <w:sz w:val="24"/>
                <w:u w:val="none" w:color="auto"/>
                <w:lang w:eastAsia="zh-CN"/>
              </w:rPr>
              <w:t>），收集于危险废物储存间内，再交由有资质单位进行处理</w:t>
            </w:r>
            <w:r>
              <w:rPr>
                <w:rFonts w:hint="eastAsia"/>
                <w:sz w:val="24"/>
                <w:szCs w:val="24"/>
                <w:u w:val="none" w:color="auto"/>
                <w:lang w:val="en-US" w:eastAsia="zh-CN"/>
              </w:rPr>
              <w:t>；</w:t>
            </w:r>
            <w:r>
              <w:rPr>
                <w:rFonts w:hint="eastAsia" w:hAnsi="宋体"/>
                <w:sz w:val="24"/>
                <w:u w:val="none" w:color="auto"/>
                <w:lang w:val="en-US" w:eastAsia="zh-CN"/>
              </w:rPr>
              <w:t>项目废油墨桶属于危险废物（代码：HW12  264-013-12），需收集于危险废物储存间，再交由生产厂家回收或交由有资质单位进行处置</w:t>
            </w:r>
            <w:r>
              <w:rPr>
                <w:rFonts w:hint="eastAsia" w:ascii="宋体" w:hAnsi="宋体"/>
                <w:sz w:val="24"/>
                <w:szCs w:val="32"/>
                <w:u w:val="none" w:color="auto"/>
              </w:rPr>
              <w:t>。</w:t>
            </w:r>
          </w:p>
          <w:p>
            <w:pPr>
              <w:snapToGrid w:val="0"/>
              <w:spacing w:line="360" w:lineRule="auto"/>
              <w:ind w:firstLine="466" w:firstLineChars="200"/>
              <w:jc w:val="left"/>
              <w:rPr>
                <w:rFonts w:hAnsi="宋体"/>
                <w:sz w:val="24"/>
                <w:szCs w:val="24"/>
                <w:u w:val="none" w:color="auto"/>
              </w:rPr>
            </w:pPr>
            <w:r>
              <w:rPr>
                <w:rFonts w:hint="eastAsia" w:hAnsi="宋体"/>
                <w:sz w:val="24"/>
                <w:szCs w:val="24"/>
                <w:u w:val="none" w:color="auto"/>
              </w:rPr>
              <w:t>本项目营运期产生的各类固体废物均得到了很好的处理和处置，对外环境影响较小。</w:t>
            </w:r>
          </w:p>
          <w:p>
            <w:pPr>
              <w:snapToGrid w:val="0"/>
              <w:spacing w:line="360" w:lineRule="auto"/>
              <w:ind w:firstLine="457" w:firstLineChars="196"/>
              <w:rPr>
                <w:b/>
                <w:bCs/>
                <w:sz w:val="24"/>
                <w:u w:val="none" w:color="auto"/>
              </w:rPr>
            </w:pPr>
            <w:r>
              <w:rPr>
                <w:rFonts w:hint="eastAsia"/>
                <w:b/>
                <w:bCs/>
                <w:sz w:val="24"/>
                <w:u w:val="none" w:color="auto"/>
              </w:rPr>
              <w:t>4、项目可行性分析</w:t>
            </w:r>
          </w:p>
          <w:p>
            <w:pPr>
              <w:snapToGrid w:val="0"/>
              <w:spacing w:line="360" w:lineRule="auto"/>
              <w:ind w:firstLine="457" w:firstLineChars="196"/>
              <w:rPr>
                <w:rFonts w:hAnsi="宋体"/>
                <w:sz w:val="24"/>
                <w:u w:val="none" w:color="auto"/>
              </w:rPr>
            </w:pPr>
            <w:r>
              <w:rPr>
                <w:rFonts w:hint="default" w:ascii="Times New Roman" w:hAnsi="Times New Roman" w:cs="Times New Roman"/>
                <w:sz w:val="24"/>
                <w:szCs w:val="24"/>
                <w:u w:val="none" w:color="auto"/>
              </w:rPr>
              <w:t>本项目为</w:t>
            </w:r>
            <w:r>
              <w:rPr>
                <w:rFonts w:hint="eastAsia" w:cs="Times New Roman"/>
                <w:sz w:val="24"/>
                <w:szCs w:val="24"/>
                <w:u w:val="none" w:color="auto"/>
                <w:lang w:eastAsia="zh-CN"/>
              </w:rPr>
              <w:t>硅胶制品</w:t>
            </w:r>
            <w:r>
              <w:rPr>
                <w:rFonts w:hint="default" w:ascii="Times New Roman" w:hAnsi="Times New Roman" w:cs="Times New Roman"/>
                <w:sz w:val="24"/>
                <w:szCs w:val="24"/>
                <w:u w:val="none" w:color="auto"/>
              </w:rPr>
              <w:t>制造，根据中华人民共和国发展和改革委员会《产业结构调整指导目录（201</w:t>
            </w:r>
            <w:r>
              <w:rPr>
                <w:rFonts w:hint="eastAsia" w:cs="Times New Roman"/>
                <w:sz w:val="24"/>
                <w:szCs w:val="24"/>
                <w:u w:val="none" w:color="auto"/>
                <w:lang w:val="en-US" w:eastAsia="zh-CN"/>
              </w:rPr>
              <w:t>9</w:t>
            </w:r>
            <w:r>
              <w:rPr>
                <w:rFonts w:hint="default" w:ascii="Times New Roman" w:hAnsi="Times New Roman" w:cs="Times New Roman"/>
                <w:sz w:val="24"/>
                <w:szCs w:val="24"/>
                <w:u w:val="none" w:color="auto"/>
              </w:rPr>
              <w:t>年本）》，该类项目不属于限制类和淘汰类项目，符合国家产业政策要求</w:t>
            </w:r>
            <w:r>
              <w:rPr>
                <w:rFonts w:hint="eastAsia" w:cs="Times New Roman"/>
                <w:sz w:val="24"/>
                <w:szCs w:val="24"/>
                <w:u w:val="none" w:color="auto"/>
                <w:lang w:eastAsia="zh-CN"/>
              </w:rPr>
              <w:t>，</w:t>
            </w:r>
            <w:r>
              <w:rPr>
                <w:color w:val="auto"/>
                <w:spacing w:val="-6"/>
                <w:sz w:val="24"/>
                <w:u w:val="none" w:color="auto"/>
              </w:rPr>
              <w:t>项目设备</w:t>
            </w:r>
            <w:r>
              <w:rPr>
                <w:rFonts w:hint="default" w:ascii="Times New Roman" w:hAnsi="Times New Roman" w:eastAsia="宋体" w:cs="Times New Roman"/>
                <w:bCs/>
                <w:color w:val="auto"/>
                <w:sz w:val="24"/>
                <w:szCs w:val="24"/>
                <w:u w:val="none" w:color="auto"/>
              </w:rPr>
              <w:t>无国家发改委《产业结构调整指导目录》（2019 年本）</w:t>
            </w:r>
            <w:r>
              <w:rPr>
                <w:rFonts w:hint="eastAsia" w:ascii="Times New Roman" w:hAnsi="Times New Roman" w:eastAsia="宋体" w:cs="Times New Roman"/>
                <w:bCs/>
                <w:color w:val="auto"/>
                <w:sz w:val="24"/>
                <w:szCs w:val="24"/>
                <w:u w:val="none" w:color="auto"/>
                <w:lang w:eastAsia="zh-CN"/>
              </w:rPr>
              <w:t>、</w:t>
            </w:r>
            <w:r>
              <w:rPr>
                <w:rFonts w:hint="default" w:ascii="Times New Roman" w:hAnsi="Times New Roman" w:eastAsia="宋体" w:cs="Times New Roman"/>
                <w:bCs/>
                <w:color w:val="auto"/>
                <w:sz w:val="24"/>
                <w:szCs w:val="24"/>
                <w:u w:val="none" w:color="auto"/>
              </w:rPr>
              <w:t>《工业和信息化部高耗能落后机电设备（产品）淘汰目录》、《部分工业行业淘汰落后生产工艺装备和产品指导目录》中淘汰及明令禁止使用的设备</w:t>
            </w:r>
            <w:r>
              <w:rPr>
                <w:rFonts w:hint="eastAsia" w:hAnsi="宋体"/>
                <w:sz w:val="24"/>
                <w:u w:val="none" w:color="auto"/>
              </w:rPr>
              <w:t>。</w:t>
            </w:r>
          </w:p>
          <w:p>
            <w:pPr>
              <w:snapToGrid w:val="0"/>
              <w:spacing w:line="360" w:lineRule="auto"/>
              <w:ind w:firstLine="457" w:firstLineChars="196"/>
              <w:rPr>
                <w:rFonts w:hint="eastAsia"/>
                <w:b/>
                <w:bCs/>
                <w:sz w:val="24"/>
                <w:u w:val="none" w:color="auto"/>
              </w:rPr>
            </w:pPr>
            <w:r>
              <w:rPr>
                <w:rFonts w:hint="eastAsia" w:hAnsi="宋体"/>
                <w:sz w:val="24"/>
                <w:u w:val="none" w:color="auto"/>
              </w:rPr>
              <w:t>本项目</w:t>
            </w:r>
            <w:r>
              <w:rPr>
                <w:rFonts w:hint="eastAsia" w:hAnsi="宋体"/>
                <w:sz w:val="24"/>
                <w:szCs w:val="24"/>
                <w:u w:val="none" w:color="auto"/>
              </w:rPr>
              <w:t>选址所在地基础设施完善，地理位置优越、交通方便、各类污染物经处理后能实现达标排放，且无与本项目有关的制约因素；平面布置比较合理，布局紧凑、管理方便。因此本项目的选址是可行的。</w:t>
            </w:r>
          </w:p>
          <w:p>
            <w:pPr>
              <w:snapToGrid w:val="0"/>
              <w:spacing w:line="360" w:lineRule="auto"/>
              <w:ind w:firstLine="466" w:firstLineChars="200"/>
              <w:rPr>
                <w:rFonts w:hint="eastAsia" w:ascii="Times New Roman" w:hAnsi="Times New Roman" w:eastAsia="宋体" w:cs="Times New Roman"/>
                <w:b/>
                <w:bCs/>
                <w:color w:val="auto"/>
                <w:sz w:val="24"/>
                <w:szCs w:val="24"/>
                <w:u w:val="none" w:color="auto"/>
                <w:lang w:eastAsia="zh-CN"/>
              </w:rPr>
            </w:pPr>
            <w:r>
              <w:rPr>
                <w:rFonts w:hint="eastAsia" w:cs="Times New Roman"/>
                <w:b/>
                <w:bCs/>
                <w:color w:val="auto"/>
                <w:sz w:val="24"/>
                <w:szCs w:val="24"/>
                <w:u w:val="none" w:color="auto"/>
                <w:lang w:val="en-US" w:eastAsia="zh-CN"/>
              </w:rPr>
              <w:t>5、</w:t>
            </w:r>
            <w:r>
              <w:rPr>
                <w:rFonts w:hint="eastAsia" w:cs="Times New Roman"/>
                <w:b/>
                <w:bCs/>
                <w:color w:val="auto"/>
                <w:sz w:val="24"/>
                <w:szCs w:val="24"/>
                <w:u w:val="none" w:color="auto"/>
                <w:lang w:eastAsia="zh-CN"/>
              </w:rPr>
              <w:t>与金龙工业园规划相符性</w:t>
            </w:r>
          </w:p>
          <w:p>
            <w:pPr>
              <w:snapToGrid w:val="0"/>
              <w:spacing w:line="360" w:lineRule="auto"/>
              <w:ind w:firstLine="457" w:firstLineChars="196"/>
              <w:rPr>
                <w:rFonts w:hint="eastAsia"/>
                <w:b/>
                <w:bCs/>
                <w:sz w:val="24"/>
                <w:u w:val="none" w:color="auto"/>
              </w:rPr>
            </w:pPr>
            <w:r>
              <w:rPr>
                <w:rFonts w:hint="eastAsia" w:ascii="宋体" w:hAnsi="宋体" w:eastAsia="宋体" w:cs="宋体"/>
                <w:i w:val="0"/>
                <w:caps w:val="0"/>
                <w:color w:val="auto"/>
                <w:spacing w:val="0"/>
                <w:sz w:val="24"/>
                <w:szCs w:val="24"/>
                <w:u w:val="none" w:color="auto"/>
                <w:shd w:val="clear" w:fill="FFFFFF"/>
              </w:rPr>
              <w:t>建设项目选址位于湘阴县金龙工业园内，该工业园已完成规划环评审查，根据岳阳市环境保护局《关于湘阴县金龙新区工业区规划环境影响评价报告书</w:t>
            </w:r>
            <w:r>
              <w:rPr>
                <w:rFonts w:hint="eastAsia" w:ascii="宋体" w:hAnsi="宋体" w:eastAsia="宋体" w:cs="宋体"/>
                <w:i w:val="0"/>
                <w:caps w:val="0"/>
                <w:color w:val="auto"/>
                <w:spacing w:val="0"/>
                <w:sz w:val="24"/>
                <w:szCs w:val="24"/>
                <w:u w:val="none" w:color="auto"/>
                <w:shd w:val="clear" w:fill="FFFFFF"/>
                <w:lang w:eastAsia="zh-CN"/>
              </w:rPr>
              <w:t>及审查意见</w:t>
            </w:r>
            <w:r>
              <w:rPr>
                <w:rFonts w:hint="eastAsia" w:ascii="宋体" w:hAnsi="宋体" w:eastAsia="宋体" w:cs="宋体"/>
                <w:i w:val="0"/>
                <w:caps w:val="0"/>
                <w:color w:val="auto"/>
                <w:spacing w:val="0"/>
                <w:sz w:val="24"/>
                <w:szCs w:val="24"/>
                <w:u w:val="none" w:color="auto"/>
                <w:shd w:val="clear" w:fill="FFFFFF"/>
              </w:rPr>
              <w:t>》，入驻园区的的企业应满足以下要求</w:t>
            </w:r>
            <w:r>
              <w:rPr>
                <w:rFonts w:hint="eastAsia" w:ascii="宋体" w:hAnsi="宋体" w:eastAsia="宋体" w:cs="宋体"/>
                <w:i w:val="0"/>
                <w:caps w:val="0"/>
                <w:color w:val="auto"/>
                <w:spacing w:val="0"/>
                <w:sz w:val="24"/>
                <w:szCs w:val="24"/>
                <w:u w:val="none" w:color="auto"/>
                <w:shd w:val="clear" w:fill="FFFFFF"/>
                <w:lang w:eastAsia="zh-CN"/>
              </w:rPr>
              <w:t>：</w:t>
            </w:r>
            <w:r>
              <w:rPr>
                <w:rFonts w:hint="eastAsia" w:ascii="宋体" w:hAnsi="宋体" w:eastAsia="宋体" w:cs="宋体"/>
                <w:i w:val="0"/>
                <w:caps w:val="0"/>
                <w:color w:val="auto"/>
                <w:spacing w:val="0"/>
                <w:sz w:val="24"/>
                <w:szCs w:val="24"/>
                <w:u w:val="none" w:color="auto"/>
                <w:shd w:val="clear" w:fill="FFFFFF"/>
              </w:rPr>
              <w:t>入园项目必须满足园区总体发展规划、用地规划、环保规划及主导产业定位要求，严格执行环境准入负面清单，不得引进国家明令淘汰和禁止发展的、不符合产业政策的建设项目；禁止引进多晶硅、单晶硅、造纸、石化、冶金、皮革、医药、纺织印染、酒类、畜禽初加工、电镀和火力发电等行业，限制发展食品制造、饲料加工行业”</w:t>
            </w:r>
            <w:r>
              <w:rPr>
                <w:rFonts w:hint="eastAsia" w:ascii="宋体" w:hAnsi="宋体" w:eastAsia="宋体" w:cs="宋体"/>
                <w:i w:val="0"/>
                <w:caps w:val="0"/>
                <w:color w:val="auto"/>
                <w:spacing w:val="0"/>
                <w:sz w:val="24"/>
                <w:szCs w:val="24"/>
                <w:u w:val="none" w:color="auto"/>
                <w:shd w:val="clear" w:fill="FFFFFF"/>
                <w:lang w:eastAsia="zh-CN"/>
              </w:rPr>
              <w:t>，本项目</w:t>
            </w:r>
            <w:r>
              <w:rPr>
                <w:rFonts w:hint="eastAsia" w:ascii="宋体" w:hAnsi="宋体" w:cs="宋体"/>
                <w:i w:val="0"/>
                <w:caps w:val="0"/>
                <w:color w:val="auto"/>
                <w:spacing w:val="0"/>
                <w:sz w:val="24"/>
                <w:szCs w:val="24"/>
                <w:u w:val="none" w:color="auto"/>
                <w:shd w:val="clear" w:fill="FFFFFF"/>
                <w:lang w:eastAsia="zh-CN"/>
              </w:rPr>
              <w:t>为硅胶制品制造，</w:t>
            </w:r>
            <w:r>
              <w:rPr>
                <w:rFonts w:hint="eastAsia" w:ascii="宋体" w:hAnsi="宋体" w:cs="宋体"/>
                <w:i w:val="0"/>
                <w:caps w:val="0"/>
                <w:color w:val="auto"/>
                <w:spacing w:val="0"/>
                <w:sz w:val="24"/>
                <w:szCs w:val="24"/>
                <w:u w:val="none" w:color="auto"/>
                <w:shd w:val="clear" w:fill="FFFFFF"/>
                <w:lang w:val="en-US" w:eastAsia="zh-CN"/>
              </w:rPr>
              <w:t>不属于限制类及禁止类项目</w:t>
            </w:r>
            <w:r>
              <w:rPr>
                <w:rFonts w:hint="eastAsia" w:ascii="宋体" w:hAnsi="宋体" w:eastAsia="宋体" w:cs="宋体"/>
                <w:i w:val="0"/>
                <w:caps w:val="0"/>
                <w:color w:val="auto"/>
                <w:spacing w:val="0"/>
                <w:sz w:val="24"/>
                <w:szCs w:val="24"/>
                <w:u w:val="none" w:color="auto"/>
                <w:shd w:val="clear" w:fill="FFFFFF"/>
                <w:lang w:eastAsia="zh-CN"/>
              </w:rPr>
              <w:t>，且</w:t>
            </w:r>
            <w:r>
              <w:rPr>
                <w:rFonts w:hint="eastAsia" w:cs="Times New Roman"/>
                <w:color w:val="auto"/>
                <w:sz w:val="24"/>
                <w:szCs w:val="24"/>
                <w:u w:val="none" w:color="auto"/>
                <w:lang w:eastAsia="zh-CN"/>
              </w:rPr>
              <w:t>项目已通过湘阴县联审会议（具体详见附件</w:t>
            </w:r>
            <w:r>
              <w:rPr>
                <w:rFonts w:hint="eastAsia" w:cs="Times New Roman"/>
                <w:color w:val="auto"/>
                <w:sz w:val="24"/>
                <w:szCs w:val="24"/>
                <w:u w:val="none" w:color="auto"/>
                <w:lang w:val="en-US" w:eastAsia="zh-CN"/>
              </w:rPr>
              <w:t>4</w:t>
            </w:r>
            <w:r>
              <w:rPr>
                <w:rFonts w:hint="eastAsia" w:cs="Times New Roman"/>
                <w:color w:val="auto"/>
                <w:sz w:val="24"/>
                <w:szCs w:val="24"/>
                <w:u w:val="none" w:color="auto"/>
                <w:lang w:eastAsia="zh-CN"/>
              </w:rPr>
              <w:t>）。</w:t>
            </w:r>
          </w:p>
          <w:p>
            <w:pPr>
              <w:snapToGrid w:val="0"/>
              <w:spacing w:line="360" w:lineRule="auto"/>
              <w:ind w:firstLine="457" w:firstLineChars="196"/>
              <w:rPr>
                <w:b/>
                <w:bCs/>
                <w:sz w:val="24"/>
                <w:u w:val="none" w:color="auto"/>
              </w:rPr>
            </w:pPr>
            <w:r>
              <w:rPr>
                <w:rFonts w:hint="eastAsia"/>
                <w:b/>
                <w:bCs/>
                <w:sz w:val="24"/>
                <w:u w:val="none" w:color="auto"/>
                <w:lang w:val="en-US" w:eastAsia="zh-CN"/>
              </w:rPr>
              <w:t>6</w:t>
            </w:r>
            <w:r>
              <w:rPr>
                <w:rFonts w:hint="eastAsia"/>
                <w:b/>
                <w:bCs/>
                <w:sz w:val="24"/>
                <w:u w:val="none" w:color="auto"/>
              </w:rPr>
              <w:t>、项目建设环境制约因素</w:t>
            </w:r>
          </w:p>
          <w:p>
            <w:pPr>
              <w:snapToGrid w:val="0"/>
              <w:spacing w:line="360" w:lineRule="auto"/>
              <w:ind w:firstLine="457" w:firstLineChars="196"/>
              <w:rPr>
                <w:rFonts w:hAnsi="宋体"/>
                <w:sz w:val="24"/>
                <w:u w:val="none" w:color="auto"/>
              </w:rPr>
            </w:pPr>
            <w:r>
              <w:rPr>
                <w:rFonts w:hint="eastAsia" w:hAnsi="宋体"/>
                <w:sz w:val="24"/>
                <w:u w:val="none" w:color="auto"/>
              </w:rPr>
              <w:t>本项目建设没有</w:t>
            </w:r>
            <w:bookmarkStart w:id="13" w:name="OLE_LINK19"/>
            <w:r>
              <w:rPr>
                <w:rFonts w:hint="eastAsia" w:hAnsi="宋体"/>
                <w:sz w:val="24"/>
                <w:u w:val="none" w:color="auto"/>
              </w:rPr>
              <w:t>明显的环境制约因素</w:t>
            </w:r>
            <w:bookmarkEnd w:id="13"/>
            <w:r>
              <w:rPr>
                <w:rFonts w:hint="eastAsia" w:hAnsi="宋体"/>
                <w:sz w:val="24"/>
                <w:u w:val="none" w:color="auto"/>
              </w:rPr>
              <w:t>。</w:t>
            </w:r>
          </w:p>
          <w:p>
            <w:pPr>
              <w:snapToGrid w:val="0"/>
              <w:spacing w:line="360" w:lineRule="auto"/>
              <w:ind w:firstLine="466" w:firstLineChars="200"/>
              <w:rPr>
                <w:b/>
                <w:sz w:val="24"/>
                <w:szCs w:val="24"/>
                <w:u w:val="none" w:color="auto"/>
              </w:rPr>
            </w:pPr>
            <w:r>
              <w:rPr>
                <w:rFonts w:hint="eastAsia"/>
                <w:b/>
                <w:sz w:val="24"/>
                <w:szCs w:val="24"/>
                <w:u w:val="none" w:color="auto"/>
              </w:rPr>
              <w:t>总</w:t>
            </w:r>
            <w:r>
              <w:rPr>
                <w:rFonts w:hint="eastAsia"/>
                <w:b/>
                <w:sz w:val="24"/>
                <w:szCs w:val="24"/>
                <w:u w:val="none" w:color="auto"/>
                <w:lang w:eastAsia="zh-CN"/>
              </w:rPr>
              <w:t>体</w:t>
            </w:r>
            <w:r>
              <w:rPr>
                <w:b/>
                <w:sz w:val="24"/>
                <w:szCs w:val="24"/>
                <w:u w:val="none" w:color="auto"/>
              </w:rPr>
              <w:t>结论</w:t>
            </w:r>
          </w:p>
          <w:p>
            <w:pPr>
              <w:snapToGrid w:val="0"/>
              <w:spacing w:line="360" w:lineRule="auto"/>
              <w:ind w:firstLine="457" w:firstLineChars="196"/>
              <w:rPr>
                <w:rFonts w:hint="eastAsia" w:hAnsi="宋体"/>
                <w:sz w:val="24"/>
                <w:szCs w:val="24"/>
                <w:u w:val="none" w:color="auto"/>
              </w:rPr>
            </w:pPr>
            <w:r>
              <w:rPr>
                <w:rFonts w:hint="eastAsia" w:hAnsi="宋体"/>
                <w:sz w:val="24"/>
                <w:u w:val="none" w:color="auto"/>
              </w:rPr>
              <w:t>综上所述，</w:t>
            </w:r>
            <w:r>
              <w:rPr>
                <w:rFonts w:hint="eastAsia"/>
                <w:sz w:val="24"/>
                <w:szCs w:val="24"/>
                <w:u w:val="none" w:color="auto"/>
                <w:lang w:eastAsia="zh-CN"/>
              </w:rPr>
              <w:t>湖南康每达新材料科技有限公司年产45万个硅胶制品建设项目</w:t>
            </w:r>
            <w:r>
              <w:rPr>
                <w:rFonts w:hint="eastAsia" w:hAnsi="宋体"/>
                <w:sz w:val="24"/>
                <w:u w:val="none" w:color="auto"/>
              </w:rPr>
              <w:t>建设符合国家产业政策，平面布局合理，选址可行。在认真落实本环评报告提出的各项环保措施的前提下，废气、废水、噪声可实现达标排放，固废可得到有效处置，项目建设及营运</w:t>
            </w:r>
            <w:r>
              <w:rPr>
                <w:rFonts w:hint="eastAsia" w:hAnsi="宋体"/>
                <w:sz w:val="24"/>
                <w:szCs w:val="24"/>
                <w:u w:val="none" w:color="auto"/>
              </w:rPr>
              <w:t>对环境保护目标及周围环境影响较小。从环境保护角度分析，本项目的建设是可行的。</w:t>
            </w:r>
          </w:p>
          <w:p>
            <w:pPr>
              <w:snapToGrid w:val="0"/>
              <w:spacing w:line="360" w:lineRule="auto"/>
              <w:ind w:firstLine="457" w:firstLineChars="196"/>
              <w:rPr>
                <w:b/>
                <w:sz w:val="24"/>
                <w:szCs w:val="24"/>
                <w:u w:val="none" w:color="auto"/>
              </w:rPr>
            </w:pPr>
            <w:r>
              <w:rPr>
                <w:b/>
                <w:sz w:val="24"/>
                <w:szCs w:val="24"/>
                <w:u w:val="none" w:color="auto"/>
              </w:rPr>
              <w:t xml:space="preserve"> </w:t>
            </w:r>
            <w:r>
              <w:rPr>
                <w:rFonts w:hint="eastAsia"/>
                <w:b/>
                <w:sz w:val="24"/>
                <w:szCs w:val="24"/>
                <w:u w:val="none" w:color="auto"/>
              </w:rPr>
              <w:t>建议与要求</w:t>
            </w:r>
          </w:p>
          <w:p>
            <w:pPr>
              <w:snapToGrid w:val="0"/>
              <w:spacing w:line="360" w:lineRule="auto"/>
              <w:ind w:firstLine="457" w:firstLineChars="196"/>
              <w:rPr>
                <w:rFonts w:hAnsi="宋体"/>
                <w:sz w:val="24"/>
                <w:szCs w:val="24"/>
                <w:u w:val="none" w:color="auto"/>
              </w:rPr>
            </w:pPr>
            <w:r>
              <w:rPr>
                <w:rFonts w:hint="eastAsia" w:hAnsi="宋体"/>
                <w:sz w:val="24"/>
                <w:szCs w:val="24"/>
                <w:u w:val="none" w:color="auto"/>
              </w:rPr>
              <w:t>（</w:t>
            </w:r>
            <w:r>
              <w:rPr>
                <w:rFonts w:hint="eastAsia" w:hAnsi="宋体"/>
                <w:sz w:val="24"/>
                <w:szCs w:val="24"/>
                <w:u w:val="none" w:color="auto"/>
                <w:lang w:val="en-US" w:eastAsia="zh-CN"/>
              </w:rPr>
              <w:t>1</w:t>
            </w:r>
            <w:r>
              <w:rPr>
                <w:rFonts w:hint="eastAsia" w:hAnsi="宋体"/>
                <w:sz w:val="24"/>
                <w:szCs w:val="24"/>
                <w:u w:val="none" w:color="auto"/>
              </w:rPr>
              <w:t>）建设单位应加强项目的环境管理、专人负责，把环保措施指标纳入日常管理规划中，及时消除污染隐患，避免对环境带来污染影响。</w:t>
            </w:r>
          </w:p>
          <w:p>
            <w:pPr>
              <w:snapToGrid w:val="0"/>
              <w:spacing w:line="360" w:lineRule="auto"/>
              <w:ind w:firstLine="457" w:firstLineChars="196"/>
              <w:rPr>
                <w:rFonts w:hAnsi="宋体"/>
                <w:sz w:val="24"/>
                <w:szCs w:val="24"/>
                <w:u w:val="none" w:color="auto"/>
              </w:rPr>
            </w:pPr>
            <w:r>
              <w:rPr>
                <w:rFonts w:hint="eastAsia" w:hAnsi="宋体"/>
                <w:sz w:val="24"/>
                <w:szCs w:val="24"/>
                <w:u w:val="none" w:color="auto"/>
              </w:rPr>
              <w:t>（</w:t>
            </w:r>
            <w:r>
              <w:rPr>
                <w:rFonts w:hint="eastAsia" w:hAnsi="宋体"/>
                <w:sz w:val="24"/>
                <w:szCs w:val="24"/>
                <w:u w:val="none" w:color="auto"/>
                <w:lang w:val="en-US" w:eastAsia="zh-CN"/>
              </w:rPr>
              <w:t>2</w:t>
            </w:r>
            <w:r>
              <w:rPr>
                <w:rFonts w:hint="eastAsia" w:hAnsi="宋体"/>
                <w:sz w:val="24"/>
                <w:szCs w:val="24"/>
                <w:u w:val="none" w:color="auto"/>
              </w:rPr>
              <w:t>）加强废气处理设施的管理，确保设施正常运行并达设计处理效率，保证废气达标排放。正常生产情况下，严禁废气处理装置停运和超标排污。</w:t>
            </w:r>
          </w:p>
          <w:p>
            <w:pPr>
              <w:snapToGrid w:val="0"/>
              <w:spacing w:line="360" w:lineRule="auto"/>
              <w:ind w:firstLine="466" w:firstLineChars="200"/>
              <w:rPr>
                <w:rFonts w:hint="eastAsia" w:hAnsi="宋体" w:eastAsia="宋体"/>
                <w:sz w:val="24"/>
                <w:szCs w:val="24"/>
                <w:u w:val="none" w:color="auto"/>
                <w:lang w:eastAsia="zh-CN"/>
              </w:rPr>
            </w:pPr>
            <w:r>
              <w:rPr>
                <w:rFonts w:hint="eastAsia" w:hAnsi="宋体"/>
                <w:sz w:val="24"/>
                <w:szCs w:val="24"/>
                <w:u w:val="none" w:color="auto"/>
              </w:rPr>
              <w:t>（</w:t>
            </w:r>
            <w:r>
              <w:rPr>
                <w:rFonts w:hint="eastAsia" w:hAnsi="宋体"/>
                <w:sz w:val="24"/>
                <w:szCs w:val="24"/>
                <w:u w:val="none" w:color="auto"/>
                <w:lang w:val="en-US" w:eastAsia="zh-CN"/>
              </w:rPr>
              <w:t>3</w:t>
            </w:r>
            <w:r>
              <w:rPr>
                <w:rFonts w:hint="eastAsia" w:hAnsi="宋体"/>
                <w:sz w:val="24"/>
                <w:szCs w:val="24"/>
                <w:u w:val="none" w:color="auto"/>
              </w:rPr>
              <w:t>）</w:t>
            </w:r>
            <w:r>
              <w:rPr>
                <w:rFonts w:hint="eastAsia" w:hAnsi="宋体"/>
                <w:sz w:val="24"/>
                <w:szCs w:val="24"/>
                <w:u w:val="none" w:color="auto"/>
                <w:lang w:eastAsia="zh-CN"/>
              </w:rPr>
              <w:t>做好原辅材料的储存措施，如“防渗、放流失、防泄漏”</w:t>
            </w:r>
          </w:p>
          <w:p>
            <w:pPr>
              <w:snapToGrid w:val="0"/>
              <w:spacing w:line="360" w:lineRule="auto"/>
              <w:ind w:firstLine="466" w:firstLineChars="200"/>
              <w:rPr>
                <w:rFonts w:hAnsi="宋体"/>
                <w:b/>
                <w:sz w:val="24"/>
                <w:szCs w:val="24"/>
                <w:u w:val="none" w:color="auto"/>
              </w:rPr>
            </w:pPr>
            <w:r>
              <w:rPr>
                <w:rFonts w:hint="eastAsia" w:hAnsi="宋体"/>
                <w:sz w:val="24"/>
                <w:szCs w:val="24"/>
                <w:u w:val="none" w:color="auto"/>
                <w:lang w:eastAsia="zh-CN"/>
              </w:rPr>
              <w:t>（</w:t>
            </w:r>
            <w:r>
              <w:rPr>
                <w:rFonts w:hint="eastAsia" w:hAnsi="宋体"/>
                <w:sz w:val="24"/>
                <w:szCs w:val="24"/>
                <w:u w:val="none" w:color="auto"/>
                <w:lang w:val="en-US" w:eastAsia="zh-CN"/>
              </w:rPr>
              <w:t>4</w:t>
            </w:r>
            <w:r>
              <w:rPr>
                <w:rFonts w:hint="eastAsia" w:hAnsi="宋体"/>
                <w:sz w:val="24"/>
                <w:szCs w:val="24"/>
                <w:u w:val="none" w:color="auto"/>
                <w:lang w:eastAsia="zh-CN"/>
              </w:rPr>
              <w:t>）</w:t>
            </w:r>
            <w:r>
              <w:rPr>
                <w:rFonts w:hint="eastAsia" w:hAnsi="宋体"/>
                <w:sz w:val="24"/>
                <w:szCs w:val="24"/>
                <w:u w:val="none" w:color="auto"/>
              </w:rPr>
              <w:t>本项目基础资料由建设单位提供，并对其准确性负责。建设单位以后若增加本报告表所涉及之外的污染源或对其功能进行改变，则应按要求向有关环保部门进行申报，并按污染控制目标采取相应的污染治理措施。</w:t>
            </w:r>
          </w:p>
        </w:tc>
      </w:tr>
    </w:tbl>
    <w:p>
      <w:pPr>
        <w:rPr>
          <w:u w:val="none" w:color="auto"/>
        </w:rPr>
      </w:pPr>
    </w:p>
    <w:p>
      <w:pPr>
        <w:pStyle w:val="8"/>
        <w:bidi w:val="0"/>
        <w:rPr>
          <w:rFonts w:hint="eastAsia"/>
          <w:u w:val="none" w:color="auto"/>
          <w:lang w:val="en-US" w:eastAsia="zh-CN"/>
        </w:rPr>
      </w:pPr>
      <w:r>
        <w:rPr>
          <w:rFonts w:hint="eastAsia"/>
          <w:u w:val="none" w:color="auto"/>
          <w:lang w:val="en-US" w:eastAsia="zh-CN"/>
        </w:rPr>
        <w:t>附表：</w:t>
      </w:r>
    </w:p>
    <w:p>
      <w:pPr>
        <w:jc w:val="center"/>
        <w:rPr>
          <w:rFonts w:hint="eastAsia"/>
          <w:b/>
          <w:bCs/>
          <w:sz w:val="24"/>
          <w:szCs w:val="24"/>
          <w:u w:val="none" w:color="auto"/>
          <w:lang w:val="en-US" w:eastAsia="zh-CN"/>
        </w:rPr>
      </w:pPr>
      <w:r>
        <w:rPr>
          <w:rFonts w:hint="eastAsia"/>
          <w:b/>
          <w:bCs/>
          <w:sz w:val="24"/>
          <w:szCs w:val="24"/>
          <w:u w:val="none" w:color="auto"/>
          <w:lang w:val="en-US" w:eastAsia="zh-CN"/>
        </w:rPr>
        <w:t>表1 建设项目大气环境影响评价自查表</w:t>
      </w:r>
    </w:p>
    <w:tbl>
      <w:tblPr>
        <w:tblStyle w:val="40"/>
        <w:tblW w:w="9855"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94"/>
        <w:gridCol w:w="1717"/>
        <w:gridCol w:w="797"/>
        <w:gridCol w:w="915"/>
        <w:gridCol w:w="264"/>
        <w:gridCol w:w="921"/>
        <w:gridCol w:w="742"/>
        <w:gridCol w:w="293"/>
        <w:gridCol w:w="1417"/>
        <w:gridCol w:w="90"/>
        <w:gridCol w:w="590"/>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trPr>
        <w:tc>
          <w:tcPr>
            <w:tcW w:w="2811"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工作内容</w:t>
            </w:r>
          </w:p>
        </w:tc>
        <w:tc>
          <w:tcPr>
            <w:tcW w:w="7044" w:type="dxa"/>
            <w:gridSpan w:val="10"/>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自查项目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exact"/>
        </w:trPr>
        <w:tc>
          <w:tcPr>
            <w:tcW w:w="1094"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评价等级与范围</w:t>
            </w: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评价等级</w:t>
            </w:r>
          </w:p>
        </w:tc>
        <w:tc>
          <w:tcPr>
            <w:tcW w:w="2897"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一级□</w:t>
            </w:r>
          </w:p>
        </w:tc>
        <w:tc>
          <w:tcPr>
            <w:tcW w:w="2452"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二级</w:t>
            </w:r>
            <w:r>
              <w:rPr>
                <w:rStyle w:val="68"/>
                <w:rFonts w:hint="default" w:ascii="Times New Roman" w:hAnsi="Times New Roman" w:cs="Times New Roman"/>
                <w:sz w:val="21"/>
                <w:szCs w:val="21"/>
                <w:u w:val="none" w:color="auto"/>
                <w:lang w:val="en-US" w:eastAsia="zh-CN" w:bidi="ar"/>
              </w:rPr>
              <w:sym w:font="Wingdings 2" w:char="00A3"/>
            </w:r>
          </w:p>
        </w:tc>
        <w:tc>
          <w:tcPr>
            <w:tcW w:w="169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评价范围</w:t>
            </w:r>
          </w:p>
        </w:tc>
        <w:tc>
          <w:tcPr>
            <w:tcW w:w="2897"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边长</w:t>
            </w:r>
            <w:r>
              <w:rPr>
                <w:rStyle w:val="118"/>
                <w:rFonts w:hint="default" w:ascii="Times New Roman" w:hAnsi="Times New Roman" w:eastAsia="宋体" w:cs="Times New Roman"/>
                <w:sz w:val="21"/>
                <w:szCs w:val="21"/>
                <w:u w:val="none" w:color="auto"/>
                <w:lang w:val="en-US" w:eastAsia="zh-CN" w:bidi="ar"/>
              </w:rPr>
              <w:t>=50km</w:t>
            </w:r>
            <w:r>
              <w:rPr>
                <w:rStyle w:val="108"/>
                <w:rFonts w:hint="default" w:ascii="Times New Roman" w:hAnsi="Times New Roman" w:cs="Times New Roman"/>
                <w:sz w:val="21"/>
                <w:szCs w:val="21"/>
                <w:u w:val="none" w:color="auto"/>
                <w:lang w:val="en-US" w:eastAsia="zh-CN" w:bidi="ar"/>
              </w:rPr>
              <w:t>□</w:t>
            </w:r>
          </w:p>
        </w:tc>
        <w:tc>
          <w:tcPr>
            <w:tcW w:w="2452"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边长</w:t>
            </w:r>
            <w:r>
              <w:rPr>
                <w:rStyle w:val="118"/>
                <w:rFonts w:hint="default" w:ascii="Times New Roman" w:hAnsi="Times New Roman" w:eastAsia="宋体" w:cs="Times New Roman"/>
                <w:sz w:val="21"/>
                <w:szCs w:val="21"/>
                <w:u w:val="none" w:color="auto"/>
                <w:lang w:val="en-US" w:eastAsia="zh-CN" w:bidi="ar"/>
              </w:rPr>
              <w:t>=5~50km</w:t>
            </w:r>
            <w:r>
              <w:rPr>
                <w:rStyle w:val="108"/>
                <w:rFonts w:hint="default" w:ascii="Times New Roman" w:hAnsi="Times New Roman" w:cs="Times New Roman"/>
                <w:sz w:val="21"/>
                <w:szCs w:val="21"/>
                <w:u w:val="none" w:color="auto"/>
                <w:lang w:val="en-US" w:eastAsia="zh-CN" w:bidi="ar"/>
              </w:rPr>
              <w:t>□</w:t>
            </w:r>
          </w:p>
        </w:tc>
        <w:tc>
          <w:tcPr>
            <w:tcW w:w="169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边长</w:t>
            </w:r>
            <w:r>
              <w:rPr>
                <w:rStyle w:val="118"/>
                <w:rFonts w:hint="default" w:ascii="Times New Roman" w:hAnsi="Times New Roman" w:eastAsia="宋体" w:cs="Times New Roman"/>
                <w:sz w:val="21"/>
                <w:szCs w:val="21"/>
                <w:u w:val="none" w:color="auto"/>
                <w:lang w:val="en-US" w:eastAsia="zh-CN" w:bidi="ar"/>
              </w:rPr>
              <w:t>=5km</w:t>
            </w:r>
            <w:r>
              <w:rPr>
                <w:rStyle w:val="108"/>
                <w:rFonts w:hint="default" w:ascii="Times New Roman" w:hAnsi="Times New Roman" w:cs="Times New Roman"/>
                <w:sz w:val="21"/>
                <w:szCs w:val="21"/>
                <w:u w:val="none" w:color="auto"/>
                <w:lang w:val="en-US" w:eastAsia="zh-CN" w:bidi="ar"/>
              </w:rPr>
              <w:sym w:font="Wingdings 2" w:char="00A3"/>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exact"/>
        </w:trPr>
        <w:tc>
          <w:tcPr>
            <w:tcW w:w="1094"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评价因子</w:t>
            </w: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SO</w:t>
            </w:r>
            <w:r>
              <w:rPr>
                <w:rStyle w:val="103"/>
                <w:rFonts w:hint="default" w:ascii="Times New Roman" w:hAnsi="Times New Roman" w:eastAsia="宋体" w:cs="Times New Roman"/>
                <w:sz w:val="21"/>
                <w:szCs w:val="21"/>
                <w:u w:val="none" w:color="auto"/>
                <w:lang w:val="en-US" w:eastAsia="zh-CN" w:bidi="ar"/>
              </w:rPr>
              <w:t>2</w:t>
            </w:r>
            <w:r>
              <w:rPr>
                <w:rStyle w:val="118"/>
                <w:rFonts w:hint="default" w:ascii="Times New Roman" w:hAnsi="Times New Roman" w:eastAsia="宋体" w:cs="Times New Roman"/>
                <w:sz w:val="21"/>
                <w:szCs w:val="21"/>
                <w:u w:val="none" w:color="auto"/>
                <w:lang w:val="en-US" w:eastAsia="zh-CN" w:bidi="ar"/>
              </w:rPr>
              <w:t>+NOx</w:t>
            </w:r>
            <w:r>
              <w:rPr>
                <w:rStyle w:val="108"/>
                <w:rFonts w:hint="default" w:ascii="Times New Roman" w:hAnsi="Times New Roman" w:cs="Times New Roman"/>
                <w:sz w:val="21"/>
                <w:szCs w:val="21"/>
                <w:u w:val="none" w:color="auto"/>
                <w:lang w:val="en-US" w:eastAsia="zh-CN" w:bidi="ar"/>
              </w:rPr>
              <w:t>排放量</w:t>
            </w:r>
          </w:p>
        </w:tc>
        <w:tc>
          <w:tcPr>
            <w:tcW w:w="1712"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2000t/a</w:t>
            </w:r>
            <w:r>
              <w:rPr>
                <w:rStyle w:val="108"/>
                <w:rFonts w:hint="default" w:ascii="Times New Roman" w:hAnsi="Times New Roman" w:cs="Times New Roman"/>
                <w:sz w:val="21"/>
                <w:szCs w:val="21"/>
                <w:u w:val="none" w:color="auto"/>
                <w:lang w:val="en-US" w:eastAsia="zh-CN" w:bidi="ar"/>
              </w:rPr>
              <w:t>□</w:t>
            </w:r>
          </w:p>
        </w:tc>
        <w:tc>
          <w:tcPr>
            <w:tcW w:w="2220"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500~2000t/a</w:t>
            </w:r>
            <w:r>
              <w:rPr>
                <w:rStyle w:val="108"/>
                <w:rFonts w:hint="default" w:ascii="Times New Roman" w:hAnsi="Times New Roman" w:cs="Times New Roman"/>
                <w:sz w:val="21"/>
                <w:szCs w:val="21"/>
                <w:u w:val="none" w:color="auto"/>
                <w:lang w:val="en-US" w:eastAsia="zh-CN" w:bidi="ar"/>
              </w:rPr>
              <w:t>□</w:t>
            </w:r>
          </w:p>
        </w:tc>
        <w:tc>
          <w:tcPr>
            <w:tcW w:w="3112"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&lt;500t/a</w:t>
            </w:r>
            <w:r>
              <w:rPr>
                <w:rFonts w:hint="default" w:ascii="Times New Roman" w:hAnsi="Times New Roman" w:eastAsia="宋体" w:cs="Times New Roman"/>
                <w:i w:val="0"/>
                <w:color w:val="000000"/>
                <w:kern w:val="0"/>
                <w:sz w:val="21"/>
                <w:szCs w:val="21"/>
                <w:u w:val="none" w:color="auto"/>
                <w:lang w:val="en-US" w:eastAsia="zh-CN" w:bidi="ar"/>
              </w:rPr>
              <w:sym w:font="Wingdings 2" w:char="00A3"/>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评价因子</w:t>
            </w:r>
          </w:p>
        </w:tc>
        <w:tc>
          <w:tcPr>
            <w:tcW w:w="3932" w:type="dxa"/>
            <w:gridSpan w:val="6"/>
            <w:tcBorders>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基本污染物（</w:t>
            </w:r>
            <w:r>
              <w:rPr>
                <w:rStyle w:val="118"/>
                <w:rFonts w:hint="default" w:ascii="Times New Roman" w:hAnsi="Times New Roman" w:eastAsia="宋体" w:cs="Times New Roman"/>
                <w:sz w:val="21"/>
                <w:szCs w:val="21"/>
                <w:u w:val="none" w:color="auto"/>
                <w:lang w:val="en-US" w:eastAsia="zh-CN" w:bidi="ar"/>
              </w:rPr>
              <w:t>SO</w:t>
            </w:r>
            <w:r>
              <w:rPr>
                <w:rStyle w:val="103"/>
                <w:rFonts w:hint="default" w:ascii="Times New Roman" w:hAnsi="Times New Roman" w:eastAsia="宋体" w:cs="Times New Roman"/>
                <w:sz w:val="21"/>
                <w:szCs w:val="21"/>
                <w:u w:val="none" w:color="auto"/>
                <w:lang w:val="en-US" w:eastAsia="zh-CN" w:bidi="ar"/>
              </w:rPr>
              <w:t>2</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NO</w:t>
            </w:r>
            <w:r>
              <w:rPr>
                <w:rStyle w:val="103"/>
                <w:rFonts w:hint="default" w:ascii="Times New Roman" w:hAnsi="Times New Roman" w:eastAsia="宋体" w:cs="Times New Roman"/>
                <w:sz w:val="21"/>
                <w:szCs w:val="21"/>
                <w:u w:val="none" w:color="auto"/>
                <w:lang w:val="en-US" w:eastAsia="zh-CN" w:bidi="ar"/>
              </w:rPr>
              <w:t>2</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PM</w:t>
            </w:r>
            <w:r>
              <w:rPr>
                <w:rStyle w:val="103"/>
                <w:rFonts w:hint="default" w:ascii="Times New Roman" w:hAnsi="Times New Roman" w:eastAsia="宋体" w:cs="Times New Roman"/>
                <w:sz w:val="21"/>
                <w:szCs w:val="21"/>
                <w:u w:val="none" w:color="auto"/>
                <w:vertAlign w:val="subscript"/>
                <w:lang w:val="en-US" w:eastAsia="zh-CN" w:bidi="ar"/>
              </w:rPr>
              <w:t>10</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 xml:space="preserve"> PM</w:t>
            </w:r>
            <w:r>
              <w:rPr>
                <w:rStyle w:val="103"/>
                <w:rFonts w:hint="default" w:ascii="Times New Roman" w:hAnsi="Times New Roman" w:eastAsia="宋体" w:cs="Times New Roman"/>
                <w:sz w:val="21"/>
                <w:szCs w:val="21"/>
                <w:u w:val="none" w:color="auto"/>
                <w:vertAlign w:val="subscript"/>
                <w:lang w:val="en-US" w:eastAsia="zh-CN" w:bidi="ar"/>
              </w:rPr>
              <w:t>2.5</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CO</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 xml:space="preserve"> O</w:t>
            </w:r>
            <w:r>
              <w:rPr>
                <w:rStyle w:val="103"/>
                <w:rFonts w:hint="default" w:ascii="Times New Roman" w:hAnsi="Times New Roman" w:eastAsia="宋体" w:cs="Times New Roman"/>
                <w:sz w:val="21"/>
                <w:szCs w:val="21"/>
                <w:u w:val="none" w:color="auto"/>
                <w:lang w:val="en-US" w:eastAsia="zh-CN" w:bidi="ar"/>
              </w:rPr>
              <w:t>3</w:t>
            </w:r>
            <w:r>
              <w:rPr>
                <w:rStyle w:val="108"/>
                <w:rFonts w:hint="default" w:ascii="Times New Roman" w:hAnsi="Times New Roman" w:cs="Times New Roman"/>
                <w:sz w:val="21"/>
                <w:szCs w:val="21"/>
                <w:u w:val="none" w:color="auto"/>
                <w:lang w:val="en-US" w:eastAsia="zh-CN" w:bidi="ar"/>
              </w:rPr>
              <w:t>）</w:t>
            </w:r>
          </w:p>
        </w:tc>
        <w:tc>
          <w:tcPr>
            <w:tcW w:w="3112" w:type="dxa"/>
            <w:gridSpan w:val="4"/>
            <w:tcBorders>
              <w:right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包括二次</w:t>
            </w:r>
            <w:r>
              <w:rPr>
                <w:rStyle w:val="118"/>
                <w:rFonts w:hint="default" w:ascii="Times New Roman" w:hAnsi="Times New Roman" w:eastAsia="宋体" w:cs="Times New Roman"/>
                <w:sz w:val="21"/>
                <w:szCs w:val="21"/>
                <w:u w:val="none" w:color="auto"/>
                <w:lang w:val="en-US" w:eastAsia="zh-CN" w:bidi="ar"/>
              </w:rPr>
              <w:t>PM</w:t>
            </w:r>
            <w:r>
              <w:rPr>
                <w:rStyle w:val="103"/>
                <w:rFonts w:hint="default" w:ascii="Times New Roman" w:hAnsi="Times New Roman" w:eastAsia="宋体" w:cs="Times New Roman"/>
                <w:sz w:val="21"/>
                <w:szCs w:val="21"/>
                <w:u w:val="none" w:color="auto"/>
                <w:vertAlign w:val="subscript"/>
                <w:lang w:val="en-US" w:eastAsia="zh-CN" w:bidi="ar"/>
              </w:rPr>
              <w:t>2.5</w:t>
            </w:r>
            <w:r>
              <w:rPr>
                <w:rStyle w:val="108"/>
                <w:rFonts w:hint="default"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3932" w:type="dxa"/>
            <w:gridSpan w:val="6"/>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其他污染物（</w:t>
            </w:r>
            <w:r>
              <w:rPr>
                <w:rStyle w:val="108"/>
                <w:rFonts w:hint="eastAsia"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p>
        </w:tc>
        <w:tc>
          <w:tcPr>
            <w:tcW w:w="3112" w:type="dxa"/>
            <w:gridSpan w:val="4"/>
            <w:tcBorders>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不包括二次</w:t>
            </w:r>
            <w:r>
              <w:rPr>
                <w:rStyle w:val="118"/>
                <w:rFonts w:hint="default" w:ascii="Times New Roman" w:hAnsi="Times New Roman" w:eastAsia="宋体" w:cs="Times New Roman"/>
                <w:sz w:val="21"/>
                <w:szCs w:val="21"/>
                <w:u w:val="none" w:color="auto"/>
                <w:lang w:val="en-US" w:eastAsia="zh-CN" w:bidi="ar"/>
              </w:rPr>
              <w:t>PM</w:t>
            </w:r>
            <w:r>
              <w:rPr>
                <w:rStyle w:val="103"/>
                <w:rFonts w:hint="default" w:ascii="Times New Roman" w:hAnsi="Times New Roman" w:eastAsia="宋体" w:cs="Times New Roman"/>
                <w:sz w:val="21"/>
                <w:szCs w:val="21"/>
                <w:u w:val="none" w:color="auto"/>
                <w:vertAlign w:val="subscript"/>
                <w:lang w:val="en-US" w:eastAsia="zh-CN" w:bidi="ar"/>
              </w:rPr>
              <w:t>2.5</w:t>
            </w:r>
            <w:r>
              <w:rPr>
                <w:rFonts w:hint="default" w:ascii="Times New Roman" w:hAnsi="Times New Roman" w:eastAsia="宋体" w:cs="Times New Roman"/>
                <w:i w:val="0"/>
                <w:color w:val="000000"/>
                <w:kern w:val="0"/>
                <w:sz w:val="21"/>
                <w:szCs w:val="21"/>
                <w:u w:val="none" w:color="auto"/>
                <w:lang w:val="en-US" w:eastAsia="zh-CN" w:bidi="ar"/>
              </w:rPr>
              <w:sym w:font="Wingdings 2" w:char="00A3"/>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exact"/>
        </w:trPr>
        <w:tc>
          <w:tcPr>
            <w:tcW w:w="109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评价标准</w:t>
            </w: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评价标准</w:t>
            </w:r>
          </w:p>
        </w:tc>
        <w:tc>
          <w:tcPr>
            <w:tcW w:w="1976"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国家标准</w:t>
            </w:r>
            <w:r>
              <w:rPr>
                <w:rStyle w:val="108"/>
                <w:rFonts w:hint="default" w:ascii="Times New Roman" w:hAnsi="Times New Roman" w:cs="Times New Roman"/>
                <w:sz w:val="21"/>
                <w:szCs w:val="21"/>
                <w:u w:val="none" w:color="auto"/>
                <w:lang w:val="en-US" w:eastAsia="zh-CN" w:bidi="ar"/>
              </w:rPr>
              <w:sym w:font="Wingdings 2" w:char="0052"/>
            </w:r>
          </w:p>
        </w:tc>
        <w:tc>
          <w:tcPr>
            <w:tcW w:w="1956"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地方标准□</w:t>
            </w:r>
          </w:p>
        </w:tc>
        <w:tc>
          <w:tcPr>
            <w:tcW w:w="14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附录</w:t>
            </w:r>
            <w:r>
              <w:rPr>
                <w:rStyle w:val="118"/>
                <w:rFonts w:hint="default" w:ascii="Times New Roman" w:hAnsi="Times New Roman" w:eastAsia="宋体" w:cs="Times New Roman"/>
                <w:sz w:val="21"/>
                <w:szCs w:val="21"/>
                <w:u w:val="none" w:color="auto"/>
                <w:lang w:val="en-US" w:eastAsia="zh-CN" w:bidi="ar"/>
              </w:rPr>
              <w:t>D</w:t>
            </w:r>
            <w:r>
              <w:rPr>
                <w:rStyle w:val="68"/>
                <w:rFonts w:hint="default" w:ascii="Times New Roman" w:hAnsi="Times New Roman" w:cs="Times New Roman"/>
                <w:sz w:val="21"/>
                <w:szCs w:val="21"/>
                <w:u w:val="none" w:color="auto"/>
                <w:lang w:val="en-US" w:eastAsia="zh-CN" w:bidi="ar"/>
              </w:rPr>
              <w:t>R</w:t>
            </w:r>
          </w:p>
        </w:tc>
        <w:tc>
          <w:tcPr>
            <w:tcW w:w="169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其他标准□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exact"/>
        </w:trPr>
        <w:tc>
          <w:tcPr>
            <w:tcW w:w="1094"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现状评价</w:t>
            </w: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评价功能区</w:t>
            </w:r>
          </w:p>
        </w:tc>
        <w:tc>
          <w:tcPr>
            <w:tcW w:w="2897"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一类区□</w:t>
            </w:r>
          </w:p>
        </w:tc>
        <w:tc>
          <w:tcPr>
            <w:tcW w:w="2452"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二类区</w:t>
            </w:r>
            <w:r>
              <w:rPr>
                <w:rFonts w:hint="default" w:ascii="Times New Roman" w:hAnsi="Times New Roman" w:eastAsia="宋体" w:cs="Times New Roman"/>
                <w:i w:val="0"/>
                <w:color w:val="000000"/>
                <w:kern w:val="0"/>
                <w:sz w:val="21"/>
                <w:szCs w:val="21"/>
                <w:u w:val="none" w:color="auto"/>
                <w:lang w:val="en-US" w:eastAsia="zh-CN" w:bidi="ar"/>
              </w:rPr>
              <w:t>☑</w:t>
            </w:r>
          </w:p>
        </w:tc>
        <w:tc>
          <w:tcPr>
            <w:tcW w:w="169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一类区和二类区□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2"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评价基准年</w:t>
            </w:r>
          </w:p>
        </w:tc>
        <w:tc>
          <w:tcPr>
            <w:tcW w:w="7044" w:type="dxa"/>
            <w:gridSpan w:val="10"/>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（2018、</w:t>
            </w:r>
            <w:r>
              <w:rPr>
                <w:rStyle w:val="118"/>
                <w:rFonts w:hint="default" w:ascii="Times New Roman" w:hAnsi="Times New Roman" w:eastAsia="宋体" w:cs="Times New Roman"/>
                <w:sz w:val="21"/>
                <w:szCs w:val="21"/>
                <w:u w:val="none" w:color="auto"/>
                <w:lang w:val="en-US" w:eastAsia="zh-CN" w:bidi="ar"/>
              </w:rPr>
              <w:t>201</w:t>
            </w:r>
            <w:r>
              <w:rPr>
                <w:rStyle w:val="118"/>
                <w:rFonts w:hint="default" w:ascii="Times New Roman" w:hAnsi="Times New Roman" w:cs="Times New Roman"/>
                <w:sz w:val="21"/>
                <w:szCs w:val="21"/>
                <w:u w:val="none" w:color="auto"/>
                <w:lang w:val="en-US" w:eastAsia="zh-CN" w:bidi="ar"/>
              </w:rPr>
              <w:t>9</w:t>
            </w:r>
            <w:r>
              <w:rPr>
                <w:rStyle w:val="108"/>
                <w:rFonts w:hint="default" w:ascii="Times New Roman" w:hAnsi="Times New Roman" w:cs="Times New Roman"/>
                <w:sz w:val="21"/>
                <w:szCs w:val="21"/>
                <w:u w:val="none" w:color="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2"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环境空气质量现状调查数据来源</w:t>
            </w:r>
          </w:p>
        </w:tc>
        <w:tc>
          <w:tcPr>
            <w:tcW w:w="2897"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长期例行监测数据□</w:t>
            </w:r>
          </w:p>
        </w:tc>
        <w:tc>
          <w:tcPr>
            <w:tcW w:w="2452"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主管部门发布的数据</w:t>
            </w:r>
            <w:r>
              <w:rPr>
                <w:rFonts w:hint="default" w:ascii="Times New Roman" w:hAnsi="Times New Roman" w:eastAsia="宋体" w:cs="Times New Roman"/>
                <w:i w:val="0"/>
                <w:color w:val="000000"/>
                <w:kern w:val="0"/>
                <w:sz w:val="21"/>
                <w:szCs w:val="21"/>
                <w:u w:val="none" w:color="auto"/>
                <w:lang w:val="en-US" w:eastAsia="zh-CN" w:bidi="ar"/>
              </w:rPr>
              <w:t>☑</w:t>
            </w:r>
          </w:p>
        </w:tc>
        <w:tc>
          <w:tcPr>
            <w:tcW w:w="169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现状补充检测</w:t>
            </w:r>
            <w:r>
              <w:rPr>
                <w:rFonts w:hint="default" w:ascii="Times New Roman" w:hAnsi="Times New Roman" w:eastAsia="宋体" w:cs="Times New Roman"/>
                <w:i w:val="0"/>
                <w:color w:val="000000"/>
                <w:kern w:val="0"/>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7"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现状评价</w:t>
            </w:r>
          </w:p>
        </w:tc>
        <w:tc>
          <w:tcPr>
            <w:tcW w:w="3932" w:type="dxa"/>
            <w:gridSpan w:val="6"/>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达标区□</w:t>
            </w:r>
          </w:p>
        </w:tc>
        <w:tc>
          <w:tcPr>
            <w:tcW w:w="3112"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不达标区</w:t>
            </w:r>
            <w:r>
              <w:rPr>
                <w:rFonts w:hint="eastAsia" w:cs="Times New Roman"/>
                <w:i w:val="0"/>
                <w:color w:val="000000"/>
                <w:kern w:val="0"/>
                <w:sz w:val="21"/>
                <w:szCs w:val="21"/>
                <w:u w:val="none" w:color="auto"/>
                <w:lang w:val="en-US" w:eastAsia="zh-CN" w:bidi="ar"/>
              </w:rPr>
              <w:sym w:font="Wingdings 2" w:char="0052"/>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trPr>
        <w:tc>
          <w:tcPr>
            <w:tcW w:w="1094"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污染源调查</w:t>
            </w:r>
          </w:p>
        </w:tc>
        <w:tc>
          <w:tcPr>
            <w:tcW w:w="171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调查内容</w:t>
            </w:r>
          </w:p>
        </w:tc>
        <w:tc>
          <w:tcPr>
            <w:tcW w:w="1976" w:type="dxa"/>
            <w:gridSpan w:val="3"/>
            <w:tcBorders>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本项目正常排放源</w:t>
            </w:r>
            <w:r>
              <w:rPr>
                <w:rFonts w:hint="default" w:ascii="Times New Roman" w:hAnsi="Times New Roman" w:eastAsia="宋体" w:cs="Times New Roman"/>
                <w:i w:val="0"/>
                <w:color w:val="000000"/>
                <w:kern w:val="0"/>
                <w:sz w:val="21"/>
                <w:szCs w:val="21"/>
                <w:u w:val="none" w:color="auto"/>
                <w:lang w:val="en-US" w:eastAsia="zh-CN" w:bidi="ar"/>
              </w:rPr>
              <w:sym w:font="Wingdings 2" w:char="00A3"/>
            </w:r>
          </w:p>
        </w:tc>
        <w:tc>
          <w:tcPr>
            <w:tcW w:w="1956" w:type="dxa"/>
            <w:gridSpan w:val="3"/>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拟替代的污染源□</w:t>
            </w:r>
          </w:p>
        </w:tc>
        <w:tc>
          <w:tcPr>
            <w:tcW w:w="141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其他在建、拟建项目污染源</w:t>
            </w:r>
            <w:r>
              <w:rPr>
                <w:rFonts w:hint="default" w:ascii="Times New Roman" w:hAnsi="Times New Roman" w:cs="Times New Roman"/>
                <w:i w:val="0"/>
                <w:color w:val="000000"/>
                <w:kern w:val="0"/>
                <w:sz w:val="21"/>
                <w:szCs w:val="21"/>
                <w:u w:val="none" w:color="auto"/>
                <w:lang w:val="en-US" w:eastAsia="zh-CN" w:bidi="ar"/>
              </w:rPr>
              <w:t>□</w:t>
            </w:r>
          </w:p>
        </w:tc>
        <w:tc>
          <w:tcPr>
            <w:tcW w:w="1695" w:type="dxa"/>
            <w:gridSpan w:val="3"/>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区域污染源□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976" w:type="dxa"/>
            <w:gridSpan w:val="3"/>
            <w:tcBorders>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本项目非正常排放源□</w:t>
            </w:r>
          </w:p>
        </w:tc>
        <w:tc>
          <w:tcPr>
            <w:tcW w:w="1956" w:type="dxa"/>
            <w:gridSpan w:val="3"/>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4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695" w:type="dxa"/>
            <w:gridSpan w:val="3"/>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2"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976"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现有污染源□</w:t>
            </w:r>
          </w:p>
        </w:tc>
        <w:tc>
          <w:tcPr>
            <w:tcW w:w="1956" w:type="dxa"/>
            <w:gridSpan w:val="3"/>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4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695" w:type="dxa"/>
            <w:gridSpan w:val="3"/>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2" w:hRule="exact"/>
        </w:trPr>
        <w:tc>
          <w:tcPr>
            <w:tcW w:w="1094" w:type="dxa"/>
            <w:vMerge w:val="restart"/>
            <w:tcBorders>
              <w:left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color="auto"/>
                <w:lang w:val="en-US" w:eastAsia="zh-CN" w:bidi="ar"/>
              </w:rPr>
            </w:pPr>
            <w:r>
              <w:rPr>
                <w:rFonts w:hint="default" w:ascii="Times New Roman" w:hAnsi="Times New Roman" w:eastAsia="宋体" w:cs="Times New Roman"/>
                <w:i w:val="0"/>
                <w:color w:val="000000"/>
                <w:kern w:val="0"/>
                <w:sz w:val="21"/>
                <w:szCs w:val="21"/>
                <w:u w:val="none" w:color="auto"/>
                <w:lang w:val="en-US" w:eastAsia="zh-CN" w:bidi="ar"/>
              </w:rPr>
              <w:t>大气环境影响预测与评价</w:t>
            </w:r>
          </w:p>
          <w:p>
            <w:pPr>
              <w:keepNext w:val="0"/>
              <w:keepLines w:val="0"/>
              <w:widowControl/>
              <w:suppressLineNumbers w:val="0"/>
              <w:jc w:val="both"/>
              <w:textAlignment w:val="bottom"/>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预测模型</w:t>
            </w:r>
          </w:p>
        </w:tc>
        <w:tc>
          <w:tcPr>
            <w:tcW w:w="79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AERMOD</w:t>
            </w:r>
            <w:r>
              <w:rPr>
                <w:rStyle w:val="108"/>
                <w:rFonts w:hint="default" w:ascii="Times New Roman" w:hAnsi="Times New Roman" w:cs="Times New Roman"/>
                <w:sz w:val="21"/>
                <w:szCs w:val="21"/>
                <w:u w:val="none" w:color="auto"/>
                <w:lang w:val="en-US" w:eastAsia="zh-CN" w:bidi="ar"/>
              </w:rPr>
              <w:sym w:font="Wingdings 2" w:char="00A3"/>
            </w:r>
          </w:p>
        </w:tc>
        <w:tc>
          <w:tcPr>
            <w:tcW w:w="91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ADMS</w:t>
            </w:r>
            <w:r>
              <w:rPr>
                <w:rStyle w:val="108"/>
                <w:rFonts w:hint="default" w:ascii="Times New Roman" w:hAnsi="Times New Roman" w:cs="Times New Roman"/>
                <w:sz w:val="21"/>
                <w:szCs w:val="21"/>
                <w:u w:val="none" w:color="auto"/>
                <w:lang w:val="en-US" w:eastAsia="zh-CN" w:bidi="ar"/>
              </w:rPr>
              <w:t>□</w:t>
            </w:r>
          </w:p>
        </w:tc>
        <w:tc>
          <w:tcPr>
            <w:tcW w:w="1185"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AUSTAL2000</w:t>
            </w:r>
            <w:r>
              <w:rPr>
                <w:rStyle w:val="108"/>
                <w:rFonts w:hint="default" w:ascii="Times New Roman" w:hAnsi="Times New Roman" w:cs="Times New Roman"/>
                <w:sz w:val="21"/>
                <w:szCs w:val="21"/>
                <w:u w:val="none" w:color="auto"/>
                <w:lang w:val="en-US" w:eastAsia="zh-CN" w:bidi="ar"/>
              </w:rPr>
              <w:t>□</w:t>
            </w:r>
          </w:p>
        </w:tc>
        <w:tc>
          <w:tcPr>
            <w:tcW w:w="1035"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EDMS/AEDT</w:t>
            </w:r>
            <w:r>
              <w:rPr>
                <w:rStyle w:val="108"/>
                <w:rFonts w:hint="default" w:ascii="Times New Roman" w:hAnsi="Times New Roman" w:cs="Times New Roman"/>
                <w:sz w:val="21"/>
                <w:szCs w:val="21"/>
                <w:u w:val="none" w:color="auto"/>
                <w:lang w:val="en-US" w:eastAsia="zh-CN" w:bidi="ar"/>
              </w:rPr>
              <w:t>□</w:t>
            </w:r>
          </w:p>
        </w:tc>
        <w:tc>
          <w:tcPr>
            <w:tcW w:w="14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CALPUFF</w:t>
            </w:r>
            <w:r>
              <w:rPr>
                <w:rStyle w:val="108"/>
                <w:rFonts w:hint="default" w:ascii="Times New Roman" w:hAnsi="Times New Roman" w:cs="Times New Roman"/>
                <w:sz w:val="21"/>
                <w:szCs w:val="21"/>
                <w:u w:val="none" w:color="auto"/>
                <w:lang w:val="en-US" w:eastAsia="zh-CN" w:bidi="ar"/>
              </w:rPr>
              <w:t>□</w:t>
            </w:r>
          </w:p>
        </w:tc>
        <w:tc>
          <w:tcPr>
            <w:tcW w:w="680"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网格模型□</w:t>
            </w:r>
          </w:p>
        </w:tc>
        <w:tc>
          <w:tcPr>
            <w:tcW w:w="101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7" w:hRule="exact"/>
        </w:trPr>
        <w:tc>
          <w:tcPr>
            <w:tcW w:w="1094" w:type="dxa"/>
            <w:vMerge w:val="continue"/>
            <w:tcBorders>
              <w:left w:val="single" w:color="000000" w:sz="12" w:space="0"/>
              <w:right w:val="single" w:color="000000" w:sz="12" w:space="0"/>
            </w:tcBorders>
            <w:shd w:val="clear" w:color="auto" w:fill="auto"/>
            <w:vAlign w:val="bottom"/>
          </w:tcPr>
          <w:p>
            <w:pPr>
              <w:keepNext w:val="0"/>
              <w:keepLines w:val="0"/>
              <w:widowControl/>
              <w:suppressLineNumbers w:val="0"/>
              <w:jc w:val="both"/>
              <w:textAlignment w:val="bottom"/>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预测范围</w:t>
            </w:r>
          </w:p>
        </w:tc>
        <w:tc>
          <w:tcPr>
            <w:tcW w:w="2897"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边长≥</w:t>
            </w:r>
            <w:r>
              <w:rPr>
                <w:rStyle w:val="118"/>
                <w:rFonts w:hint="default" w:ascii="Times New Roman" w:hAnsi="Times New Roman" w:eastAsia="宋体" w:cs="Times New Roman"/>
                <w:sz w:val="21"/>
                <w:szCs w:val="21"/>
                <w:u w:val="none" w:color="auto"/>
                <w:lang w:val="en-US" w:eastAsia="zh-CN" w:bidi="ar"/>
              </w:rPr>
              <w:t>50km</w:t>
            </w:r>
            <w:r>
              <w:rPr>
                <w:rStyle w:val="108"/>
                <w:rFonts w:hint="default" w:ascii="Times New Roman" w:hAnsi="Times New Roman" w:cs="Times New Roman"/>
                <w:sz w:val="21"/>
                <w:szCs w:val="21"/>
                <w:u w:val="none" w:color="auto"/>
                <w:lang w:val="en-US" w:eastAsia="zh-CN" w:bidi="ar"/>
              </w:rPr>
              <w:t>□</w:t>
            </w:r>
          </w:p>
        </w:tc>
        <w:tc>
          <w:tcPr>
            <w:tcW w:w="2452"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边长</w:t>
            </w:r>
            <w:r>
              <w:rPr>
                <w:rStyle w:val="118"/>
                <w:rFonts w:hint="default" w:ascii="Times New Roman" w:hAnsi="Times New Roman" w:eastAsia="宋体" w:cs="Times New Roman"/>
                <w:sz w:val="21"/>
                <w:szCs w:val="21"/>
                <w:u w:val="none" w:color="auto"/>
                <w:lang w:val="en-US" w:eastAsia="zh-CN" w:bidi="ar"/>
              </w:rPr>
              <w:t>5~50km</w:t>
            </w:r>
            <w:r>
              <w:rPr>
                <w:rStyle w:val="108"/>
                <w:rFonts w:hint="default" w:ascii="Times New Roman" w:hAnsi="Times New Roman" w:cs="Times New Roman"/>
                <w:sz w:val="21"/>
                <w:szCs w:val="21"/>
                <w:u w:val="none" w:color="auto"/>
                <w:lang w:val="en-US" w:eastAsia="zh-CN" w:bidi="ar"/>
              </w:rPr>
              <w:t>□</w:t>
            </w:r>
          </w:p>
        </w:tc>
        <w:tc>
          <w:tcPr>
            <w:tcW w:w="169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边长</w:t>
            </w:r>
            <w:r>
              <w:rPr>
                <w:rStyle w:val="118"/>
                <w:rFonts w:hint="default" w:ascii="Times New Roman" w:hAnsi="Times New Roman" w:eastAsia="宋体" w:cs="Times New Roman"/>
                <w:sz w:val="21"/>
                <w:szCs w:val="21"/>
                <w:u w:val="none" w:color="auto"/>
                <w:lang w:val="en-US" w:eastAsia="zh-CN" w:bidi="ar"/>
              </w:rPr>
              <w:t>=5km</w:t>
            </w:r>
            <w:r>
              <w:rPr>
                <w:rStyle w:val="108"/>
                <w:rFonts w:hint="eastAsia"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trPr>
        <w:tc>
          <w:tcPr>
            <w:tcW w:w="1094" w:type="dxa"/>
            <w:vMerge w:val="continue"/>
            <w:tcBorders>
              <w:left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预测因子</w:t>
            </w:r>
          </w:p>
        </w:tc>
        <w:tc>
          <w:tcPr>
            <w:tcW w:w="3932" w:type="dxa"/>
            <w:gridSpan w:val="6"/>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预测因子（</w:t>
            </w:r>
            <w:r>
              <w:rPr>
                <w:rStyle w:val="108"/>
                <w:rFonts w:hint="eastAsia"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p>
        </w:tc>
        <w:tc>
          <w:tcPr>
            <w:tcW w:w="3112" w:type="dxa"/>
            <w:gridSpan w:val="4"/>
            <w:tcBorders>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包括二次</w:t>
            </w:r>
            <w:r>
              <w:rPr>
                <w:rStyle w:val="118"/>
                <w:rFonts w:hint="default" w:ascii="Times New Roman" w:hAnsi="Times New Roman" w:eastAsia="宋体" w:cs="Times New Roman"/>
                <w:sz w:val="21"/>
                <w:szCs w:val="21"/>
                <w:u w:val="none" w:color="auto"/>
                <w:lang w:val="en-US" w:eastAsia="zh-CN" w:bidi="ar"/>
              </w:rPr>
              <w:t>PM</w:t>
            </w:r>
            <w:r>
              <w:rPr>
                <w:rStyle w:val="103"/>
                <w:rFonts w:hint="default" w:ascii="Times New Roman" w:hAnsi="Times New Roman" w:eastAsia="宋体" w:cs="Times New Roman"/>
                <w:sz w:val="21"/>
                <w:szCs w:val="21"/>
                <w:u w:val="none" w:color="auto"/>
                <w:lang w:val="en-US" w:eastAsia="zh-CN" w:bidi="ar"/>
              </w:rPr>
              <w:t>2.5</w:t>
            </w:r>
            <w:r>
              <w:rPr>
                <w:rStyle w:val="108"/>
                <w:rFonts w:hint="default" w:ascii="Times New Roman" w:hAnsi="Times New Roman" w:cs="Times New Roman"/>
                <w:sz w:val="21"/>
                <w:szCs w:val="21"/>
                <w:u w:val="none" w:color="auto"/>
                <w:lang w:val="en-US" w:eastAsia="zh-CN" w:bidi="ar"/>
              </w:rPr>
              <w:sym w:font="Wingdings 2" w:char="00A3"/>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trPr>
        <w:tc>
          <w:tcPr>
            <w:tcW w:w="1094" w:type="dxa"/>
            <w:vMerge w:val="continue"/>
            <w:tcBorders>
              <w:left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3932" w:type="dxa"/>
            <w:gridSpan w:val="6"/>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3112"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不包括二次</w:t>
            </w:r>
            <w:r>
              <w:rPr>
                <w:rStyle w:val="118"/>
                <w:rFonts w:hint="default" w:ascii="Times New Roman" w:hAnsi="Times New Roman" w:eastAsia="宋体" w:cs="Times New Roman"/>
                <w:sz w:val="21"/>
                <w:szCs w:val="21"/>
                <w:u w:val="none" w:color="auto"/>
                <w:lang w:val="en-US" w:eastAsia="zh-CN" w:bidi="ar"/>
              </w:rPr>
              <w:t>PM</w:t>
            </w:r>
            <w:r>
              <w:rPr>
                <w:rStyle w:val="103"/>
                <w:rFonts w:hint="default" w:ascii="Times New Roman" w:hAnsi="Times New Roman" w:eastAsia="宋体" w:cs="Times New Roman"/>
                <w:sz w:val="21"/>
                <w:szCs w:val="21"/>
                <w:u w:val="none" w:color="auto"/>
                <w:lang w:val="en-US" w:eastAsia="zh-CN" w:bidi="ar"/>
              </w:rPr>
              <w:t>2.5</w:t>
            </w:r>
            <w:r>
              <w:rPr>
                <w:rStyle w:val="108"/>
                <w:rFonts w:hint="default"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exact"/>
        </w:trPr>
        <w:tc>
          <w:tcPr>
            <w:tcW w:w="1094" w:type="dxa"/>
            <w:vMerge w:val="continue"/>
            <w:tcBorders>
              <w:left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正常排放短期浓度贡献值</w:t>
            </w:r>
          </w:p>
        </w:tc>
        <w:tc>
          <w:tcPr>
            <w:tcW w:w="3932" w:type="dxa"/>
            <w:gridSpan w:val="6"/>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8"/>
                <w:rFonts w:hint="default" w:ascii="Times New Roman" w:hAnsi="Times New Roman" w:cs="Times New Roman"/>
                <w:sz w:val="21"/>
                <w:szCs w:val="21"/>
                <w:u w:val="none" w:color="auto"/>
                <w:lang w:val="en-US" w:eastAsia="zh-CN" w:bidi="ar"/>
              </w:rPr>
              <w:t>本项目最大占标率≤</w:t>
            </w:r>
            <w:r>
              <w:rPr>
                <w:rStyle w:val="118"/>
                <w:rFonts w:hint="default" w:ascii="Times New Roman" w:hAnsi="Times New Roman" w:eastAsia="宋体" w:cs="Times New Roman"/>
                <w:sz w:val="21"/>
                <w:szCs w:val="21"/>
                <w:u w:val="none" w:color="auto"/>
                <w:lang w:val="en-US" w:eastAsia="zh-CN" w:bidi="ar"/>
              </w:rPr>
              <w:t>100%</w:t>
            </w:r>
            <w:r>
              <w:rPr>
                <w:rStyle w:val="108"/>
                <w:rFonts w:hint="default" w:ascii="Times New Roman" w:hAnsi="Times New Roman" w:cs="Times New Roman"/>
                <w:sz w:val="21"/>
                <w:szCs w:val="21"/>
                <w:u w:val="none" w:color="auto"/>
                <w:lang w:val="en-US" w:eastAsia="zh-CN" w:bidi="ar"/>
              </w:rPr>
              <w:sym w:font="Wingdings 2" w:char="00A3"/>
            </w:r>
          </w:p>
        </w:tc>
        <w:tc>
          <w:tcPr>
            <w:tcW w:w="3112"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8"/>
                <w:rFonts w:hint="default" w:ascii="Times New Roman" w:hAnsi="Times New Roman" w:cs="Times New Roman"/>
                <w:sz w:val="21"/>
                <w:szCs w:val="21"/>
                <w:u w:val="none" w:color="auto"/>
                <w:lang w:val="en-US" w:eastAsia="zh-CN" w:bidi="ar"/>
              </w:rPr>
              <w:t>本项目最大占标率</w:t>
            </w:r>
            <w:r>
              <w:rPr>
                <w:rStyle w:val="118"/>
                <w:rFonts w:hint="default" w:ascii="Times New Roman" w:hAnsi="Times New Roman" w:eastAsia="宋体" w:cs="Times New Roman"/>
                <w:sz w:val="21"/>
                <w:szCs w:val="21"/>
                <w:u w:val="none" w:color="auto"/>
                <w:lang w:val="en-US" w:eastAsia="zh-CN" w:bidi="ar"/>
              </w:rPr>
              <w:t>&gt;100%</w:t>
            </w:r>
            <w:r>
              <w:rPr>
                <w:rStyle w:val="108"/>
                <w:rFonts w:hint="default"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2" w:hRule="exact"/>
        </w:trPr>
        <w:tc>
          <w:tcPr>
            <w:tcW w:w="1094" w:type="dxa"/>
            <w:vMerge w:val="continue"/>
            <w:tcBorders>
              <w:left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vMerge w:val="restart"/>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正常排放年均浓度贡献值</w:t>
            </w:r>
          </w:p>
        </w:tc>
        <w:tc>
          <w:tcPr>
            <w:tcW w:w="1712"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一类区</w:t>
            </w:r>
          </w:p>
        </w:tc>
        <w:tc>
          <w:tcPr>
            <w:tcW w:w="2220"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7"/>
                <w:rFonts w:hint="default" w:ascii="Times New Roman" w:hAnsi="Times New Roman" w:cs="Times New Roman"/>
                <w:sz w:val="21"/>
                <w:szCs w:val="21"/>
                <w:u w:val="none" w:color="auto"/>
                <w:lang w:val="en-US" w:eastAsia="zh-CN" w:bidi="ar"/>
              </w:rPr>
              <w:t>本项目</w:t>
            </w:r>
            <w:r>
              <w:rPr>
                <w:rStyle w:val="108"/>
                <w:rFonts w:hint="default" w:ascii="Times New Roman" w:hAnsi="Times New Roman" w:cs="Times New Roman"/>
                <w:sz w:val="21"/>
                <w:szCs w:val="21"/>
                <w:u w:val="none" w:color="auto"/>
                <w:lang w:val="en-US" w:eastAsia="zh-CN" w:bidi="ar"/>
              </w:rPr>
              <w:t>最大占标率≤</w:t>
            </w:r>
            <w:r>
              <w:rPr>
                <w:rStyle w:val="118"/>
                <w:rFonts w:hint="default" w:ascii="Times New Roman" w:hAnsi="Times New Roman" w:eastAsia="宋体" w:cs="Times New Roman"/>
                <w:sz w:val="21"/>
                <w:szCs w:val="21"/>
                <w:u w:val="none" w:color="auto"/>
                <w:lang w:val="en-US" w:eastAsia="zh-CN" w:bidi="ar"/>
              </w:rPr>
              <w:t>10%</w:t>
            </w:r>
            <w:r>
              <w:rPr>
                <w:rStyle w:val="108"/>
                <w:rFonts w:hint="default" w:ascii="Times New Roman" w:hAnsi="Times New Roman" w:cs="Times New Roman"/>
                <w:sz w:val="21"/>
                <w:szCs w:val="21"/>
                <w:u w:val="none" w:color="auto"/>
                <w:lang w:val="en-US" w:eastAsia="zh-CN" w:bidi="ar"/>
              </w:rPr>
              <w:sym w:font="Wingdings 2" w:char="00A3"/>
            </w:r>
          </w:p>
        </w:tc>
        <w:tc>
          <w:tcPr>
            <w:tcW w:w="3112"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7"/>
                <w:rFonts w:hint="default" w:ascii="Times New Roman" w:hAnsi="Times New Roman" w:cs="Times New Roman"/>
                <w:sz w:val="21"/>
                <w:szCs w:val="21"/>
                <w:u w:val="none" w:color="auto"/>
                <w:lang w:val="en-US" w:eastAsia="zh-CN" w:bidi="ar"/>
              </w:rPr>
              <w:t>本项目</w:t>
            </w:r>
            <w:r>
              <w:rPr>
                <w:rStyle w:val="108"/>
                <w:rFonts w:hint="default" w:ascii="Times New Roman" w:hAnsi="Times New Roman" w:cs="Times New Roman"/>
                <w:sz w:val="21"/>
                <w:szCs w:val="21"/>
                <w:u w:val="none" w:color="auto"/>
                <w:lang w:val="en-US" w:eastAsia="zh-CN" w:bidi="ar"/>
              </w:rPr>
              <w:t>最大占标率</w:t>
            </w:r>
            <w:r>
              <w:rPr>
                <w:rStyle w:val="118"/>
                <w:rFonts w:hint="default" w:ascii="Times New Roman" w:hAnsi="Times New Roman" w:eastAsia="宋体" w:cs="Times New Roman"/>
                <w:sz w:val="21"/>
                <w:szCs w:val="21"/>
                <w:u w:val="none" w:color="auto"/>
                <w:lang w:val="en-US" w:eastAsia="zh-CN" w:bidi="ar"/>
              </w:rPr>
              <w:t>&gt;10%</w:t>
            </w:r>
            <w:r>
              <w:rPr>
                <w:rStyle w:val="108"/>
                <w:rFonts w:hint="default"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7" w:hRule="exact"/>
        </w:trPr>
        <w:tc>
          <w:tcPr>
            <w:tcW w:w="1094" w:type="dxa"/>
            <w:vMerge w:val="continue"/>
            <w:tcBorders>
              <w:left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2"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二类区</w:t>
            </w:r>
          </w:p>
        </w:tc>
        <w:tc>
          <w:tcPr>
            <w:tcW w:w="2220"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7"/>
                <w:rFonts w:hint="default" w:ascii="Times New Roman" w:hAnsi="Times New Roman" w:cs="Times New Roman"/>
                <w:sz w:val="21"/>
                <w:szCs w:val="21"/>
                <w:u w:val="none" w:color="auto"/>
                <w:lang w:val="en-US" w:eastAsia="zh-CN" w:bidi="ar"/>
              </w:rPr>
              <w:t>本项目</w:t>
            </w:r>
            <w:r>
              <w:rPr>
                <w:rStyle w:val="108"/>
                <w:rFonts w:hint="default" w:ascii="Times New Roman" w:hAnsi="Times New Roman" w:cs="Times New Roman"/>
                <w:sz w:val="21"/>
                <w:szCs w:val="21"/>
                <w:u w:val="none" w:color="auto"/>
                <w:lang w:val="en-US" w:eastAsia="zh-CN" w:bidi="ar"/>
              </w:rPr>
              <w:t>最大占标率≤</w:t>
            </w:r>
            <w:r>
              <w:rPr>
                <w:rStyle w:val="118"/>
                <w:rFonts w:hint="default" w:ascii="Times New Roman" w:hAnsi="Times New Roman" w:eastAsia="宋体" w:cs="Times New Roman"/>
                <w:sz w:val="21"/>
                <w:szCs w:val="21"/>
                <w:u w:val="none" w:color="auto"/>
                <w:lang w:val="en-US" w:eastAsia="zh-CN" w:bidi="ar"/>
              </w:rPr>
              <w:t>30%</w:t>
            </w:r>
            <w:r>
              <w:rPr>
                <w:rStyle w:val="108"/>
                <w:rFonts w:hint="default" w:ascii="Times New Roman" w:hAnsi="Times New Roman" w:cs="Times New Roman"/>
                <w:sz w:val="21"/>
                <w:szCs w:val="21"/>
                <w:u w:val="none" w:color="auto"/>
                <w:lang w:val="en-US" w:eastAsia="zh-CN" w:bidi="ar"/>
              </w:rPr>
              <w:sym w:font="Wingdings 2" w:char="00A3"/>
            </w:r>
          </w:p>
        </w:tc>
        <w:tc>
          <w:tcPr>
            <w:tcW w:w="3112"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7"/>
                <w:rFonts w:hint="default" w:ascii="Times New Roman" w:hAnsi="Times New Roman" w:cs="Times New Roman"/>
                <w:sz w:val="21"/>
                <w:szCs w:val="21"/>
                <w:u w:val="none" w:color="auto"/>
                <w:lang w:val="en-US" w:eastAsia="zh-CN" w:bidi="ar"/>
              </w:rPr>
              <w:t>本项目</w:t>
            </w:r>
            <w:r>
              <w:rPr>
                <w:rStyle w:val="108"/>
                <w:rFonts w:hint="default" w:ascii="Times New Roman" w:hAnsi="Times New Roman" w:cs="Times New Roman"/>
                <w:sz w:val="21"/>
                <w:szCs w:val="21"/>
                <w:u w:val="none" w:color="auto"/>
                <w:lang w:val="en-US" w:eastAsia="zh-CN" w:bidi="ar"/>
              </w:rPr>
              <w:t>最大占标率</w:t>
            </w:r>
            <w:r>
              <w:rPr>
                <w:rStyle w:val="118"/>
                <w:rFonts w:hint="default" w:ascii="Times New Roman" w:hAnsi="Times New Roman" w:eastAsia="宋体" w:cs="Times New Roman"/>
                <w:sz w:val="21"/>
                <w:szCs w:val="21"/>
                <w:u w:val="none" w:color="auto"/>
                <w:lang w:val="en-US" w:eastAsia="zh-CN" w:bidi="ar"/>
              </w:rPr>
              <w:t>&gt;30%</w:t>
            </w:r>
            <w:r>
              <w:rPr>
                <w:rStyle w:val="108"/>
                <w:rFonts w:hint="default"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trPr>
        <w:tc>
          <w:tcPr>
            <w:tcW w:w="1094" w:type="dxa"/>
            <w:vMerge w:val="continue"/>
            <w:tcBorders>
              <w:left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非正常</w:t>
            </w:r>
            <w:r>
              <w:rPr>
                <w:rStyle w:val="118"/>
                <w:rFonts w:hint="default" w:ascii="Times New Roman" w:hAnsi="Times New Roman" w:eastAsia="宋体" w:cs="Times New Roman"/>
                <w:sz w:val="21"/>
                <w:szCs w:val="21"/>
                <w:u w:val="none" w:color="auto"/>
                <w:lang w:val="en-US" w:eastAsia="zh-CN" w:bidi="ar"/>
              </w:rPr>
              <w:t>1h</w:t>
            </w:r>
            <w:r>
              <w:rPr>
                <w:rStyle w:val="108"/>
                <w:rFonts w:hint="default" w:ascii="Times New Roman" w:hAnsi="Times New Roman" w:cs="Times New Roman"/>
                <w:sz w:val="21"/>
                <w:szCs w:val="21"/>
                <w:u w:val="none" w:color="auto"/>
                <w:lang w:val="en-US" w:eastAsia="zh-CN" w:bidi="ar"/>
              </w:rPr>
              <w:t>浓度贡献值</w:t>
            </w:r>
          </w:p>
        </w:tc>
        <w:tc>
          <w:tcPr>
            <w:tcW w:w="1976" w:type="dxa"/>
            <w:gridSpan w:val="3"/>
            <w:tcBorders>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非正常持续时长</w:t>
            </w:r>
          </w:p>
        </w:tc>
        <w:tc>
          <w:tcPr>
            <w:tcW w:w="3373" w:type="dxa"/>
            <w:gridSpan w:val="4"/>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7"/>
                <w:rFonts w:hint="default" w:ascii="Times New Roman" w:hAnsi="Times New Roman" w:cs="Times New Roman"/>
                <w:sz w:val="21"/>
                <w:szCs w:val="21"/>
                <w:u w:val="none" w:color="auto"/>
                <w:lang w:val="en-US" w:eastAsia="zh-CN" w:bidi="ar"/>
              </w:rPr>
              <w:t>非正常</w:t>
            </w:r>
            <w:r>
              <w:rPr>
                <w:rStyle w:val="108"/>
                <w:rFonts w:hint="default" w:ascii="Times New Roman" w:hAnsi="Times New Roman" w:cs="Times New Roman"/>
                <w:sz w:val="21"/>
                <w:szCs w:val="21"/>
                <w:u w:val="none" w:color="auto"/>
                <w:lang w:val="en-US" w:eastAsia="zh-CN" w:bidi="ar"/>
              </w:rPr>
              <w:t>占标率≤</w:t>
            </w:r>
            <w:r>
              <w:rPr>
                <w:rStyle w:val="118"/>
                <w:rFonts w:hint="default" w:ascii="Times New Roman" w:hAnsi="Times New Roman" w:eastAsia="宋体" w:cs="Times New Roman"/>
                <w:sz w:val="21"/>
                <w:szCs w:val="21"/>
                <w:u w:val="none" w:color="auto"/>
                <w:lang w:val="en-US" w:eastAsia="zh-CN" w:bidi="ar"/>
              </w:rPr>
              <w:t>100%</w:t>
            </w:r>
            <w:r>
              <w:rPr>
                <w:rStyle w:val="108"/>
                <w:rFonts w:hint="default" w:ascii="Times New Roman" w:hAnsi="Times New Roman" w:cs="Times New Roman"/>
                <w:sz w:val="21"/>
                <w:szCs w:val="21"/>
                <w:u w:val="none" w:color="auto"/>
                <w:lang w:val="en-US" w:eastAsia="zh-CN" w:bidi="ar"/>
              </w:rPr>
              <w:t>□</w:t>
            </w:r>
          </w:p>
        </w:tc>
        <w:tc>
          <w:tcPr>
            <w:tcW w:w="1695" w:type="dxa"/>
            <w:gridSpan w:val="3"/>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7"/>
                <w:rFonts w:hint="default" w:ascii="Times New Roman" w:hAnsi="Times New Roman" w:cs="Times New Roman"/>
                <w:sz w:val="21"/>
                <w:szCs w:val="21"/>
                <w:u w:val="none" w:color="auto"/>
                <w:lang w:val="en-US" w:eastAsia="zh-CN" w:bidi="ar"/>
              </w:rPr>
              <w:t>非正常</w:t>
            </w:r>
            <w:r>
              <w:rPr>
                <w:rStyle w:val="108"/>
                <w:rFonts w:hint="default" w:ascii="Times New Roman" w:hAnsi="Times New Roman" w:cs="Times New Roman"/>
                <w:sz w:val="21"/>
                <w:szCs w:val="21"/>
                <w:u w:val="none" w:color="auto"/>
                <w:lang w:val="en-US" w:eastAsia="zh-CN" w:bidi="ar"/>
              </w:rPr>
              <w:t>占标率</w:t>
            </w:r>
            <w:r>
              <w:rPr>
                <w:rStyle w:val="118"/>
                <w:rFonts w:hint="default" w:ascii="Times New Roman" w:hAnsi="Times New Roman" w:eastAsia="宋体" w:cs="Times New Roman"/>
                <w:sz w:val="21"/>
                <w:szCs w:val="21"/>
                <w:u w:val="none" w:color="auto"/>
                <w:lang w:val="en-US" w:eastAsia="zh-CN" w:bidi="ar"/>
              </w:rPr>
              <w:t>&gt;100%</w:t>
            </w:r>
            <w:r>
              <w:rPr>
                <w:rStyle w:val="108"/>
                <w:rFonts w:hint="default"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2" w:hRule="exact"/>
        </w:trPr>
        <w:tc>
          <w:tcPr>
            <w:tcW w:w="1094" w:type="dxa"/>
            <w:vMerge w:val="continue"/>
            <w:tcBorders>
              <w:left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976"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h</w:t>
            </w:r>
          </w:p>
        </w:tc>
        <w:tc>
          <w:tcPr>
            <w:tcW w:w="3373" w:type="dxa"/>
            <w:gridSpan w:val="4"/>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695" w:type="dxa"/>
            <w:gridSpan w:val="3"/>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2" w:hRule="exact"/>
        </w:trPr>
        <w:tc>
          <w:tcPr>
            <w:tcW w:w="1094" w:type="dxa"/>
            <w:vMerge w:val="continue"/>
            <w:tcBorders>
              <w:left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保证率日平均浓度和年平均浓度叠加值</w:t>
            </w:r>
          </w:p>
        </w:tc>
        <w:tc>
          <w:tcPr>
            <w:tcW w:w="3932" w:type="dxa"/>
            <w:gridSpan w:val="6"/>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8"/>
                <w:rFonts w:hint="default" w:ascii="Times New Roman" w:hAnsi="Times New Roman" w:cs="Times New Roman"/>
                <w:sz w:val="21"/>
                <w:szCs w:val="21"/>
                <w:u w:val="none" w:color="auto"/>
                <w:lang w:val="en-US" w:eastAsia="zh-CN" w:bidi="ar"/>
              </w:rPr>
              <w:t>叠加达标</w:t>
            </w:r>
            <w:r>
              <w:rPr>
                <w:rStyle w:val="108"/>
                <w:rFonts w:hint="default" w:ascii="Times New Roman" w:hAnsi="Times New Roman" w:cs="Times New Roman"/>
                <w:sz w:val="21"/>
                <w:szCs w:val="21"/>
                <w:u w:val="none" w:color="auto"/>
                <w:lang w:val="en-US" w:eastAsia="zh-CN" w:bidi="ar"/>
              </w:rPr>
              <w:sym w:font="Wingdings 2" w:char="00A3"/>
            </w:r>
          </w:p>
        </w:tc>
        <w:tc>
          <w:tcPr>
            <w:tcW w:w="3112"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C</w:t>
            </w:r>
            <w:r>
              <w:rPr>
                <w:rStyle w:val="108"/>
                <w:rFonts w:hint="default" w:ascii="Times New Roman" w:hAnsi="Times New Roman" w:cs="Times New Roman"/>
                <w:sz w:val="21"/>
                <w:szCs w:val="21"/>
                <w:u w:val="none" w:color="auto"/>
                <w:lang w:val="en-US" w:eastAsia="zh-CN" w:bidi="ar"/>
              </w:rPr>
              <w:t>叠加不达标□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exact"/>
        </w:trPr>
        <w:tc>
          <w:tcPr>
            <w:tcW w:w="1094" w:type="dxa"/>
            <w:vMerge w:val="continue"/>
            <w:tcBorders>
              <w:left w:val="single" w:color="000000" w:sz="12" w:space="0"/>
              <w:bottom w:val="single" w:color="000000" w:sz="12" w:space="0"/>
              <w:right w:val="single" w:color="000000" w:sz="12" w:space="0"/>
            </w:tcBorders>
            <w:shd w:val="clear" w:color="auto" w:fill="auto"/>
            <w:vAlign w:val="bottom"/>
          </w:tcPr>
          <w:p>
            <w:pP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区域环境质量的整体变化情况</w:t>
            </w:r>
          </w:p>
        </w:tc>
        <w:tc>
          <w:tcPr>
            <w:tcW w:w="3932" w:type="dxa"/>
            <w:gridSpan w:val="6"/>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k</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-20%</w:t>
            </w:r>
            <w:r>
              <w:rPr>
                <w:rStyle w:val="108"/>
                <w:rFonts w:hint="default" w:ascii="Times New Roman" w:hAnsi="Times New Roman" w:cs="Times New Roman"/>
                <w:sz w:val="21"/>
                <w:szCs w:val="21"/>
                <w:u w:val="none" w:color="auto"/>
                <w:lang w:val="en-US" w:eastAsia="zh-CN" w:bidi="ar"/>
              </w:rPr>
              <w:t>□</w:t>
            </w:r>
          </w:p>
        </w:tc>
        <w:tc>
          <w:tcPr>
            <w:tcW w:w="3112"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k&gt;-20%</w:t>
            </w:r>
            <w:r>
              <w:rPr>
                <w:rStyle w:val="108"/>
                <w:rFonts w:hint="default"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exact"/>
        </w:trPr>
        <w:tc>
          <w:tcPr>
            <w:tcW w:w="1094"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环境监测计划</w:t>
            </w:r>
          </w:p>
        </w:tc>
        <w:tc>
          <w:tcPr>
            <w:tcW w:w="1717"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color="auto"/>
                <w:lang w:val="en-US" w:eastAsia="zh-CN" w:bidi="ar"/>
              </w:rPr>
            </w:pPr>
            <w:r>
              <w:rPr>
                <w:rFonts w:hint="default" w:ascii="Times New Roman" w:hAnsi="Times New Roman" w:eastAsia="宋体" w:cs="Times New Roman"/>
                <w:i w:val="0"/>
                <w:color w:val="000000"/>
                <w:kern w:val="0"/>
                <w:sz w:val="21"/>
                <w:szCs w:val="21"/>
                <w:u w:val="none" w:color="auto"/>
                <w:lang w:val="en-US" w:eastAsia="zh-CN" w:bidi="ar"/>
              </w:rPr>
              <w:t>污染源</w:t>
            </w:r>
          </w:p>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监测</w:t>
            </w:r>
          </w:p>
        </w:tc>
        <w:tc>
          <w:tcPr>
            <w:tcW w:w="2897" w:type="dxa"/>
            <w:gridSpan w:val="4"/>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监测因子：</w:t>
            </w:r>
            <w:r>
              <w:rPr>
                <w:rStyle w:val="108"/>
                <w:rFonts w:hint="default" w:ascii="Times New Roman" w:hAnsi="Times New Roman" w:eastAsia="宋体" w:cs="Times New Roman"/>
                <w:sz w:val="21"/>
                <w:szCs w:val="21"/>
                <w:u w:val="none" w:color="auto"/>
                <w:lang w:val="en-US" w:eastAsia="zh-CN" w:bidi="ar"/>
              </w:rPr>
              <w:t>（</w:t>
            </w:r>
            <w:r>
              <w:rPr>
                <w:rStyle w:val="108"/>
                <w:rFonts w:hint="eastAsia"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p>
        </w:tc>
        <w:tc>
          <w:tcPr>
            <w:tcW w:w="2452" w:type="dxa"/>
            <w:gridSpan w:val="3"/>
            <w:tcBorders>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有组织废气监测</w:t>
            </w:r>
            <w:r>
              <w:rPr>
                <w:rFonts w:hint="default" w:ascii="Times New Roman" w:hAnsi="Times New Roman" w:eastAsia="宋体" w:cs="Times New Roman"/>
                <w:i w:val="0"/>
                <w:color w:val="000000"/>
                <w:kern w:val="0"/>
                <w:sz w:val="21"/>
                <w:szCs w:val="21"/>
                <w:u w:val="none" w:color="auto"/>
                <w:lang w:val="en-US" w:eastAsia="zh-CN" w:bidi="ar"/>
              </w:rPr>
              <w:sym w:font="Wingdings 2" w:char="00A3"/>
            </w:r>
          </w:p>
        </w:tc>
        <w:tc>
          <w:tcPr>
            <w:tcW w:w="1695" w:type="dxa"/>
            <w:gridSpan w:val="3"/>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无监测□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2"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2897" w:type="dxa"/>
            <w:gridSpan w:val="4"/>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2452"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无组织废气监测</w:t>
            </w:r>
            <w:r>
              <w:rPr>
                <w:rFonts w:hint="eastAsia" w:cs="Times New Roman"/>
                <w:i w:val="0"/>
                <w:color w:val="000000"/>
                <w:kern w:val="0"/>
                <w:sz w:val="21"/>
                <w:szCs w:val="21"/>
                <w:u w:val="none" w:color="auto"/>
                <w:lang w:val="en-US" w:eastAsia="zh-CN" w:bidi="ar"/>
              </w:rPr>
              <w:t>□</w:t>
            </w:r>
          </w:p>
        </w:tc>
        <w:tc>
          <w:tcPr>
            <w:tcW w:w="1695" w:type="dxa"/>
            <w:gridSpan w:val="3"/>
            <w:vMerge w:val="continue"/>
            <w:tcBorders>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环境质量监测</w:t>
            </w:r>
          </w:p>
        </w:tc>
        <w:tc>
          <w:tcPr>
            <w:tcW w:w="2897" w:type="dxa"/>
            <w:gridSpan w:val="4"/>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监测因子：（</w:t>
            </w:r>
            <w:r>
              <w:rPr>
                <w:rStyle w:val="118"/>
                <w:rFonts w:hint="default" w:ascii="Times New Roman" w:hAnsi="Times New Roman" w:eastAsia="宋体" w:cs="Times New Roman"/>
                <w:sz w:val="21"/>
                <w:szCs w:val="21"/>
                <w:u w:val="none" w:color="auto"/>
                <w:lang w:val="en-US" w:eastAsia="zh-CN" w:bidi="ar"/>
              </w:rPr>
              <w:t xml:space="preserve"> </w:t>
            </w:r>
            <w:r>
              <w:rPr>
                <w:rStyle w:val="118"/>
                <w:rFonts w:hint="eastAsia" w:cs="Times New Roman"/>
                <w:sz w:val="21"/>
                <w:szCs w:val="21"/>
                <w:u w:val="none" w:color="auto"/>
                <w:lang w:val="en-US" w:eastAsia="zh-CN" w:bidi="ar"/>
              </w:rPr>
              <w:t xml:space="preserve"> </w:t>
            </w:r>
            <w:r>
              <w:rPr>
                <w:rStyle w:val="118"/>
                <w:rFonts w:hint="default" w:ascii="Times New Roman" w:hAnsi="Times New Roman" w:eastAsia="宋体"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p>
        </w:tc>
        <w:tc>
          <w:tcPr>
            <w:tcW w:w="2452"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监测点位数（</w:t>
            </w:r>
            <w:r>
              <w:rPr>
                <w:rStyle w:val="118"/>
                <w:rFonts w:hint="default" w:ascii="Times New Roman" w:hAnsi="Times New Roman" w:eastAsia="宋体" w:cs="Times New Roman"/>
                <w:sz w:val="21"/>
                <w:szCs w:val="21"/>
                <w:u w:val="none" w:color="auto"/>
                <w:lang w:val="en-US" w:eastAsia="zh-CN" w:bidi="ar"/>
              </w:rPr>
              <w:t xml:space="preserve"> </w:t>
            </w:r>
            <w:r>
              <w:rPr>
                <w:rStyle w:val="118"/>
                <w:rFonts w:hint="eastAsia"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p>
        </w:tc>
        <w:tc>
          <w:tcPr>
            <w:tcW w:w="169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无监测□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7" w:hRule="exact"/>
        </w:trPr>
        <w:tc>
          <w:tcPr>
            <w:tcW w:w="1094" w:type="dxa"/>
            <w:vMerge w:val="restart"/>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评价结论</w:t>
            </w: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环境影响</w:t>
            </w:r>
          </w:p>
        </w:tc>
        <w:tc>
          <w:tcPr>
            <w:tcW w:w="7044" w:type="dxa"/>
            <w:gridSpan w:val="10"/>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可以接受</w:t>
            </w:r>
            <w:r>
              <w:rPr>
                <w:rStyle w:val="118"/>
                <w:rFonts w:hint="default" w:ascii="Times New Roman" w:hAnsi="Times New Roman" w:eastAsia="宋体" w:cs="Times New Roman"/>
                <w:sz w:val="21"/>
                <w:szCs w:val="21"/>
                <w:u w:val="none" w:color="auto"/>
                <w:lang w:val="en-US" w:eastAsia="zh-CN" w:bidi="ar"/>
              </w:rPr>
              <w:t xml:space="preserve"> </w:t>
            </w:r>
            <w:r>
              <w:rPr>
                <w:rFonts w:hint="eastAsia" w:cs="Times New Roman"/>
                <w:i w:val="0"/>
                <w:color w:val="000000"/>
                <w:kern w:val="0"/>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不可以接受</w:t>
            </w:r>
            <w:r>
              <w:rPr>
                <w:rStyle w:val="118"/>
                <w:rFonts w:hint="default" w:ascii="Times New Roman" w:hAnsi="Times New Roman" w:eastAsia="宋体"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大气环境防护距离</w:t>
            </w:r>
          </w:p>
        </w:tc>
        <w:tc>
          <w:tcPr>
            <w:tcW w:w="7044" w:type="dxa"/>
            <w:gridSpan w:val="10"/>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 xml:space="preserve">距（   </w:t>
            </w:r>
            <w:r>
              <w:rPr>
                <w:rStyle w:val="118"/>
                <w:rFonts w:hint="default" w:ascii="Times New Roman" w:hAnsi="Times New Roman" w:eastAsia="宋体" w:cs="Times New Roman"/>
                <w:sz w:val="21"/>
                <w:szCs w:val="21"/>
                <w:u w:val="none" w:color="auto"/>
                <w:lang w:val="en-US" w:eastAsia="zh-CN" w:bidi="ar"/>
              </w:rPr>
              <w:t>)</w:t>
            </w:r>
            <w:r>
              <w:rPr>
                <w:rStyle w:val="108"/>
                <w:rFonts w:hint="default" w:ascii="Times New Roman" w:hAnsi="Times New Roman" w:cs="Times New Roman"/>
                <w:sz w:val="21"/>
                <w:szCs w:val="21"/>
                <w:u w:val="none" w:color="auto"/>
                <w:lang w:val="en-US" w:eastAsia="zh-CN" w:bidi="ar"/>
              </w:rPr>
              <w:t>厂界最远（</w:t>
            </w:r>
            <w:r>
              <w:rPr>
                <w:rStyle w:val="118"/>
                <w:rFonts w:hint="default" w:ascii="Times New Roman" w:hAnsi="Times New Roman" w:eastAsia="宋体"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2" w:hRule="exact"/>
        </w:trPr>
        <w:tc>
          <w:tcPr>
            <w:tcW w:w="1094"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hint="default" w:ascii="Times New Roman" w:hAnsi="Times New Roman" w:eastAsia="宋体" w:cs="Times New Roman"/>
                <w:i w:val="0"/>
                <w:color w:val="000000"/>
                <w:sz w:val="21"/>
                <w:szCs w:val="21"/>
                <w:u w:val="none" w:color="auto"/>
              </w:rPr>
            </w:pPr>
          </w:p>
        </w:tc>
        <w:tc>
          <w:tcPr>
            <w:tcW w:w="17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污染源年排放量</w:t>
            </w:r>
          </w:p>
        </w:tc>
        <w:tc>
          <w:tcPr>
            <w:tcW w:w="1976"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SO</w:t>
            </w:r>
            <w:r>
              <w:rPr>
                <w:rStyle w:val="103"/>
                <w:rFonts w:hint="default" w:ascii="Times New Roman" w:hAnsi="Times New Roman" w:eastAsia="宋体" w:cs="Times New Roman"/>
                <w:sz w:val="21"/>
                <w:szCs w:val="21"/>
                <w:u w:val="none" w:color="auto"/>
                <w:lang w:val="en-US" w:eastAsia="zh-CN" w:bidi="ar"/>
              </w:rPr>
              <w:t>2</w:t>
            </w:r>
            <w:r>
              <w:rPr>
                <w:rStyle w:val="118"/>
                <w:rFonts w:hint="default" w:ascii="Times New Roman" w:hAnsi="Times New Roman" w:eastAsia="宋体" w:cs="Times New Roman"/>
                <w:sz w:val="21"/>
                <w:szCs w:val="21"/>
                <w:u w:val="none" w:color="auto"/>
                <w:lang w:val="en-US" w:eastAsia="zh-CN" w:bidi="ar"/>
              </w:rPr>
              <w:t xml:space="preserve">:( </w:t>
            </w:r>
            <w:r>
              <w:rPr>
                <w:rStyle w:val="118"/>
                <w:rFonts w:hint="eastAsia" w:cs="Times New Roman"/>
                <w:sz w:val="21"/>
                <w:szCs w:val="21"/>
                <w:u w:val="none" w:color="auto"/>
                <w:lang w:val="en-US" w:eastAsia="zh-CN" w:bidi="ar"/>
              </w:rPr>
              <w:t xml:space="preserve"> </w:t>
            </w:r>
            <w:r>
              <w:rPr>
                <w:rStyle w:val="118"/>
                <w:rFonts w:hint="default" w:ascii="Times New Roman" w:hAnsi="Times New Roman" w:eastAsia="宋体" w:cs="Times New Roman"/>
                <w:sz w:val="21"/>
                <w:szCs w:val="21"/>
                <w:u w:val="none" w:color="auto"/>
                <w:lang w:val="en-US" w:eastAsia="zh-CN" w:bidi="ar"/>
              </w:rPr>
              <w:t>)t/a</w:t>
            </w:r>
          </w:p>
        </w:tc>
        <w:tc>
          <w:tcPr>
            <w:tcW w:w="1663"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Fonts w:hint="default" w:ascii="Times New Roman" w:hAnsi="Times New Roman" w:eastAsia="宋体" w:cs="Times New Roman"/>
                <w:i w:val="0"/>
                <w:color w:val="000000"/>
                <w:kern w:val="0"/>
                <w:sz w:val="21"/>
                <w:szCs w:val="21"/>
                <w:u w:val="none" w:color="auto"/>
                <w:lang w:val="en-US" w:eastAsia="zh-CN" w:bidi="ar"/>
              </w:rPr>
              <w:t>NOx:(</w:t>
            </w:r>
            <w:r>
              <w:rPr>
                <w:rFonts w:hint="eastAsia" w:cs="Times New Roman"/>
                <w:i w:val="0"/>
                <w:color w:val="000000"/>
                <w:kern w:val="0"/>
                <w:sz w:val="21"/>
                <w:szCs w:val="21"/>
                <w:u w:val="none" w:color="auto"/>
                <w:lang w:val="en-US" w:eastAsia="zh-CN" w:bidi="ar"/>
              </w:rPr>
              <w:t xml:space="preserve"> </w:t>
            </w:r>
            <w:r>
              <w:rPr>
                <w:rFonts w:hint="default" w:ascii="Times New Roman" w:hAnsi="Times New Roman" w:eastAsia="宋体" w:cs="Times New Roman"/>
                <w:i w:val="0"/>
                <w:color w:val="000000"/>
                <w:kern w:val="0"/>
                <w:sz w:val="21"/>
                <w:szCs w:val="21"/>
                <w:u w:val="none" w:color="auto"/>
                <w:lang w:val="en-US" w:eastAsia="zh-CN" w:bidi="ar"/>
              </w:rPr>
              <w:t xml:space="preserve"> )t/a</w:t>
            </w:r>
          </w:p>
        </w:tc>
        <w:tc>
          <w:tcPr>
            <w:tcW w:w="1800"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颗粒物</w:t>
            </w:r>
            <w:r>
              <w:rPr>
                <w:rStyle w:val="118"/>
                <w:rFonts w:hint="default" w:ascii="Times New Roman" w:hAnsi="Times New Roman" w:eastAsia="宋体" w:cs="Times New Roman"/>
                <w:sz w:val="21"/>
                <w:szCs w:val="21"/>
                <w:u w:val="none" w:color="auto"/>
                <w:lang w:val="en-US" w:eastAsia="zh-CN" w:bidi="ar"/>
              </w:rPr>
              <w:t>:(</w:t>
            </w:r>
            <w:r>
              <w:rPr>
                <w:rStyle w:val="118"/>
                <w:rFonts w:hint="eastAsia" w:cs="Times New Roman"/>
                <w:sz w:val="21"/>
                <w:szCs w:val="21"/>
                <w:u w:val="none" w:color="auto"/>
                <w:lang w:val="en-US" w:eastAsia="zh-CN" w:bidi="ar"/>
              </w:rPr>
              <w:t xml:space="preserve">  </w:t>
            </w:r>
            <w:r>
              <w:rPr>
                <w:rStyle w:val="118"/>
                <w:rFonts w:hint="default" w:ascii="Times New Roman" w:hAnsi="Times New Roman" w:eastAsia="宋体" w:cs="Times New Roman"/>
                <w:sz w:val="21"/>
                <w:szCs w:val="21"/>
                <w:u w:val="none" w:color="auto"/>
                <w:lang w:val="en-US" w:eastAsia="zh-CN" w:bidi="ar"/>
              </w:rPr>
              <w:t>)t/a</w:t>
            </w:r>
          </w:p>
        </w:tc>
        <w:tc>
          <w:tcPr>
            <w:tcW w:w="1605"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color="auto"/>
              </w:rPr>
            </w:pPr>
            <w:r>
              <w:rPr>
                <w:rStyle w:val="118"/>
                <w:rFonts w:hint="default" w:ascii="Times New Roman" w:hAnsi="Times New Roman" w:eastAsia="宋体" w:cs="Times New Roman"/>
                <w:sz w:val="21"/>
                <w:szCs w:val="21"/>
                <w:u w:val="none" w:color="auto"/>
                <w:lang w:val="en-US" w:eastAsia="zh-CN" w:bidi="ar"/>
              </w:rPr>
              <w:t>VOCs:(0</w:t>
            </w:r>
            <w:r>
              <w:rPr>
                <w:rStyle w:val="118"/>
                <w:rFonts w:hint="default" w:ascii="Times New Roman" w:hAnsi="Times New Roman" w:cs="Times New Roman"/>
                <w:sz w:val="21"/>
                <w:szCs w:val="21"/>
                <w:u w:val="none" w:color="auto"/>
                <w:lang w:val="en-US" w:eastAsia="zh-CN" w:bidi="ar"/>
              </w:rPr>
              <w:t>.0025</w:t>
            </w:r>
            <w:r>
              <w:rPr>
                <w:rStyle w:val="118"/>
                <w:rFonts w:hint="default" w:ascii="Times New Roman" w:hAnsi="Times New Roman" w:eastAsia="宋体" w:cs="Times New Roman"/>
                <w:sz w:val="21"/>
                <w:szCs w:val="21"/>
                <w:u w:val="none" w:color="auto"/>
                <w:lang w:val="en-US" w:eastAsia="zh-CN" w:bidi="ar"/>
              </w:rPr>
              <w:t>)t/a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exact"/>
        </w:trPr>
        <w:tc>
          <w:tcPr>
            <w:tcW w:w="9855" w:type="dxa"/>
            <w:gridSpan w:val="12"/>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color="auto"/>
              </w:rPr>
            </w:pPr>
            <w:r>
              <w:rPr>
                <w:rStyle w:val="108"/>
                <w:rFonts w:hint="default" w:ascii="Times New Roman" w:hAnsi="Times New Roman" w:cs="Times New Roman"/>
                <w:sz w:val="21"/>
                <w:szCs w:val="21"/>
                <w:u w:val="none" w:color="auto"/>
                <w:lang w:val="en-US" w:eastAsia="zh-CN" w:bidi="ar"/>
              </w:rPr>
              <w:t>注：</w:t>
            </w:r>
            <w:r>
              <w:rPr>
                <w:rStyle w:val="118"/>
                <w:rFonts w:hint="default" w:ascii="Times New Roman" w:hAnsi="Times New Roman" w:eastAsia="宋体" w:cs="Times New Roman"/>
                <w:sz w:val="21"/>
                <w:szCs w:val="21"/>
                <w:u w:val="none" w:color="auto"/>
                <w:lang w:val="en-US" w:eastAsia="zh-CN" w:bidi="ar"/>
              </w:rPr>
              <w:t>“</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w:t>
            </w:r>
            <w:r>
              <w:rPr>
                <w:rStyle w:val="108"/>
                <w:rFonts w:hint="default" w:ascii="Times New Roman" w:hAnsi="Times New Roman" w:cs="Times New Roman"/>
                <w:sz w:val="21"/>
                <w:szCs w:val="21"/>
                <w:u w:val="none" w:color="auto"/>
                <w:lang w:val="en-US" w:eastAsia="zh-CN" w:bidi="ar"/>
              </w:rPr>
              <w:t>，填</w:t>
            </w:r>
            <w:r>
              <w:rPr>
                <w:rStyle w:val="118"/>
                <w:rFonts w:hint="default" w:ascii="Times New Roman" w:hAnsi="Times New Roman" w:eastAsia="宋体" w:cs="Times New Roman"/>
                <w:sz w:val="21"/>
                <w:szCs w:val="21"/>
                <w:u w:val="none" w:color="auto"/>
                <w:lang w:val="en-US" w:eastAsia="zh-CN" w:bidi="ar"/>
              </w:rPr>
              <w:t>“</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 xml:space="preserve">  </w:t>
            </w:r>
            <w:r>
              <w:rPr>
                <w:rStyle w:val="108"/>
                <w:rFonts w:hint="default" w:ascii="Times New Roman" w:hAnsi="Times New Roman" w:cs="Times New Roman"/>
                <w:sz w:val="21"/>
                <w:szCs w:val="21"/>
                <w:u w:val="none" w:color="auto"/>
                <w:lang w:val="en-US" w:eastAsia="zh-CN" w:bidi="ar"/>
              </w:rPr>
              <w:t>）</w:t>
            </w:r>
            <w:r>
              <w:rPr>
                <w:rStyle w:val="118"/>
                <w:rFonts w:hint="default" w:ascii="Times New Roman" w:hAnsi="Times New Roman" w:eastAsia="宋体" w:cs="Times New Roman"/>
                <w:sz w:val="21"/>
                <w:szCs w:val="21"/>
                <w:u w:val="none" w:color="auto"/>
                <w:lang w:val="en-US" w:eastAsia="zh-CN" w:bidi="ar"/>
              </w:rPr>
              <w:t>”</w:t>
            </w:r>
            <w:r>
              <w:rPr>
                <w:rStyle w:val="108"/>
                <w:rFonts w:hint="default" w:ascii="Times New Roman" w:hAnsi="Times New Roman" w:cs="Times New Roman"/>
                <w:sz w:val="21"/>
                <w:szCs w:val="21"/>
                <w:u w:val="none" w:color="auto"/>
                <w:lang w:val="en-US" w:eastAsia="zh-CN" w:bidi="ar"/>
              </w:rPr>
              <w:t>为内容填写项</w:t>
            </w:r>
          </w:p>
        </w:tc>
      </w:tr>
    </w:tbl>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eastAsia" w:cs="Times New Roman"/>
          <w:b/>
          <w:bCs/>
          <w:color w:val="auto"/>
          <w:sz w:val="28"/>
          <w:szCs w:val="36"/>
          <w:u w:val="none" w:color="auto"/>
          <w:lang w:eastAsia="zh-CN"/>
        </w:rPr>
      </w:pPr>
    </w:p>
    <w:p>
      <w:pPr>
        <w:jc w:val="center"/>
        <w:rPr>
          <w:rFonts w:hint="default" w:ascii="Times New Roman" w:hAnsi="Times New Roman" w:cs="Times New Roman"/>
          <w:b/>
          <w:bCs/>
          <w:color w:val="auto"/>
          <w:sz w:val="28"/>
          <w:szCs w:val="36"/>
          <w:u w:val="none" w:color="auto"/>
          <w:lang w:eastAsia="zh-CN"/>
        </w:rPr>
      </w:pPr>
      <w:r>
        <w:rPr>
          <w:rFonts w:hint="eastAsia" w:cs="Times New Roman"/>
          <w:b/>
          <w:bCs/>
          <w:color w:val="auto"/>
          <w:sz w:val="28"/>
          <w:szCs w:val="36"/>
          <w:u w:val="none" w:color="auto"/>
          <w:lang w:eastAsia="zh-CN"/>
        </w:rPr>
        <w:t>表</w:t>
      </w:r>
      <w:r>
        <w:rPr>
          <w:rFonts w:hint="eastAsia" w:cs="Times New Roman"/>
          <w:b/>
          <w:bCs/>
          <w:color w:val="auto"/>
          <w:sz w:val="28"/>
          <w:szCs w:val="36"/>
          <w:u w:val="none" w:color="auto"/>
          <w:lang w:val="en-US" w:eastAsia="zh-CN"/>
        </w:rPr>
        <w:t xml:space="preserve">2 </w:t>
      </w:r>
      <w:r>
        <w:rPr>
          <w:rFonts w:hint="default" w:ascii="Times New Roman" w:hAnsi="Times New Roman" w:cs="Times New Roman"/>
          <w:b/>
          <w:bCs/>
          <w:color w:val="auto"/>
          <w:sz w:val="28"/>
          <w:szCs w:val="36"/>
          <w:u w:val="none" w:color="auto"/>
          <w:lang w:eastAsia="zh-CN"/>
        </w:rPr>
        <w:t>地表水环境影响评价自查表</w:t>
      </w:r>
    </w:p>
    <w:tbl>
      <w:tblPr>
        <w:tblStyle w:val="41"/>
        <w:tblW w:w="10350" w:type="dxa"/>
        <w:tblInd w:w="-3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351"/>
        <w:gridCol w:w="1091"/>
        <w:gridCol w:w="533"/>
        <w:gridCol w:w="925"/>
        <w:gridCol w:w="602"/>
        <w:gridCol w:w="589"/>
        <w:gridCol w:w="13"/>
        <w:gridCol w:w="217"/>
        <w:gridCol w:w="755"/>
        <w:gridCol w:w="405"/>
        <w:gridCol w:w="163"/>
        <w:gridCol w:w="18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249" w:type="dxa"/>
            <w:gridSpan w:val="2"/>
            <w:tcBorders>
              <w:tl2br w:val="nil"/>
              <w:tr2bl w:val="nil"/>
            </w:tcBorders>
            <w:noWrap w:val="0"/>
            <w:vAlign w:val="center"/>
          </w:tcPr>
          <w:p>
            <w:pPr>
              <w:spacing w:line="360" w:lineRule="auto"/>
              <w:jc w:val="center"/>
              <w:rPr>
                <w:rFonts w:hint="default" w:ascii="Times New Roman" w:hAnsi="Times New Roman" w:cs="Times New Roman"/>
                <w:b w:val="0"/>
                <w:bCs w:val="0"/>
                <w:color w:val="auto"/>
                <w:sz w:val="22"/>
                <w:szCs w:val="22"/>
                <w:u w:val="none" w:color="auto"/>
                <w:vertAlign w:val="baseline"/>
                <w:lang w:eastAsia="zh-CN"/>
              </w:rPr>
            </w:pPr>
            <w:r>
              <w:rPr>
                <w:rFonts w:hint="default" w:ascii="Times New Roman" w:hAnsi="Times New Roman" w:cs="Times New Roman"/>
                <w:b w:val="0"/>
                <w:bCs w:val="0"/>
                <w:color w:val="auto"/>
                <w:sz w:val="22"/>
                <w:szCs w:val="22"/>
                <w:u w:val="none" w:color="auto"/>
                <w:vertAlign w:val="baseline"/>
                <w:lang w:eastAsia="zh-CN"/>
              </w:rPr>
              <w:t>工作内容</w:t>
            </w:r>
          </w:p>
        </w:tc>
        <w:tc>
          <w:tcPr>
            <w:tcW w:w="7101" w:type="dxa"/>
            <w:gridSpan w:val="11"/>
            <w:tcBorders>
              <w:tl2br w:val="nil"/>
              <w:tr2bl w:val="nil"/>
            </w:tcBorders>
            <w:noWrap w:val="0"/>
            <w:vAlign w:val="center"/>
          </w:tcPr>
          <w:p>
            <w:pPr>
              <w:spacing w:line="360" w:lineRule="auto"/>
              <w:jc w:val="center"/>
              <w:rPr>
                <w:rFonts w:hint="default" w:ascii="Times New Roman" w:hAnsi="Times New Roman" w:cs="Times New Roman"/>
                <w:b w:val="0"/>
                <w:bCs w:val="0"/>
                <w:color w:val="auto"/>
                <w:sz w:val="22"/>
                <w:szCs w:val="22"/>
                <w:u w:val="none" w:color="auto"/>
                <w:vertAlign w:val="baseline"/>
                <w:lang w:eastAsia="zh-CN"/>
              </w:rPr>
            </w:pPr>
            <w:r>
              <w:rPr>
                <w:rFonts w:hint="default" w:ascii="Times New Roman" w:hAnsi="Times New Roman" w:cs="Times New Roman"/>
                <w:b w:val="0"/>
                <w:bCs w:val="0"/>
                <w:color w:val="auto"/>
                <w:sz w:val="22"/>
                <w:szCs w:val="22"/>
                <w:u w:val="none" w:color="auto"/>
                <w:vertAlign w:val="baseline"/>
                <w:lang w:eastAsia="zh-CN"/>
              </w:rPr>
              <w:t>自查项目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898"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响</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识</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别</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影响类型</w:t>
            </w:r>
          </w:p>
        </w:tc>
        <w:tc>
          <w:tcPr>
            <w:tcW w:w="7101" w:type="dxa"/>
            <w:gridSpan w:val="11"/>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水污染影响型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；水文要素影响型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水环境保护目标</w:t>
            </w:r>
          </w:p>
        </w:tc>
        <w:tc>
          <w:tcPr>
            <w:tcW w:w="7101"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饮用水水源保护区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□；饮用水取水口</w:t>
            </w:r>
            <w:r>
              <w:rPr>
                <w:rFonts w:hint="default" w:ascii="Times New Roman" w:hAnsi="Times New Roman" w:eastAsia="宋体" w:cs="Times New Roman"/>
                <w:b w:val="0"/>
                <w:bCs w:val="0"/>
                <w:color w:val="auto"/>
                <w:sz w:val="22"/>
                <w:szCs w:val="22"/>
                <w:u w:val="none" w:color="auto"/>
                <w:vertAlign w:val="baseline"/>
                <w:lang w:val="en-US" w:eastAsia="zh-CN"/>
              </w:rPr>
              <w:t xml:space="preserve"> 涉水的自然保护区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重要湿地 </w:t>
            </w:r>
            <w:r>
              <w:rPr>
                <w:rFonts w:hint="default" w:ascii="Times New Roman" w:hAnsi="Times New Roman" w:eastAsia="宋体" w:cs="Times New Roman"/>
                <w:b w:val="0"/>
                <w:bCs w:val="0"/>
                <w:color w:val="auto"/>
                <w:sz w:val="22"/>
                <w:szCs w:val="22"/>
                <w:u w:val="none" w:color="auto"/>
                <w:vertAlign w:val="baseline"/>
                <w:lang w:eastAsia="zh-CN"/>
              </w:rPr>
              <w:t>□；重点保护与珍稀水生生物的栖息地</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□；重要水生生物的自然产卵场及索饵场 、越冬场、洄游通道、天然渔场等渔业水体</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□；涉水的风景名胜区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val="en-US" w:eastAsia="zh-CN"/>
              </w:rPr>
              <w:t>影响途径</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水污染影响型</w:t>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直接排放</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；间接排放</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水温</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；径流</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；水域面积</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影响因子</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持久性污染源</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□；有毒有害污染物</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□；非持久性污染物</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pH值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；热污染</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□；富营养化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水温</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；水位（）□；流速</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□；流量</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49" w:type="dxa"/>
            <w:gridSpan w:val="2"/>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评价等级</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水污染影响型</w:t>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水文要素影响型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49" w:type="dxa"/>
            <w:gridSpan w:val="2"/>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一级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□；二级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□；三级</w:t>
            </w:r>
            <w:r>
              <w:rPr>
                <w:rFonts w:hint="default" w:ascii="Times New Roman" w:hAnsi="Times New Roman" w:eastAsia="宋体" w:cs="Times New Roman"/>
                <w:b w:val="0"/>
                <w:bCs w:val="0"/>
                <w:color w:val="auto"/>
                <w:sz w:val="22"/>
                <w:szCs w:val="22"/>
                <w:u w:val="none" w:color="auto"/>
                <w:vertAlign w:val="baseline"/>
                <w:lang w:val="en-US" w:eastAsia="zh-CN"/>
              </w:rPr>
              <w:t xml:space="preserve">A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三级B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一级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□；二级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□；三级</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898"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现状调查</w:t>
            </w: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区域污染源</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val="en-US" w:eastAsia="zh-CN"/>
              </w:rPr>
              <w:t>调查项目</w:t>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624" w:type="dxa"/>
            <w:gridSpan w:val="2"/>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已建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；在建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□；拟建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1527" w:type="dxa"/>
            <w:gridSpan w:val="2"/>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拟替代的污染源</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排污许可证</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□；环评</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；环保验收</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；既有实测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□；现场监测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；入河排放口数据</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受影响水体水环境质量</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调查时期</w:t>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丰水期 □；平水期 □；枯水期 □；冰封期 □；春季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生态环境保护主管部门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；补充监测 □；其他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区域水资源开发利用状况</w:t>
            </w:r>
          </w:p>
        </w:tc>
        <w:tc>
          <w:tcPr>
            <w:tcW w:w="7101"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未开发 □；开发量</w:t>
            </w:r>
            <w:r>
              <w:rPr>
                <w:rFonts w:hint="default" w:ascii="Times New Roman" w:hAnsi="Times New Roman" w:eastAsia="宋体" w:cs="Times New Roman"/>
                <w:b w:val="0"/>
                <w:bCs w:val="0"/>
                <w:color w:val="auto"/>
                <w:sz w:val="22"/>
                <w:szCs w:val="22"/>
                <w:u w:val="none" w:color="auto"/>
                <w:vertAlign w:val="baseline"/>
                <w:lang w:val="en-US" w:eastAsia="zh-CN"/>
              </w:rPr>
              <w:t>40%以下 □；</w:t>
            </w:r>
            <w:r>
              <w:rPr>
                <w:rFonts w:hint="default" w:ascii="Times New Roman" w:hAnsi="Times New Roman" w:eastAsia="宋体" w:cs="Times New Roman"/>
                <w:b w:val="0"/>
                <w:bCs w:val="0"/>
                <w:color w:val="auto"/>
                <w:sz w:val="22"/>
                <w:szCs w:val="22"/>
                <w:u w:val="none" w:color="auto"/>
                <w:vertAlign w:val="baseline"/>
                <w:lang w:eastAsia="zh-CN"/>
              </w:rPr>
              <w:t>开发量</w:t>
            </w:r>
            <w:r>
              <w:rPr>
                <w:rFonts w:hint="default" w:ascii="Times New Roman" w:hAnsi="Times New Roman" w:eastAsia="宋体" w:cs="Times New Roman"/>
                <w:b w:val="0"/>
                <w:bCs w:val="0"/>
                <w:color w:val="auto"/>
                <w:sz w:val="22"/>
                <w:szCs w:val="22"/>
                <w:u w:val="none" w:color="auto"/>
                <w:vertAlign w:val="baseline"/>
                <w:lang w:val="en-US" w:eastAsia="zh-CN"/>
              </w:rPr>
              <w:t xml:space="preserve">40%以上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水文情势调查</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调查时期</w:t>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数据来源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丰水期 □；平水期 □；枯水期 □；冰封期 □；春季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c>
          <w:tcPr>
            <w:tcW w:w="3950" w:type="dxa"/>
            <w:gridSpan w:val="7"/>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水行政主管部门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；补充监测 □；</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补充监测</w:t>
            </w: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监测时期</w:t>
            </w:r>
          </w:p>
        </w:tc>
        <w:tc>
          <w:tcPr>
            <w:tcW w:w="1574"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监测因子</w:t>
            </w:r>
          </w:p>
        </w:tc>
        <w:tc>
          <w:tcPr>
            <w:tcW w:w="2376" w:type="dxa"/>
            <w:gridSpan w:val="3"/>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监测断面或点位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3151"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丰水期 □；平水期 □；枯水期 □；冰封期 □；春季 □；夏季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c>
          <w:tcPr>
            <w:tcW w:w="1574" w:type="dxa"/>
            <w:gridSpan w:val="4"/>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2376" w:type="dxa"/>
            <w:gridSpan w:val="3"/>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监测断面或点位个数（</w:t>
            </w:r>
            <w:r>
              <w:rPr>
                <w:rFonts w:hint="eastAsia"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现状评价</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评价范围</w:t>
            </w:r>
          </w:p>
        </w:tc>
        <w:tc>
          <w:tcPr>
            <w:tcW w:w="7101"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河流：长度（）</w:t>
            </w:r>
            <w:r>
              <w:rPr>
                <w:rFonts w:hint="default" w:ascii="Times New Roman" w:hAnsi="Times New Roman" w:eastAsia="宋体" w:cs="Times New Roman"/>
                <w:b w:val="0"/>
                <w:bCs w:val="0"/>
                <w:color w:val="auto"/>
                <w:sz w:val="22"/>
                <w:szCs w:val="22"/>
                <w:u w:val="none" w:color="auto"/>
                <w:vertAlign w:val="baseline"/>
                <w:lang w:val="en-US" w:eastAsia="zh-CN"/>
              </w:rPr>
              <w:t>km；湖库、河口及近岸海域：面积（）km</w:t>
            </w:r>
            <w:r>
              <w:rPr>
                <w:rFonts w:hint="default" w:ascii="Times New Roman" w:hAnsi="Times New Roman" w:eastAsia="宋体" w:cs="Times New Roman"/>
                <w:b w:val="0"/>
                <w:bCs w:val="0"/>
                <w:color w:val="auto"/>
                <w:sz w:val="22"/>
                <w:szCs w:val="22"/>
                <w:u w:val="none" w:color="auto"/>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评价因子</w:t>
            </w:r>
          </w:p>
        </w:tc>
        <w:tc>
          <w:tcPr>
            <w:tcW w:w="7101" w:type="dxa"/>
            <w:gridSpan w:val="11"/>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评价标准</w:t>
            </w:r>
          </w:p>
        </w:tc>
        <w:tc>
          <w:tcPr>
            <w:tcW w:w="7101"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河流、湖库、河口：Ⅰ类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□；Ⅱ类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□；Ⅲ类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；Ⅳ类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□；Ⅴ类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近岸海域：第一类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□；第二类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□；第三类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□；第四类</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规划年评价标准（）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评价时期</w:t>
            </w:r>
          </w:p>
        </w:tc>
        <w:tc>
          <w:tcPr>
            <w:tcW w:w="7101"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丰水期 □；平水期 □；枯水期 □；冰封期 □；春季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评价结论</w:t>
            </w:r>
          </w:p>
        </w:tc>
        <w:tc>
          <w:tcPr>
            <w:tcW w:w="5293" w:type="dxa"/>
            <w:gridSpan w:val="10"/>
            <w:vMerge w:val="restart"/>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水功能环境区或水功能区、近岸海域环境功能区水质达标状况 □：</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不达标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水环境控制单元或断面水质达标状况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不达标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水环境保护目标质量状况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不达标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对照断面、控制断面等代表性断面的水质状况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□；不达标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底泥污染评价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水资源与开发利用程度及其水文情势评价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水环境质量回顾评价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流域（区域）水资源（包括水能资源）与开发利用总体状况、生态流量管理要求与现状满意程度、建设项目占用水域空间的水流状况与河湖演变状况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1808"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达标区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不达标区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评价结论</w:t>
            </w:r>
          </w:p>
        </w:tc>
        <w:tc>
          <w:tcPr>
            <w:tcW w:w="5293" w:type="dxa"/>
            <w:gridSpan w:val="10"/>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808"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达标区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不达标区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影响预测</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预测范围</w:t>
            </w:r>
          </w:p>
        </w:tc>
        <w:tc>
          <w:tcPr>
            <w:tcW w:w="7101"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河流：长度（）</w:t>
            </w:r>
            <w:r>
              <w:rPr>
                <w:rFonts w:hint="default" w:ascii="Times New Roman" w:hAnsi="Times New Roman" w:eastAsia="宋体" w:cs="Times New Roman"/>
                <w:b w:val="0"/>
                <w:bCs w:val="0"/>
                <w:color w:val="auto"/>
                <w:sz w:val="22"/>
                <w:szCs w:val="22"/>
                <w:u w:val="none" w:color="auto"/>
                <w:vertAlign w:val="baseline"/>
                <w:lang w:val="en-US" w:eastAsia="zh-CN"/>
              </w:rPr>
              <w:t>km；湖库、河口及近岸海域：面积（）km</w:t>
            </w:r>
            <w:r>
              <w:rPr>
                <w:rFonts w:hint="default" w:ascii="Times New Roman" w:hAnsi="Times New Roman" w:eastAsia="宋体" w:cs="Times New Roman"/>
                <w:b w:val="0"/>
                <w:bCs w:val="0"/>
                <w:color w:val="auto"/>
                <w:sz w:val="22"/>
                <w:szCs w:val="22"/>
                <w:u w:val="none" w:color="auto"/>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预测因子</w:t>
            </w:r>
          </w:p>
        </w:tc>
        <w:tc>
          <w:tcPr>
            <w:tcW w:w="7101"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预测时期</w:t>
            </w:r>
          </w:p>
        </w:tc>
        <w:tc>
          <w:tcPr>
            <w:tcW w:w="7101"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丰水期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平水期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枯水期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冰封期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春季 □；</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 xml:space="preserve">夏季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 xml:space="preserve">秋季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；冬季 □；</w:t>
            </w:r>
            <w:r>
              <w:rPr>
                <w:rFonts w:hint="default" w:ascii="Times New Roman" w:hAnsi="Times New Roman" w:eastAsia="宋体" w:cs="Times New Roman"/>
                <w:b w:val="0"/>
                <w:bCs w:val="0"/>
                <w:color w:val="auto"/>
                <w:sz w:val="22"/>
                <w:szCs w:val="22"/>
                <w:u w:val="none" w:color="auto"/>
                <w:vertAlign w:val="baseline"/>
                <w:lang w:val="en-US" w:eastAsia="zh-CN"/>
              </w:rPr>
              <w:t xml:space="preserve"> 设计水文条件  </w:t>
            </w:r>
            <w:r>
              <w:rPr>
                <w:rFonts w:hint="default" w:ascii="Times New Roman" w:hAnsi="Times New Roman" w:eastAsia="宋体" w:cs="Times New Roman"/>
                <w:b w:val="0"/>
                <w:bCs w:val="0"/>
                <w:color w:val="auto"/>
                <w:sz w:val="22"/>
                <w:szCs w:val="22"/>
                <w:u w:val="none" w:color="auto"/>
                <w:vertAlign w:val="baselin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预测情景</w:t>
            </w:r>
          </w:p>
        </w:tc>
        <w:tc>
          <w:tcPr>
            <w:tcW w:w="7101"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建设期</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□；生产运行期</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□；服务期满后</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正常工况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；非正常工况</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污染控制和减缓措施方案</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区（流）域环境质量改善目标要求情景</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预测方法</w:t>
            </w:r>
          </w:p>
        </w:tc>
        <w:tc>
          <w:tcPr>
            <w:tcW w:w="7101"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数值解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□；解析解</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导则推荐模式</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影响评价</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水污染控制和水环境影响减缓措施有效性评价</w:t>
            </w:r>
          </w:p>
        </w:tc>
        <w:tc>
          <w:tcPr>
            <w:tcW w:w="7101"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区（流）域环境质量改善目标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；替代削减源</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水环境影响评价</w:t>
            </w:r>
          </w:p>
        </w:tc>
        <w:tc>
          <w:tcPr>
            <w:tcW w:w="7101"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排放口混合区外满足水环境管理要求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水环境功能区或水功能区</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近岸海域环境功能区水质达标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满足水环境保护目标水域水环境质量要求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水环境控制单元或断面水质达标</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重点满足水污染物排放总量控制指标要求、重点行业建设项目，主要污染物排放满足等量或减量替代要求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满足区（流）域环境质量改善目标要求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水文要素影响型建设项目同时应包括水文情势变化评价、主要水文特征值影响评价、生态流量符合性评价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对于新设或调整入河（湖库、近岸海域）排放口的建设项目、应包括排放口设置的环境合理评价</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满足生态保护红线、水环境质量底线、资源利用上线和环境准入清单管理要求</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污染源排放量核算</w:t>
            </w: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污染物名称</w:t>
            </w:r>
          </w:p>
        </w:tc>
        <w:tc>
          <w:tcPr>
            <w:tcW w:w="2879" w:type="dxa"/>
            <w:gridSpan w:val="6"/>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排放量</w:t>
            </w:r>
            <w:r>
              <w:rPr>
                <w:rFonts w:hint="default" w:ascii="Times New Roman" w:hAnsi="Times New Roman" w:eastAsia="宋体" w:cs="Times New Roman"/>
                <w:b w:val="0"/>
                <w:bCs w:val="0"/>
                <w:color w:val="auto"/>
                <w:sz w:val="22"/>
                <w:szCs w:val="22"/>
                <w:u w:val="none" w:color="auto"/>
                <w:vertAlign w:val="baseline"/>
                <w:lang w:val="en-US" w:eastAsia="zh-CN"/>
              </w:rPr>
              <w:t>/（t/a）</w:t>
            </w:r>
          </w:p>
        </w:tc>
        <w:tc>
          <w:tcPr>
            <w:tcW w:w="3131" w:type="dxa"/>
            <w:gridSpan w:val="4"/>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排放浓度</w:t>
            </w:r>
            <w:r>
              <w:rPr>
                <w:rFonts w:hint="default" w:ascii="Times New Roman" w:hAnsi="Times New Roman" w:eastAsia="宋体" w:cs="Times New Roman"/>
                <w:b w:val="0"/>
                <w:bCs w:val="0"/>
                <w:color w:val="auto"/>
                <w:sz w:val="22"/>
                <w:szCs w:val="22"/>
                <w:u w:val="none" w:color="auto"/>
                <w:vertAlign w:val="baseline"/>
                <w:lang w:val="en-US" w:eastAsia="zh-CN"/>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r>
              <w:rPr>
                <w:rFonts w:hint="eastAsia" w:cs="Times New Roman"/>
                <w:b w:val="0"/>
                <w:bCs w:val="0"/>
                <w:color w:val="auto"/>
                <w:sz w:val="22"/>
                <w:szCs w:val="22"/>
                <w:u w:val="none" w:color="auto"/>
                <w:vertAlign w:val="baseline"/>
                <w:lang w:eastAsia="zh-CN"/>
              </w:rPr>
              <w:t>化学需氧量</w:t>
            </w:r>
            <w:r>
              <w:rPr>
                <w:rFonts w:hint="default" w:ascii="Times New Roman" w:hAnsi="Times New Roman" w:eastAsia="宋体" w:cs="Times New Roman"/>
                <w:b w:val="0"/>
                <w:bCs w:val="0"/>
                <w:color w:val="auto"/>
                <w:sz w:val="22"/>
                <w:szCs w:val="22"/>
                <w:u w:val="none" w:color="auto"/>
                <w:vertAlign w:val="baseline"/>
                <w:lang w:eastAsia="zh-CN"/>
              </w:rPr>
              <w:t>）</w:t>
            </w:r>
          </w:p>
        </w:tc>
        <w:tc>
          <w:tcPr>
            <w:tcW w:w="2879" w:type="dxa"/>
            <w:gridSpan w:val="6"/>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eastAsia" w:cs="Times New Roman"/>
                <w:b w:val="0"/>
                <w:bCs w:val="0"/>
                <w:color w:val="auto"/>
                <w:sz w:val="22"/>
                <w:szCs w:val="22"/>
                <w:u w:val="none" w:color="auto"/>
                <w:vertAlign w:val="baseline"/>
                <w:lang w:val="en-US" w:eastAsia="zh-CN"/>
              </w:rPr>
              <w:t>0.015</w:t>
            </w:r>
          </w:p>
        </w:tc>
        <w:tc>
          <w:tcPr>
            <w:tcW w:w="3131" w:type="dxa"/>
            <w:gridSpan w:val="4"/>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eastAsia" w:cs="Times New Roman"/>
                <w:b w:val="0"/>
                <w:bCs w:val="0"/>
                <w:color w:val="auto"/>
                <w:sz w:val="22"/>
                <w:szCs w:val="22"/>
                <w:u w:val="none" w:color="auto"/>
                <w:vertAlign w:val="baseli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eastAsia" w:cs="Times New Roman"/>
                <w:b w:val="0"/>
                <w:bCs w:val="0"/>
                <w:color w:val="auto"/>
                <w:sz w:val="22"/>
                <w:szCs w:val="22"/>
                <w:u w:val="none" w:color="auto"/>
                <w:vertAlign w:val="baseline"/>
                <w:lang w:eastAsia="zh-CN"/>
              </w:rPr>
              <w:t>氨氮</w:t>
            </w:r>
          </w:p>
        </w:tc>
        <w:tc>
          <w:tcPr>
            <w:tcW w:w="2879" w:type="dxa"/>
            <w:gridSpan w:val="6"/>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eastAsia" w:cs="Times New Roman"/>
                <w:b w:val="0"/>
                <w:bCs w:val="0"/>
                <w:color w:val="auto"/>
                <w:sz w:val="22"/>
                <w:szCs w:val="22"/>
                <w:u w:val="none" w:color="auto"/>
                <w:vertAlign w:val="baseline"/>
                <w:lang w:val="en-US" w:eastAsia="zh-CN"/>
              </w:rPr>
              <w:t>0.0024</w:t>
            </w:r>
          </w:p>
        </w:tc>
        <w:tc>
          <w:tcPr>
            <w:tcW w:w="3131" w:type="dxa"/>
            <w:gridSpan w:val="4"/>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val="en-US" w:eastAsia="zh-CN"/>
              </w:rPr>
            </w:pPr>
            <w:r>
              <w:rPr>
                <w:rFonts w:hint="eastAsia" w:cs="Times New Roman"/>
                <w:b w:val="0"/>
                <w:bCs w:val="0"/>
                <w:color w:val="auto"/>
                <w:sz w:val="22"/>
                <w:szCs w:val="22"/>
                <w:u w:val="none" w:color="auto"/>
                <w:vertAlign w:val="baseli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替代源排放情况</w:t>
            </w: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污染源名称</w:t>
            </w:r>
          </w:p>
        </w:tc>
        <w:tc>
          <w:tcPr>
            <w:tcW w:w="1458"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排污许可证编号</w:t>
            </w:r>
          </w:p>
        </w:tc>
        <w:tc>
          <w:tcPr>
            <w:tcW w:w="1191"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污染物</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名称</w:t>
            </w:r>
          </w:p>
        </w:tc>
        <w:tc>
          <w:tcPr>
            <w:tcW w:w="1390" w:type="dxa"/>
            <w:gridSpan w:val="4"/>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排放量</w:t>
            </w:r>
            <w:r>
              <w:rPr>
                <w:rFonts w:hint="default" w:ascii="Times New Roman" w:hAnsi="Times New Roman" w:eastAsia="宋体" w:cs="Times New Roman"/>
                <w:b w:val="0"/>
                <w:bCs w:val="0"/>
                <w:color w:val="auto"/>
                <w:sz w:val="22"/>
                <w:szCs w:val="22"/>
                <w:u w:val="none" w:color="auto"/>
                <w:vertAlign w:val="baseline"/>
                <w:lang w:val="en-US" w:eastAsia="zh-CN"/>
              </w:rPr>
              <w:t>/（t/a）</w:t>
            </w:r>
          </w:p>
        </w:tc>
        <w:tc>
          <w:tcPr>
            <w:tcW w:w="1971"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排放浓度</w:t>
            </w:r>
            <w:r>
              <w:rPr>
                <w:rFonts w:hint="default" w:ascii="Times New Roman" w:hAnsi="Times New Roman" w:eastAsia="宋体" w:cs="Times New Roman"/>
                <w:b w:val="0"/>
                <w:bCs w:val="0"/>
                <w:color w:val="auto"/>
                <w:sz w:val="22"/>
                <w:szCs w:val="22"/>
                <w:u w:val="none" w:color="auto"/>
                <w:vertAlign w:val="baseline"/>
                <w:lang w:val="en-US" w:eastAsia="zh-CN"/>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458"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191"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390" w:type="dxa"/>
            <w:gridSpan w:val="4"/>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1971" w:type="dxa"/>
            <w:gridSpan w:val="2"/>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生态流量</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确定</w:t>
            </w:r>
          </w:p>
        </w:tc>
        <w:tc>
          <w:tcPr>
            <w:tcW w:w="7101" w:type="dxa"/>
            <w:gridSpan w:val="11"/>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生态流量：一般水期（）</w:t>
            </w:r>
            <w:r>
              <w:rPr>
                <w:rFonts w:hint="default" w:ascii="Times New Roman" w:hAnsi="Times New Roman" w:eastAsia="宋体" w:cs="Times New Roman"/>
                <w:b w:val="0"/>
                <w:bCs w:val="0"/>
                <w:color w:val="auto"/>
                <w:sz w:val="22"/>
                <w:szCs w:val="22"/>
                <w:u w:val="none" w:color="auto"/>
                <w:vertAlign w:val="baseline"/>
                <w:lang w:val="en-US" w:eastAsia="zh-CN"/>
              </w:rPr>
              <w:t>m</w:t>
            </w:r>
            <w:r>
              <w:rPr>
                <w:rFonts w:hint="default" w:ascii="Times New Roman" w:hAnsi="Times New Roman" w:eastAsia="宋体" w:cs="Times New Roman"/>
                <w:b w:val="0"/>
                <w:bCs w:val="0"/>
                <w:color w:val="auto"/>
                <w:sz w:val="22"/>
                <w:szCs w:val="22"/>
                <w:u w:val="none" w:color="auto"/>
                <w:vertAlign w:val="superscript"/>
                <w:lang w:val="en-US" w:eastAsia="zh-CN"/>
              </w:rPr>
              <w:t>3</w:t>
            </w:r>
            <w:r>
              <w:rPr>
                <w:rFonts w:hint="default" w:ascii="Times New Roman" w:hAnsi="Times New Roman" w:eastAsia="宋体" w:cs="Times New Roman"/>
                <w:b w:val="0"/>
                <w:bCs w:val="0"/>
                <w:color w:val="auto"/>
                <w:sz w:val="22"/>
                <w:szCs w:val="22"/>
                <w:u w:val="none" w:color="auto"/>
                <w:vertAlign w:val="baseline"/>
                <w:lang w:val="en-US" w:eastAsia="zh-CN"/>
              </w:rPr>
              <w:t>/s；鱼类繁殖期</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m</w:t>
            </w:r>
            <w:r>
              <w:rPr>
                <w:rFonts w:hint="default" w:ascii="Times New Roman" w:hAnsi="Times New Roman" w:eastAsia="宋体" w:cs="Times New Roman"/>
                <w:b w:val="0"/>
                <w:bCs w:val="0"/>
                <w:color w:val="auto"/>
                <w:sz w:val="22"/>
                <w:szCs w:val="22"/>
                <w:u w:val="none" w:color="auto"/>
                <w:vertAlign w:val="superscript"/>
                <w:lang w:val="en-US" w:eastAsia="zh-CN"/>
              </w:rPr>
              <w:t>3</w:t>
            </w:r>
            <w:r>
              <w:rPr>
                <w:rFonts w:hint="default" w:ascii="Times New Roman" w:hAnsi="Times New Roman" w:eastAsia="宋体" w:cs="Times New Roman"/>
                <w:b w:val="0"/>
                <w:bCs w:val="0"/>
                <w:color w:val="auto"/>
                <w:sz w:val="22"/>
                <w:szCs w:val="22"/>
                <w:u w:val="none" w:color="auto"/>
                <w:vertAlign w:val="baseline"/>
                <w:lang w:val="en-US" w:eastAsia="zh-CN"/>
              </w:rPr>
              <w:t>/s；其他</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m</w:t>
            </w:r>
            <w:r>
              <w:rPr>
                <w:rFonts w:hint="default" w:ascii="Times New Roman" w:hAnsi="Times New Roman" w:eastAsia="宋体" w:cs="Times New Roman"/>
                <w:b w:val="0"/>
                <w:bCs w:val="0"/>
                <w:color w:val="auto"/>
                <w:sz w:val="22"/>
                <w:szCs w:val="22"/>
                <w:u w:val="none" w:color="auto"/>
                <w:vertAlign w:val="superscript"/>
                <w:lang w:val="en-US" w:eastAsia="zh-CN"/>
              </w:rPr>
              <w:t>3</w:t>
            </w:r>
            <w:r>
              <w:rPr>
                <w:rFonts w:hint="default" w:ascii="Times New Roman" w:hAnsi="Times New Roman" w:eastAsia="宋体" w:cs="Times New Roman"/>
                <w:b w:val="0"/>
                <w:bCs w:val="0"/>
                <w:color w:val="auto"/>
                <w:sz w:val="22"/>
                <w:szCs w:val="22"/>
                <w:u w:val="none" w:color="auto"/>
                <w:vertAlign w:val="baseline"/>
                <w:lang w:val="en-US" w:eastAsia="zh-CN"/>
              </w:rPr>
              <w:t>/s</w:t>
            </w:r>
          </w:p>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生态水位：一般水期（）</w:t>
            </w:r>
            <w:r>
              <w:rPr>
                <w:rFonts w:hint="default" w:ascii="Times New Roman" w:hAnsi="Times New Roman" w:eastAsia="宋体" w:cs="Times New Roman"/>
                <w:b w:val="0"/>
                <w:bCs w:val="0"/>
                <w:color w:val="auto"/>
                <w:sz w:val="22"/>
                <w:szCs w:val="22"/>
                <w:u w:val="none" w:color="auto"/>
                <w:vertAlign w:val="baseline"/>
                <w:lang w:val="en-US" w:eastAsia="zh-CN"/>
              </w:rPr>
              <w:t>m；鱼类繁殖期</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m；其他</w:t>
            </w:r>
            <w:r>
              <w:rPr>
                <w:rFonts w:hint="default" w:ascii="Times New Roman" w:hAnsi="Times New Roman" w:eastAsia="宋体" w:cs="Times New Roman"/>
                <w:b w:val="0"/>
                <w:bCs w:val="0"/>
                <w:color w:val="auto"/>
                <w:sz w:val="22"/>
                <w:szCs w:val="22"/>
                <w:u w:val="none" w:color="auto"/>
                <w:vertAlign w:val="baseline"/>
                <w:lang w:eastAsia="zh-CN"/>
              </w:rPr>
              <w:t>（）</w:t>
            </w:r>
            <w:r>
              <w:rPr>
                <w:rFonts w:hint="default" w:ascii="Times New Roman" w:hAnsi="Times New Roman" w:eastAsia="宋体" w:cs="Times New Roman"/>
                <w:b w:val="0"/>
                <w:bCs w:val="0"/>
                <w:color w:val="auto"/>
                <w:sz w:val="22"/>
                <w:szCs w:val="22"/>
                <w:u w:val="none" w:color="auto"/>
                <w:vertAlign w:val="baseline"/>
                <w:lang w:val="en-US" w:eastAsia="zh-CN"/>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898"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防治措施</w:t>
            </w:r>
          </w:p>
        </w:tc>
        <w:tc>
          <w:tcPr>
            <w:tcW w:w="1351" w:type="dxa"/>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环保措施</w:t>
            </w:r>
          </w:p>
        </w:tc>
        <w:tc>
          <w:tcPr>
            <w:tcW w:w="7101" w:type="dxa"/>
            <w:gridSpan w:val="11"/>
            <w:tcBorders>
              <w:tl2br w:val="nil"/>
              <w:tr2bl w:val="nil"/>
            </w:tcBorders>
            <w:noWrap w:val="0"/>
            <w:vAlign w:val="center"/>
          </w:tcPr>
          <w:p>
            <w:pPr>
              <w:spacing w:line="360" w:lineRule="auto"/>
              <w:jc w:val="left"/>
              <w:rPr>
                <w:rFonts w:hint="default" w:ascii="Times New Roman" w:hAnsi="Times New Roman" w:eastAsia="宋体" w:cs="Times New Roman"/>
                <w:b w:val="0"/>
                <w:bCs w:val="0"/>
                <w:color w:val="auto"/>
                <w:sz w:val="22"/>
                <w:szCs w:val="22"/>
                <w:u w:val="none" w:color="auto"/>
                <w:vertAlign w:val="baseline"/>
                <w:lang w:eastAsia="zh-CN"/>
              </w:rPr>
            </w:pPr>
            <w:r>
              <w:rPr>
                <w:rFonts w:hint="eastAsia" w:cs="Times New Roman"/>
                <w:b w:val="0"/>
                <w:bCs w:val="0"/>
                <w:color w:val="auto"/>
                <w:sz w:val="22"/>
                <w:szCs w:val="22"/>
                <w:u w:val="none" w:color="auto"/>
                <w:vertAlign w:val="baseline"/>
                <w:lang w:eastAsia="zh-CN"/>
              </w:rPr>
              <w:t>地埋式一体化污水处理设施</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；水文减缓措施</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□；生态流量保障设施</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□；区域削减</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□；依托其他工程措施</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；其他</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98" w:type="dxa"/>
            <w:vMerge w:val="continue"/>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restart"/>
            <w:tcBorders>
              <w:tl2br w:val="nil"/>
              <w:tr2bl w:val="nil"/>
            </w:tcBorders>
            <w:noWrap w:val="0"/>
            <w:vAlign w:val="center"/>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监测计划</w:t>
            </w: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2662"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环境质量</w:t>
            </w:r>
          </w:p>
        </w:tc>
        <w:tc>
          <w:tcPr>
            <w:tcW w:w="3348"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监测方式</w:t>
            </w:r>
          </w:p>
        </w:tc>
        <w:tc>
          <w:tcPr>
            <w:tcW w:w="2662"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手动</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；自动</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□；无监测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c>
          <w:tcPr>
            <w:tcW w:w="3348"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手动</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；自动</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□；无监测</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监测点位</w:t>
            </w:r>
          </w:p>
        </w:tc>
        <w:tc>
          <w:tcPr>
            <w:tcW w:w="2662"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3348"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09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监测因子</w:t>
            </w:r>
          </w:p>
        </w:tc>
        <w:tc>
          <w:tcPr>
            <w:tcW w:w="2662"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c>
          <w:tcPr>
            <w:tcW w:w="3348" w:type="dxa"/>
            <w:gridSpan w:val="5"/>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污染物排</w:t>
            </w:r>
          </w:p>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放清单</w:t>
            </w:r>
          </w:p>
        </w:tc>
        <w:tc>
          <w:tcPr>
            <w:tcW w:w="7101" w:type="dxa"/>
            <w:gridSpan w:val="11"/>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98" w:type="dxa"/>
            <w:vMerge w:val="continue"/>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p>
        </w:tc>
        <w:tc>
          <w:tcPr>
            <w:tcW w:w="1351" w:type="dxa"/>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评价结论</w:t>
            </w:r>
          </w:p>
        </w:tc>
        <w:tc>
          <w:tcPr>
            <w:tcW w:w="7101" w:type="dxa"/>
            <w:gridSpan w:val="11"/>
            <w:tcBorders>
              <w:tl2br w:val="nil"/>
              <w:tr2bl w:val="nil"/>
            </w:tcBorders>
            <w:noWrap w:val="0"/>
            <w:vAlign w:val="top"/>
          </w:tcPr>
          <w:p>
            <w:pPr>
              <w:spacing w:line="360" w:lineRule="auto"/>
              <w:jc w:val="center"/>
              <w:rPr>
                <w:rFonts w:hint="default" w:ascii="Times New Roman" w:hAnsi="Times New Roman" w:eastAsia="宋体" w:cs="Times New Roman"/>
                <w:b w:val="0"/>
                <w:bCs w:val="0"/>
                <w:color w:val="auto"/>
                <w:sz w:val="22"/>
                <w:szCs w:val="22"/>
                <w:u w:val="none" w:color="auto"/>
                <w:vertAlign w:val="baseline"/>
                <w:lang w:eastAsia="zh-CN"/>
              </w:rPr>
            </w:pPr>
            <w:r>
              <w:rPr>
                <w:rFonts w:hint="default" w:ascii="Times New Roman" w:hAnsi="Times New Roman" w:eastAsia="宋体" w:cs="Times New Roman"/>
                <w:b w:val="0"/>
                <w:bCs w:val="0"/>
                <w:color w:val="auto"/>
                <w:sz w:val="22"/>
                <w:szCs w:val="22"/>
                <w:u w:val="none" w:color="auto"/>
                <w:vertAlign w:val="baseline"/>
                <w:lang w:eastAsia="zh-CN"/>
              </w:rPr>
              <w:t>可以接受</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sym w:font="Wingdings 2" w:char="00A3"/>
            </w:r>
            <w:r>
              <w:rPr>
                <w:rFonts w:hint="default" w:ascii="Times New Roman" w:hAnsi="Times New Roman" w:eastAsia="宋体" w:cs="Times New Roman"/>
                <w:b w:val="0"/>
                <w:bCs w:val="0"/>
                <w:color w:val="auto"/>
                <w:sz w:val="22"/>
                <w:szCs w:val="22"/>
                <w:u w:val="none" w:color="auto"/>
                <w:vertAlign w:val="baseline"/>
                <w:lang w:eastAsia="zh-CN"/>
              </w:rPr>
              <w:t>；不可以接受</w:t>
            </w:r>
            <w:r>
              <w:rPr>
                <w:rFonts w:hint="default" w:ascii="Times New Roman" w:hAnsi="Times New Roman" w:eastAsia="宋体" w:cs="Times New Roman"/>
                <w:b w:val="0"/>
                <w:bCs w:val="0"/>
                <w:color w:val="auto"/>
                <w:sz w:val="22"/>
                <w:szCs w:val="22"/>
                <w:u w:val="none" w:color="auto"/>
                <w:vertAlign w:val="baseline"/>
                <w:lang w:val="en-US" w:eastAsia="zh-CN"/>
              </w:rPr>
              <w:t xml:space="preserve"> </w:t>
            </w:r>
            <w:r>
              <w:rPr>
                <w:rFonts w:hint="default" w:ascii="Times New Roman" w:hAnsi="Times New Roman" w:eastAsia="宋体" w:cs="Times New Roman"/>
                <w:b w:val="0"/>
                <w:bCs w:val="0"/>
                <w:color w:val="auto"/>
                <w:sz w:val="22"/>
                <w:szCs w:val="22"/>
                <w:u w:val="non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350" w:type="dxa"/>
            <w:gridSpan w:val="13"/>
            <w:tcBorders>
              <w:tl2br w:val="nil"/>
              <w:tr2bl w:val="nil"/>
            </w:tcBorders>
            <w:noWrap w:val="0"/>
            <w:vAlign w:val="top"/>
          </w:tcPr>
          <w:p>
            <w:pPr>
              <w:spacing w:line="360" w:lineRule="auto"/>
              <w:jc w:val="left"/>
              <w:rPr>
                <w:rFonts w:hint="default" w:ascii="Times New Roman" w:hAnsi="Times New Roman" w:eastAsia="宋体" w:cs="Times New Roman"/>
                <w:b w:val="0"/>
                <w:bCs w:val="0"/>
                <w:color w:val="auto"/>
                <w:sz w:val="22"/>
                <w:szCs w:val="22"/>
                <w:u w:val="none" w:color="auto"/>
                <w:vertAlign w:val="baseline"/>
                <w:lang w:val="en-US" w:eastAsia="zh-CN"/>
              </w:rPr>
            </w:pPr>
            <w:r>
              <w:rPr>
                <w:rFonts w:hint="default" w:ascii="Times New Roman" w:hAnsi="Times New Roman" w:eastAsia="宋体" w:cs="Times New Roman"/>
                <w:b w:val="0"/>
                <w:bCs w:val="0"/>
                <w:color w:val="auto"/>
                <w:sz w:val="22"/>
                <w:szCs w:val="22"/>
                <w:u w:val="none" w:color="auto"/>
                <w:vertAlign w:val="baseline"/>
                <w:lang w:eastAsia="zh-CN"/>
              </w:rPr>
              <w:t>注：“□”为勾选项，可</w:t>
            </w:r>
            <w:r>
              <w:rPr>
                <w:rFonts w:hint="default" w:ascii="Times New Roman" w:hAnsi="Times New Roman" w:eastAsia="宋体" w:cs="Times New Roman"/>
                <w:b w:val="0"/>
                <w:bCs w:val="0"/>
                <w:color w:val="auto"/>
                <w:sz w:val="22"/>
                <w:szCs w:val="22"/>
                <w:u w:val="none" w:color="auto"/>
                <w:vertAlign w:val="baseline"/>
                <w:lang w:eastAsia="zh-CN"/>
              </w:rPr>
              <w:sym w:font="Wingdings 2" w:char="0052"/>
            </w:r>
            <w:r>
              <w:rPr>
                <w:rFonts w:hint="default" w:ascii="Times New Roman" w:hAnsi="Times New Roman" w:eastAsia="宋体" w:cs="Times New Roman"/>
                <w:b w:val="0"/>
                <w:bCs w:val="0"/>
                <w:color w:val="auto"/>
                <w:sz w:val="22"/>
                <w:szCs w:val="22"/>
                <w:u w:val="none" w:color="auto"/>
                <w:vertAlign w:val="baseline"/>
                <w:lang w:eastAsia="zh-CN"/>
              </w:rPr>
              <w:t>：“（）”为内容填写项；“备注”为其他补充内容</w:t>
            </w:r>
          </w:p>
        </w:tc>
      </w:tr>
    </w:tbl>
    <w:p>
      <w:pPr>
        <w:bidi w:val="0"/>
        <w:rPr>
          <w:u w:val="none" w:color="auto"/>
        </w:rPr>
      </w:pPr>
    </w:p>
    <w:p>
      <w:pPr>
        <w:jc w:val="center"/>
        <w:rPr>
          <w:rFonts w:hint="default" w:ascii="Times New Roman" w:hAnsi="Times New Roman" w:eastAsia="宋体" w:cs="Times New Roman"/>
          <w:color w:val="auto"/>
          <w:sz w:val="24"/>
          <w:szCs w:val="22"/>
          <w:u w:val="none" w:color="auto"/>
          <w:lang w:eastAsia="zh-CN"/>
        </w:rPr>
      </w:pPr>
    </w:p>
    <w:p>
      <w:pPr>
        <w:jc w:val="center"/>
        <w:rPr>
          <w:rFonts w:hint="default" w:ascii="Times New Roman" w:hAnsi="Times New Roman" w:eastAsia="宋体" w:cs="Times New Roman"/>
          <w:color w:val="auto"/>
          <w:sz w:val="24"/>
          <w:szCs w:val="22"/>
          <w:u w:val="none" w:color="auto"/>
          <w:lang w:eastAsia="zh-CN"/>
        </w:rPr>
      </w:pPr>
    </w:p>
    <w:p>
      <w:pPr>
        <w:jc w:val="center"/>
        <w:rPr>
          <w:rFonts w:hint="default" w:ascii="Times New Roman" w:hAnsi="Times New Roman" w:eastAsia="宋体" w:cs="Times New Roman"/>
          <w:color w:val="auto"/>
          <w:sz w:val="24"/>
          <w:szCs w:val="22"/>
          <w:u w:val="none" w:color="auto"/>
          <w:lang w:eastAsia="zh-CN"/>
        </w:rPr>
      </w:pPr>
    </w:p>
    <w:p>
      <w:pPr>
        <w:jc w:val="center"/>
        <w:rPr>
          <w:rFonts w:hint="default" w:ascii="Times New Roman" w:hAnsi="Times New Roman" w:eastAsia="宋体" w:cs="Times New Roman"/>
          <w:color w:val="auto"/>
          <w:sz w:val="24"/>
          <w:szCs w:val="22"/>
          <w:u w:val="none" w:color="auto"/>
          <w:lang w:eastAsia="zh-CN"/>
        </w:rPr>
      </w:pPr>
    </w:p>
    <w:p>
      <w:pPr>
        <w:jc w:val="center"/>
        <w:rPr>
          <w:rFonts w:hint="default" w:ascii="Times New Roman" w:hAnsi="Times New Roman" w:eastAsia="宋体" w:cs="Times New Roman"/>
          <w:color w:val="auto"/>
          <w:sz w:val="24"/>
          <w:szCs w:val="22"/>
          <w:u w:val="none" w:color="auto"/>
          <w:lang w:eastAsia="zh-CN"/>
        </w:rPr>
      </w:pPr>
    </w:p>
    <w:p>
      <w:pPr>
        <w:jc w:val="center"/>
        <w:rPr>
          <w:rFonts w:hint="default" w:ascii="Times New Roman" w:hAnsi="Times New Roman" w:eastAsia="宋体" w:cs="Times New Roman"/>
          <w:b/>
          <w:bCs/>
          <w:color w:val="auto"/>
          <w:sz w:val="28"/>
          <w:szCs w:val="24"/>
          <w:u w:val="none" w:color="auto"/>
        </w:rPr>
      </w:pPr>
      <w:r>
        <w:rPr>
          <w:rFonts w:hint="default" w:ascii="Times New Roman" w:hAnsi="Times New Roman" w:eastAsia="宋体" w:cs="Times New Roman"/>
          <w:b/>
          <w:bCs/>
          <w:color w:val="auto"/>
          <w:sz w:val="28"/>
          <w:szCs w:val="24"/>
          <w:u w:val="none" w:color="auto"/>
          <w:lang w:eastAsia="zh-CN"/>
        </w:rPr>
        <w:t>表</w:t>
      </w:r>
      <w:r>
        <w:rPr>
          <w:rFonts w:hint="eastAsia" w:ascii="Times New Roman" w:hAnsi="Times New Roman" w:cs="Times New Roman"/>
          <w:b/>
          <w:bCs/>
          <w:color w:val="auto"/>
          <w:sz w:val="28"/>
          <w:szCs w:val="24"/>
          <w:u w:val="none" w:color="auto"/>
          <w:lang w:val="en-US" w:eastAsia="zh-CN"/>
        </w:rPr>
        <w:t>3</w:t>
      </w:r>
      <w:r>
        <w:rPr>
          <w:rFonts w:hint="default" w:ascii="Times New Roman" w:hAnsi="Times New Roman" w:eastAsia="宋体" w:cs="Times New Roman"/>
          <w:b/>
          <w:bCs/>
          <w:color w:val="auto"/>
          <w:sz w:val="28"/>
          <w:szCs w:val="24"/>
          <w:u w:val="none" w:color="auto"/>
          <w:lang w:val="en-US" w:eastAsia="zh-CN"/>
        </w:rPr>
        <w:t xml:space="preserve"> </w:t>
      </w:r>
      <w:r>
        <w:rPr>
          <w:rFonts w:hint="default" w:ascii="Times New Roman" w:hAnsi="Times New Roman" w:eastAsia="宋体" w:cs="Times New Roman"/>
          <w:b/>
          <w:bCs/>
          <w:color w:val="auto"/>
          <w:sz w:val="28"/>
          <w:szCs w:val="24"/>
          <w:u w:val="none" w:color="auto"/>
        </w:rPr>
        <w:t>环境风险评价自查表</w:t>
      </w:r>
    </w:p>
    <w:tbl>
      <w:tblPr>
        <w:tblStyle w:val="41"/>
        <w:tblW w:w="10260" w:type="dxa"/>
        <w:tblInd w:w="-36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83"/>
        <w:gridCol w:w="922"/>
        <w:gridCol w:w="372"/>
        <w:gridCol w:w="382"/>
        <w:gridCol w:w="445"/>
        <w:gridCol w:w="305"/>
        <w:gridCol w:w="199"/>
        <w:gridCol w:w="554"/>
        <w:gridCol w:w="753"/>
        <w:gridCol w:w="10"/>
        <w:gridCol w:w="800"/>
        <w:gridCol w:w="124"/>
        <w:gridCol w:w="14"/>
        <w:gridCol w:w="61"/>
        <w:gridCol w:w="720"/>
        <w:gridCol w:w="765"/>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工作内容</w:t>
            </w:r>
          </w:p>
        </w:tc>
        <w:tc>
          <w:tcPr>
            <w:tcW w:w="7806" w:type="dxa"/>
            <w:gridSpan w:val="16"/>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完成情况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71"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风险调查</w:t>
            </w:r>
          </w:p>
        </w:tc>
        <w:tc>
          <w:tcPr>
            <w:tcW w:w="1183"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危险物质</w:t>
            </w:r>
          </w:p>
        </w:tc>
        <w:tc>
          <w:tcPr>
            <w:tcW w:w="922"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名称</w:t>
            </w:r>
          </w:p>
        </w:tc>
        <w:tc>
          <w:tcPr>
            <w:tcW w:w="1504" w:type="dxa"/>
            <w:gridSpan w:val="4"/>
            <w:noWrap w:val="0"/>
            <w:vAlign w:val="center"/>
          </w:tcPr>
          <w:p>
            <w:pPr>
              <w:spacing w:line="360" w:lineRule="auto"/>
              <w:ind w:left="0" w:leftChars="0" w:firstLine="0" w:firstLineChars="0"/>
              <w:jc w:val="center"/>
              <w:rPr>
                <w:rFonts w:hint="eastAsia" w:ascii="Times New Roman" w:hAnsi="Times New Roman" w:eastAsia="宋体" w:cs="Times New Roman"/>
                <w:color w:val="auto"/>
                <w:sz w:val="21"/>
                <w:szCs w:val="21"/>
                <w:u w:val="none" w:color="auto"/>
                <w:lang w:val="en-US" w:eastAsia="zh-CN"/>
              </w:rPr>
            </w:pPr>
            <w:r>
              <w:rPr>
                <w:rFonts w:hint="eastAsia" w:cs="Times New Roman"/>
                <w:color w:val="auto"/>
                <w:sz w:val="21"/>
                <w:szCs w:val="21"/>
                <w:u w:val="none" w:color="auto"/>
                <w:lang w:val="en-US" w:eastAsia="zh-CN"/>
              </w:rPr>
              <w:t>/</w:t>
            </w:r>
          </w:p>
        </w:tc>
        <w:tc>
          <w:tcPr>
            <w:tcW w:w="1506" w:type="dxa"/>
            <w:gridSpan w:val="3"/>
            <w:noWrap w:val="0"/>
            <w:vAlign w:val="center"/>
          </w:tcPr>
          <w:p>
            <w:pPr>
              <w:spacing w:line="360" w:lineRule="auto"/>
              <w:ind w:left="0" w:leftChars="0" w:firstLine="0" w:firstLineChars="0"/>
              <w:jc w:val="center"/>
              <w:rPr>
                <w:rFonts w:hint="eastAsia" w:ascii="Times New Roman" w:hAnsi="Times New Roman" w:eastAsia="宋体" w:cs="Times New Roman"/>
                <w:color w:val="auto"/>
                <w:sz w:val="21"/>
                <w:szCs w:val="21"/>
                <w:u w:val="none" w:color="auto"/>
                <w:lang w:eastAsia="zh-CN"/>
              </w:rPr>
            </w:pPr>
          </w:p>
        </w:tc>
        <w:tc>
          <w:tcPr>
            <w:tcW w:w="1009" w:type="dxa"/>
            <w:gridSpan w:val="5"/>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720"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765"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380"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922"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存在总量/t</w:t>
            </w:r>
          </w:p>
        </w:tc>
        <w:tc>
          <w:tcPr>
            <w:tcW w:w="1504"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val="en-US" w:eastAsia="zh-CN"/>
              </w:rPr>
            </w:pPr>
            <w:r>
              <w:rPr>
                <w:rFonts w:hint="eastAsia" w:cs="Times New Roman"/>
                <w:color w:val="auto"/>
                <w:sz w:val="21"/>
                <w:szCs w:val="21"/>
                <w:u w:val="none" w:color="auto"/>
                <w:lang w:val="en-US" w:eastAsia="zh-CN"/>
              </w:rPr>
              <w:t>/</w:t>
            </w:r>
          </w:p>
        </w:tc>
        <w:tc>
          <w:tcPr>
            <w:tcW w:w="1506"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val="en-US" w:eastAsia="zh-CN"/>
              </w:rPr>
            </w:pPr>
          </w:p>
        </w:tc>
        <w:tc>
          <w:tcPr>
            <w:tcW w:w="1009" w:type="dxa"/>
            <w:gridSpan w:val="5"/>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720"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765"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380"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环境敏</w:t>
            </w:r>
          </w:p>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感性</w:t>
            </w:r>
          </w:p>
        </w:tc>
        <w:tc>
          <w:tcPr>
            <w:tcW w:w="922"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大气</w:t>
            </w:r>
          </w:p>
        </w:tc>
        <w:tc>
          <w:tcPr>
            <w:tcW w:w="3010" w:type="dxa"/>
            <w:gridSpan w:val="7"/>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500m范围内人口数___</w:t>
            </w:r>
            <w:r>
              <w:rPr>
                <w:rFonts w:hint="eastAsia" w:ascii="Times New Roman" w:hAnsi="Times New Roman" w:cs="Times New Roman"/>
                <w:color w:val="auto"/>
                <w:sz w:val="21"/>
                <w:szCs w:val="21"/>
                <w:u w:val="none" w:color="auto"/>
                <w:lang w:eastAsia="zh-CN"/>
              </w:rPr>
              <w:t>小于</w:t>
            </w:r>
            <w:r>
              <w:rPr>
                <w:rFonts w:hint="default" w:ascii="Times New Roman" w:hAnsi="Times New Roman" w:cs="Times New Roman"/>
                <w:color w:val="auto"/>
                <w:sz w:val="21"/>
                <w:szCs w:val="21"/>
                <w:u w:val="none" w:color="auto"/>
                <w:lang w:val="en-US" w:eastAsia="zh-CN"/>
              </w:rPr>
              <w:t>500</w:t>
            </w:r>
            <w:r>
              <w:rPr>
                <w:rFonts w:hint="default" w:ascii="Times New Roman" w:hAnsi="Times New Roman" w:cs="Times New Roman"/>
                <w:color w:val="auto"/>
                <w:sz w:val="21"/>
                <w:szCs w:val="21"/>
                <w:u w:val="none" w:color="auto"/>
              </w:rPr>
              <w:t>____人</w:t>
            </w:r>
          </w:p>
        </w:tc>
        <w:tc>
          <w:tcPr>
            <w:tcW w:w="3874" w:type="dxa"/>
            <w:gridSpan w:val="8"/>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5km范围内人口数_______人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922" w:type="dxa"/>
            <w:vMerge w:val="continue"/>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4739" w:type="dxa"/>
            <w:gridSpan w:val="13"/>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每公里管段周边200m范围内人口数（最大）</w:t>
            </w:r>
          </w:p>
        </w:tc>
        <w:tc>
          <w:tcPr>
            <w:tcW w:w="2145"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_______人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922"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地表水</w:t>
            </w:r>
          </w:p>
        </w:tc>
        <w:tc>
          <w:tcPr>
            <w:tcW w:w="1703" w:type="dxa"/>
            <w:gridSpan w:val="5"/>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地表水功能</w:t>
            </w:r>
          </w:p>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敏感性</w:t>
            </w:r>
          </w:p>
        </w:tc>
        <w:tc>
          <w:tcPr>
            <w:tcW w:w="1307"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F1□</w:t>
            </w:r>
          </w:p>
        </w:tc>
        <w:tc>
          <w:tcPr>
            <w:tcW w:w="1729" w:type="dxa"/>
            <w:gridSpan w:val="6"/>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F2□</w:t>
            </w:r>
          </w:p>
        </w:tc>
        <w:tc>
          <w:tcPr>
            <w:tcW w:w="2145"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F3</w:t>
            </w:r>
            <w:r>
              <w:rPr>
                <w:rFonts w:hint="default" w:ascii="Times New Roman" w:hAnsi="Times New Roman" w:cs="Times New Roman"/>
                <w:color w:val="auto"/>
                <w:sz w:val="21"/>
                <w:szCs w:val="21"/>
                <w:u w:val="none" w:color="auto"/>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922" w:type="dxa"/>
            <w:vMerge w:val="continue"/>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703" w:type="dxa"/>
            <w:gridSpan w:val="5"/>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环境敏感目</w:t>
            </w:r>
          </w:p>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标分级</w:t>
            </w:r>
          </w:p>
        </w:tc>
        <w:tc>
          <w:tcPr>
            <w:tcW w:w="1307"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S1□</w:t>
            </w:r>
          </w:p>
        </w:tc>
        <w:tc>
          <w:tcPr>
            <w:tcW w:w="1729" w:type="dxa"/>
            <w:gridSpan w:val="6"/>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S2□</w:t>
            </w:r>
          </w:p>
        </w:tc>
        <w:tc>
          <w:tcPr>
            <w:tcW w:w="2145"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S3</w:t>
            </w:r>
            <w:r>
              <w:rPr>
                <w:rFonts w:hint="default" w:ascii="Times New Roman" w:hAnsi="Times New Roman" w:cs="Times New Roman"/>
                <w:color w:val="auto"/>
                <w:sz w:val="21"/>
                <w:szCs w:val="21"/>
                <w:u w:val="none" w:color="auto"/>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922"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地下水</w:t>
            </w:r>
          </w:p>
        </w:tc>
        <w:tc>
          <w:tcPr>
            <w:tcW w:w="1703" w:type="dxa"/>
            <w:gridSpan w:val="5"/>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地下水功能</w:t>
            </w:r>
          </w:p>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敏感性</w:t>
            </w:r>
          </w:p>
        </w:tc>
        <w:tc>
          <w:tcPr>
            <w:tcW w:w="1307"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G1□</w:t>
            </w:r>
          </w:p>
        </w:tc>
        <w:tc>
          <w:tcPr>
            <w:tcW w:w="1729" w:type="dxa"/>
            <w:gridSpan w:val="6"/>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G2□</w:t>
            </w:r>
          </w:p>
        </w:tc>
        <w:tc>
          <w:tcPr>
            <w:tcW w:w="2145"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G3</w:t>
            </w:r>
            <w:r>
              <w:rPr>
                <w:rFonts w:hint="default" w:ascii="Times New Roman" w:hAnsi="Times New Roman" w:cs="Times New Roman"/>
                <w:color w:val="auto"/>
                <w:sz w:val="21"/>
                <w:szCs w:val="21"/>
                <w:u w:val="none" w:color="auto"/>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922" w:type="dxa"/>
            <w:vMerge w:val="continue"/>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703" w:type="dxa"/>
            <w:gridSpan w:val="5"/>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包气带防污性能</w:t>
            </w:r>
          </w:p>
        </w:tc>
        <w:tc>
          <w:tcPr>
            <w:tcW w:w="1307"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D1</w:t>
            </w:r>
            <w:r>
              <w:rPr>
                <w:rFonts w:hint="default" w:ascii="Times New Roman" w:hAnsi="Times New Roman" w:cs="Times New Roman"/>
                <w:color w:val="auto"/>
                <w:sz w:val="21"/>
                <w:szCs w:val="21"/>
                <w:u w:val="none" w:color="auto"/>
              </w:rPr>
              <w:sym w:font="Wingdings 2" w:char="00A3"/>
            </w:r>
          </w:p>
        </w:tc>
        <w:tc>
          <w:tcPr>
            <w:tcW w:w="1729" w:type="dxa"/>
            <w:gridSpan w:val="6"/>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D2□</w:t>
            </w:r>
          </w:p>
        </w:tc>
        <w:tc>
          <w:tcPr>
            <w:tcW w:w="2145" w:type="dxa"/>
            <w:gridSpan w:val="2"/>
            <w:tcBorders>
              <w:bottom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D3□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物质及工艺系统危险性</w:t>
            </w:r>
          </w:p>
        </w:tc>
        <w:tc>
          <w:tcPr>
            <w:tcW w:w="922" w:type="dxa"/>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Q值</w:t>
            </w:r>
          </w:p>
        </w:tc>
        <w:tc>
          <w:tcPr>
            <w:tcW w:w="1703" w:type="dxa"/>
            <w:gridSpan w:val="5"/>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Q＜1</w:t>
            </w:r>
            <w:r>
              <w:rPr>
                <w:rFonts w:hint="eastAsia" w:cs="Times New Roman"/>
                <w:color w:val="auto"/>
                <w:sz w:val="21"/>
                <w:szCs w:val="21"/>
                <w:u w:val="none" w:color="auto"/>
                <w:lang w:eastAsia="zh-CN"/>
              </w:rPr>
              <w:t>□</w:t>
            </w:r>
          </w:p>
        </w:tc>
        <w:tc>
          <w:tcPr>
            <w:tcW w:w="1307" w:type="dxa"/>
            <w:gridSpan w:val="2"/>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1≤Q＜10□</w:t>
            </w:r>
          </w:p>
        </w:tc>
        <w:tc>
          <w:tcPr>
            <w:tcW w:w="1729" w:type="dxa"/>
            <w:gridSpan w:val="6"/>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10≤Q＜100□</w:t>
            </w:r>
          </w:p>
        </w:tc>
        <w:tc>
          <w:tcPr>
            <w:tcW w:w="2145" w:type="dxa"/>
            <w:gridSpan w:val="2"/>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Q＞100□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922" w:type="dxa"/>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M值</w:t>
            </w:r>
          </w:p>
        </w:tc>
        <w:tc>
          <w:tcPr>
            <w:tcW w:w="1703" w:type="dxa"/>
            <w:gridSpan w:val="5"/>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M1</w:t>
            </w:r>
            <w:r>
              <w:rPr>
                <w:rFonts w:hint="default" w:ascii="Times New Roman" w:hAnsi="Times New Roman" w:cs="Times New Roman"/>
                <w:color w:val="auto"/>
                <w:sz w:val="21"/>
                <w:szCs w:val="21"/>
                <w:u w:val="none" w:color="auto"/>
                <w:lang w:eastAsia="zh-CN"/>
              </w:rPr>
              <w:t>□</w:t>
            </w:r>
          </w:p>
        </w:tc>
        <w:tc>
          <w:tcPr>
            <w:tcW w:w="1307" w:type="dxa"/>
            <w:gridSpan w:val="2"/>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M2□</w:t>
            </w:r>
          </w:p>
        </w:tc>
        <w:tc>
          <w:tcPr>
            <w:tcW w:w="1729" w:type="dxa"/>
            <w:gridSpan w:val="6"/>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M3□</w:t>
            </w:r>
          </w:p>
        </w:tc>
        <w:tc>
          <w:tcPr>
            <w:tcW w:w="2145" w:type="dxa"/>
            <w:gridSpan w:val="2"/>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M4</w:t>
            </w:r>
            <w:r>
              <w:rPr>
                <w:rFonts w:hint="eastAsia" w:cs="Times New Roman"/>
                <w:color w:val="auto"/>
                <w:sz w:val="21"/>
                <w:szCs w:val="21"/>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922" w:type="dxa"/>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P值</w:t>
            </w:r>
          </w:p>
        </w:tc>
        <w:tc>
          <w:tcPr>
            <w:tcW w:w="1703" w:type="dxa"/>
            <w:gridSpan w:val="5"/>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P1□</w:t>
            </w:r>
          </w:p>
        </w:tc>
        <w:tc>
          <w:tcPr>
            <w:tcW w:w="1307" w:type="dxa"/>
            <w:gridSpan w:val="2"/>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P2□</w:t>
            </w:r>
          </w:p>
        </w:tc>
        <w:tc>
          <w:tcPr>
            <w:tcW w:w="1729" w:type="dxa"/>
            <w:gridSpan w:val="6"/>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P3□</w:t>
            </w:r>
          </w:p>
        </w:tc>
        <w:tc>
          <w:tcPr>
            <w:tcW w:w="2145" w:type="dxa"/>
            <w:gridSpan w:val="2"/>
            <w:tcBorders>
              <w:top w:val="single" w:color="auto" w:sz="4" w:space="0"/>
            </w:tcBorders>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P4</w:t>
            </w:r>
            <w:r>
              <w:rPr>
                <w:rFonts w:hint="eastAsia" w:ascii="Times New Roman" w:hAnsi="Times New Roman" w:cs="Times New Roman"/>
                <w:color w:val="auto"/>
                <w:sz w:val="21"/>
                <w:szCs w:val="21"/>
                <w:u w:val="none" w:color="auto"/>
                <w:lang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环境敏感程度</w:t>
            </w:r>
          </w:p>
        </w:tc>
        <w:tc>
          <w:tcPr>
            <w:tcW w:w="1676"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大气</w:t>
            </w:r>
          </w:p>
        </w:tc>
        <w:tc>
          <w:tcPr>
            <w:tcW w:w="1503"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E1□</w:t>
            </w:r>
          </w:p>
        </w:tc>
        <w:tc>
          <w:tcPr>
            <w:tcW w:w="1687"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E2</w:t>
            </w:r>
            <w:r>
              <w:rPr>
                <w:rFonts w:hint="eastAsia" w:ascii="Times New Roman" w:hAnsi="Times New Roman" w:cs="Times New Roman"/>
                <w:color w:val="auto"/>
                <w:sz w:val="21"/>
                <w:szCs w:val="21"/>
                <w:u w:val="none" w:color="auto"/>
                <w:lang w:eastAsia="zh-CN"/>
              </w:rPr>
              <w:t>□</w:t>
            </w:r>
          </w:p>
        </w:tc>
        <w:tc>
          <w:tcPr>
            <w:tcW w:w="2940" w:type="dxa"/>
            <w:gridSpan w:val="5"/>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E3</w:t>
            </w:r>
            <w:r>
              <w:rPr>
                <w:rFonts w:hint="default" w:ascii="Times New Roman" w:hAnsi="Times New Roman" w:cs="Times New Roman"/>
                <w:color w:val="auto"/>
                <w:sz w:val="21"/>
                <w:szCs w:val="21"/>
                <w:u w:val="none" w:color="auto"/>
                <w:lang w:eastAsia="zh-CN"/>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676"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地表水</w:t>
            </w:r>
          </w:p>
        </w:tc>
        <w:tc>
          <w:tcPr>
            <w:tcW w:w="1503"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E1□</w:t>
            </w:r>
          </w:p>
        </w:tc>
        <w:tc>
          <w:tcPr>
            <w:tcW w:w="1687"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E2□</w:t>
            </w:r>
          </w:p>
        </w:tc>
        <w:tc>
          <w:tcPr>
            <w:tcW w:w="2940" w:type="dxa"/>
            <w:gridSpan w:val="5"/>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E3</w:t>
            </w:r>
            <w:r>
              <w:rPr>
                <w:rFonts w:hint="eastAsia" w:cs="Times New Roman"/>
                <w:color w:val="auto"/>
                <w:sz w:val="21"/>
                <w:szCs w:val="21"/>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676"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地下水</w:t>
            </w:r>
          </w:p>
        </w:tc>
        <w:tc>
          <w:tcPr>
            <w:tcW w:w="1503"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E1□</w:t>
            </w:r>
          </w:p>
        </w:tc>
        <w:tc>
          <w:tcPr>
            <w:tcW w:w="1687"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E2</w:t>
            </w:r>
            <w:r>
              <w:rPr>
                <w:rFonts w:hint="default" w:ascii="Times New Roman" w:hAnsi="Times New Roman" w:cs="Times New Roman"/>
                <w:color w:val="auto"/>
                <w:sz w:val="21"/>
                <w:szCs w:val="21"/>
                <w:u w:val="none" w:color="auto"/>
              </w:rPr>
              <w:sym w:font="Wingdings 2" w:char="00A3"/>
            </w:r>
          </w:p>
        </w:tc>
        <w:tc>
          <w:tcPr>
            <w:tcW w:w="2940" w:type="dxa"/>
            <w:gridSpan w:val="5"/>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E3</w:t>
            </w:r>
            <w:r>
              <w:rPr>
                <w:rFonts w:hint="eastAsia" w:ascii="Times New Roman" w:hAnsi="Times New Roman" w:cs="Times New Roman"/>
                <w:color w:val="auto"/>
                <w:sz w:val="21"/>
                <w:szCs w:val="21"/>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环境风险潜势</w:t>
            </w:r>
          </w:p>
        </w:tc>
        <w:tc>
          <w:tcPr>
            <w:tcW w:w="1294" w:type="dxa"/>
            <w:gridSpan w:val="2"/>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IV+</w:t>
            </w:r>
            <w:r>
              <w:rPr>
                <w:rFonts w:hint="eastAsia" w:ascii="Times New Roman" w:hAnsi="Times New Roman" w:cs="Times New Roman"/>
                <w:color w:val="auto"/>
                <w:sz w:val="21"/>
                <w:szCs w:val="21"/>
                <w:u w:val="none" w:color="auto"/>
                <w:lang w:eastAsia="zh-CN"/>
              </w:rPr>
              <w:t>□</w:t>
            </w:r>
          </w:p>
        </w:tc>
        <w:tc>
          <w:tcPr>
            <w:tcW w:w="1331"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IV□</w:t>
            </w:r>
          </w:p>
        </w:tc>
        <w:tc>
          <w:tcPr>
            <w:tcW w:w="1317"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III□</w:t>
            </w:r>
          </w:p>
        </w:tc>
        <w:tc>
          <w:tcPr>
            <w:tcW w:w="1719" w:type="dxa"/>
            <w:gridSpan w:val="5"/>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II□</w:t>
            </w:r>
          </w:p>
        </w:tc>
        <w:tc>
          <w:tcPr>
            <w:tcW w:w="2145" w:type="dxa"/>
            <w:gridSpan w:val="2"/>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I</w:t>
            </w:r>
            <w:r>
              <w:rPr>
                <w:rFonts w:hint="default" w:ascii="Times New Roman" w:hAnsi="Times New Roman" w:cs="Times New Roman"/>
                <w:color w:val="auto"/>
                <w:sz w:val="21"/>
                <w:szCs w:val="21"/>
                <w:u w:val="none" w:color="auto"/>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评价等级</w:t>
            </w:r>
          </w:p>
        </w:tc>
        <w:tc>
          <w:tcPr>
            <w:tcW w:w="1676"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一级□</w:t>
            </w:r>
          </w:p>
        </w:tc>
        <w:tc>
          <w:tcPr>
            <w:tcW w:w="1503"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二级□</w:t>
            </w:r>
          </w:p>
        </w:tc>
        <w:tc>
          <w:tcPr>
            <w:tcW w:w="1687"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三级□</w:t>
            </w:r>
          </w:p>
        </w:tc>
        <w:tc>
          <w:tcPr>
            <w:tcW w:w="2940" w:type="dxa"/>
            <w:gridSpan w:val="5"/>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简单分析</w:t>
            </w:r>
            <w:r>
              <w:rPr>
                <w:rFonts w:hint="default" w:ascii="Times New Roman" w:hAnsi="Times New Roman" w:cs="Times New Roman"/>
                <w:color w:val="auto"/>
                <w:sz w:val="21"/>
                <w:szCs w:val="21"/>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风险识别</w:t>
            </w:r>
          </w:p>
        </w:tc>
        <w:tc>
          <w:tcPr>
            <w:tcW w:w="1183"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物质危险性</w:t>
            </w:r>
          </w:p>
        </w:tc>
        <w:tc>
          <w:tcPr>
            <w:tcW w:w="3179" w:type="dxa"/>
            <w:gridSpan w:val="7"/>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有毒有害□</w:t>
            </w:r>
          </w:p>
        </w:tc>
        <w:tc>
          <w:tcPr>
            <w:tcW w:w="4627" w:type="dxa"/>
            <w:gridSpan w:val="9"/>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易燃易爆</w:t>
            </w:r>
            <w:r>
              <w:rPr>
                <w:rFonts w:hint="default" w:ascii="Times New Roman" w:hAnsi="Times New Roman" w:cs="Times New Roman"/>
                <w:color w:val="auto"/>
                <w:sz w:val="21"/>
                <w:szCs w:val="21"/>
                <w:u w:val="none" w:color="auto"/>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环境风险类型</w:t>
            </w:r>
          </w:p>
        </w:tc>
        <w:tc>
          <w:tcPr>
            <w:tcW w:w="3179" w:type="dxa"/>
            <w:gridSpan w:val="7"/>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泄漏</w:t>
            </w:r>
            <w:r>
              <w:rPr>
                <w:rFonts w:hint="default" w:ascii="Times New Roman" w:hAnsi="Times New Roman" w:cs="Times New Roman"/>
                <w:color w:val="auto"/>
                <w:sz w:val="21"/>
                <w:szCs w:val="21"/>
                <w:u w:val="none" w:color="auto"/>
              </w:rPr>
              <w:sym w:font="Wingdings 2" w:char="0052"/>
            </w:r>
          </w:p>
        </w:tc>
        <w:tc>
          <w:tcPr>
            <w:tcW w:w="4627" w:type="dxa"/>
            <w:gridSpan w:val="9"/>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火灾、爆炸引发伴生/次生污染物排放</w:t>
            </w:r>
            <w:r>
              <w:rPr>
                <w:rFonts w:hint="default" w:ascii="Times New Roman" w:hAnsi="Times New Roman" w:cs="Times New Roman"/>
                <w:color w:val="auto"/>
                <w:sz w:val="21"/>
                <w:szCs w:val="21"/>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影响途径</w:t>
            </w:r>
          </w:p>
        </w:tc>
        <w:tc>
          <w:tcPr>
            <w:tcW w:w="2121"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大气</w:t>
            </w:r>
            <w:r>
              <w:rPr>
                <w:rFonts w:hint="default" w:ascii="Times New Roman" w:hAnsi="Times New Roman" w:cs="Times New Roman"/>
                <w:color w:val="auto"/>
                <w:sz w:val="21"/>
                <w:szCs w:val="21"/>
                <w:u w:val="none" w:color="auto"/>
                <w:lang w:eastAsia="zh-CN"/>
              </w:rPr>
              <w:sym w:font="Wingdings 2" w:char="0052"/>
            </w:r>
          </w:p>
        </w:tc>
        <w:tc>
          <w:tcPr>
            <w:tcW w:w="2621" w:type="dxa"/>
            <w:gridSpan w:val="6"/>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地表水</w:t>
            </w:r>
            <w:r>
              <w:rPr>
                <w:rFonts w:hint="default" w:ascii="Times New Roman" w:hAnsi="Times New Roman" w:cs="Times New Roman"/>
                <w:color w:val="auto"/>
                <w:sz w:val="21"/>
                <w:szCs w:val="21"/>
                <w:u w:val="none" w:color="auto"/>
                <w:lang w:eastAsia="zh-CN"/>
              </w:rPr>
              <w:t>☑</w:t>
            </w:r>
          </w:p>
        </w:tc>
        <w:tc>
          <w:tcPr>
            <w:tcW w:w="3064" w:type="dxa"/>
            <w:gridSpan w:val="6"/>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地下水□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54" w:type="dxa"/>
            <w:gridSpan w:val="2"/>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事故情形分析</w:t>
            </w:r>
          </w:p>
        </w:tc>
        <w:tc>
          <w:tcPr>
            <w:tcW w:w="1676"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源强设定方法</w:t>
            </w:r>
          </w:p>
        </w:tc>
        <w:tc>
          <w:tcPr>
            <w:tcW w:w="1503"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计算法□</w:t>
            </w:r>
          </w:p>
        </w:tc>
        <w:tc>
          <w:tcPr>
            <w:tcW w:w="1563"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经验估算法□</w:t>
            </w:r>
          </w:p>
        </w:tc>
        <w:tc>
          <w:tcPr>
            <w:tcW w:w="3064" w:type="dxa"/>
            <w:gridSpan w:val="6"/>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其他估算法</w:t>
            </w:r>
            <w:r>
              <w:rPr>
                <w:rFonts w:hint="default" w:ascii="Times New Roman" w:hAnsi="Times New Roman" w:cs="Times New Roman"/>
                <w:color w:val="auto"/>
                <w:sz w:val="21"/>
                <w:szCs w:val="21"/>
                <w:u w:val="none" w:color="auto"/>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71"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风险预测与评价</w:t>
            </w:r>
          </w:p>
        </w:tc>
        <w:tc>
          <w:tcPr>
            <w:tcW w:w="1183"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大气</w:t>
            </w:r>
          </w:p>
        </w:tc>
        <w:tc>
          <w:tcPr>
            <w:tcW w:w="1676" w:type="dxa"/>
            <w:gridSpan w:val="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预测模型</w:t>
            </w:r>
          </w:p>
        </w:tc>
        <w:tc>
          <w:tcPr>
            <w:tcW w:w="1503"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SLAB□</w:t>
            </w:r>
          </w:p>
        </w:tc>
        <w:tc>
          <w:tcPr>
            <w:tcW w:w="1701" w:type="dxa"/>
            <w:gridSpan w:val="5"/>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AFTOX□</w:t>
            </w:r>
          </w:p>
        </w:tc>
        <w:tc>
          <w:tcPr>
            <w:tcW w:w="2926" w:type="dxa"/>
            <w:gridSpan w:val="4"/>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其他</w:t>
            </w:r>
            <w:r>
              <w:rPr>
                <w:rFonts w:hint="default" w:ascii="Times New Roman" w:hAnsi="Times New Roman" w:cs="Times New Roman"/>
                <w:color w:val="auto"/>
                <w:sz w:val="21"/>
                <w:szCs w:val="21"/>
                <w:u w:val="none" w:color="auto"/>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676" w:type="dxa"/>
            <w:gridSpan w:val="3"/>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预测结果</w:t>
            </w:r>
          </w:p>
        </w:tc>
        <w:tc>
          <w:tcPr>
            <w:tcW w:w="6130" w:type="dxa"/>
            <w:gridSpan w:val="1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大气毒性终点浓度-1  最大影响范围___m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676" w:type="dxa"/>
            <w:gridSpan w:val="3"/>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6130" w:type="dxa"/>
            <w:gridSpan w:val="13"/>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大气毒性终点浓度-2  最大影响范围___m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地表水</w:t>
            </w:r>
          </w:p>
        </w:tc>
        <w:tc>
          <w:tcPr>
            <w:tcW w:w="7806" w:type="dxa"/>
            <w:gridSpan w:val="16"/>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最近环境敏感目标_____，到达时间______h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restart"/>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地下水</w:t>
            </w:r>
          </w:p>
        </w:tc>
        <w:tc>
          <w:tcPr>
            <w:tcW w:w="7806" w:type="dxa"/>
            <w:gridSpan w:val="16"/>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下游厂区边界到达时间_____d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71"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1183" w:type="dxa"/>
            <w:vMerge w:val="continue"/>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p>
        </w:tc>
        <w:tc>
          <w:tcPr>
            <w:tcW w:w="7806" w:type="dxa"/>
            <w:gridSpan w:val="16"/>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最近环境敏感目标_____，到达时间______d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71"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重点风险</w:t>
            </w:r>
          </w:p>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防范措施</w:t>
            </w:r>
          </w:p>
        </w:tc>
        <w:tc>
          <w:tcPr>
            <w:tcW w:w="8989" w:type="dxa"/>
            <w:gridSpan w:val="17"/>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地面防渗，设置围堰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271" w:type="dxa"/>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评价结论与建议</w:t>
            </w:r>
          </w:p>
        </w:tc>
        <w:tc>
          <w:tcPr>
            <w:tcW w:w="8989" w:type="dxa"/>
            <w:gridSpan w:val="17"/>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综上所述，项目存在一定风险，在采取相应的风险防范措施下，项目的风险处于环境可接受的水平，项目建设从环境风险角度分析可行</w:t>
            </w:r>
            <w:r>
              <w:rPr>
                <w:rFonts w:hint="default" w:ascii="Times New Roman" w:hAnsi="Times New Roman" w:cs="Times New Roman"/>
                <w:color w:val="auto"/>
                <w:sz w:val="21"/>
                <w:szCs w:val="21"/>
                <w:u w:val="none" w:color="auto"/>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260" w:type="dxa"/>
            <w:gridSpan w:val="18"/>
            <w:noWrap w:val="0"/>
            <w:vAlign w:val="center"/>
          </w:tcPr>
          <w:p>
            <w:pPr>
              <w:spacing w:line="36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注：“□”为勾选项；“_____”为填写项</w:t>
            </w:r>
          </w:p>
        </w:tc>
      </w:tr>
    </w:tbl>
    <w:p>
      <w:pPr>
        <w:keepNext w:val="0"/>
        <w:keepLines w:val="0"/>
        <w:pageBreakBefore w:val="0"/>
        <w:widowControl w:val="0"/>
        <w:kinsoku/>
        <w:wordWrap/>
        <w:overflowPunct/>
        <w:topLinePunct w:val="0"/>
        <w:autoSpaceDE/>
        <w:autoSpaceDN/>
        <w:bidi w:val="0"/>
        <w:adjustRightInd/>
        <w:snapToGrid/>
        <w:spacing w:line="351" w:lineRule="auto"/>
        <w:jc w:val="center"/>
        <w:textAlignment w:val="auto"/>
        <w:outlineLvl w:val="0"/>
        <w:rPr>
          <w:rFonts w:hint="default" w:ascii="Times New Roman" w:hAnsi="Times New Roman" w:cs="Times New Roman"/>
          <w:b/>
          <w:bCs/>
          <w:color w:val="auto"/>
          <w:sz w:val="36"/>
          <w:szCs w:val="36"/>
          <w:u w:val="none" w:color="auto"/>
        </w:rPr>
      </w:pPr>
    </w:p>
    <w:p>
      <w:pPr>
        <w:keepNext w:val="0"/>
        <w:keepLines w:val="0"/>
        <w:pageBreakBefore w:val="0"/>
        <w:widowControl w:val="0"/>
        <w:kinsoku/>
        <w:wordWrap/>
        <w:overflowPunct/>
        <w:topLinePunct w:val="0"/>
        <w:autoSpaceDE/>
        <w:autoSpaceDN/>
        <w:bidi w:val="0"/>
        <w:adjustRightInd/>
        <w:snapToGrid/>
        <w:spacing w:line="351" w:lineRule="auto"/>
        <w:jc w:val="center"/>
        <w:textAlignment w:val="auto"/>
        <w:outlineLvl w:val="0"/>
        <w:rPr>
          <w:rFonts w:hint="default" w:ascii="Times New Roman" w:hAnsi="Times New Roman" w:cs="Times New Roman"/>
          <w:b/>
          <w:bCs/>
          <w:color w:val="auto"/>
          <w:sz w:val="36"/>
          <w:szCs w:val="36"/>
          <w:u w:val="none" w:color="auto"/>
        </w:rPr>
      </w:pPr>
    </w:p>
    <w:p>
      <w:pPr>
        <w:keepNext w:val="0"/>
        <w:keepLines w:val="0"/>
        <w:pageBreakBefore w:val="0"/>
        <w:widowControl w:val="0"/>
        <w:kinsoku/>
        <w:wordWrap/>
        <w:overflowPunct/>
        <w:topLinePunct w:val="0"/>
        <w:autoSpaceDE/>
        <w:autoSpaceDN/>
        <w:bidi w:val="0"/>
        <w:adjustRightInd/>
        <w:snapToGrid/>
        <w:spacing w:line="351" w:lineRule="auto"/>
        <w:jc w:val="center"/>
        <w:textAlignment w:val="auto"/>
        <w:outlineLvl w:val="0"/>
        <w:rPr>
          <w:rFonts w:hint="default" w:ascii="Times New Roman" w:hAnsi="Times New Roman" w:cs="Times New Roman"/>
          <w:b/>
          <w:bCs/>
          <w:color w:val="auto"/>
          <w:sz w:val="36"/>
          <w:szCs w:val="36"/>
          <w:u w:val="none" w:color="auto"/>
        </w:rPr>
      </w:pPr>
    </w:p>
    <w:p>
      <w:pPr>
        <w:pStyle w:val="34"/>
        <w:rPr>
          <w:rFonts w:hint="default" w:ascii="Times New Roman" w:hAnsi="Times New Roman" w:cs="Times New Roman"/>
          <w:b/>
          <w:bCs/>
          <w:color w:val="auto"/>
          <w:sz w:val="36"/>
          <w:szCs w:val="36"/>
          <w:u w:val="none" w:color="auto"/>
        </w:rPr>
      </w:pPr>
    </w:p>
    <w:p>
      <w:pPr>
        <w:rPr>
          <w:rFonts w:hint="default" w:ascii="Times New Roman" w:hAnsi="Times New Roman" w:cs="Times New Roman"/>
          <w:b/>
          <w:bCs/>
          <w:color w:val="auto"/>
          <w:sz w:val="36"/>
          <w:szCs w:val="36"/>
          <w:u w:val="none" w:color="auto"/>
        </w:rPr>
      </w:pPr>
    </w:p>
    <w:p>
      <w:pPr>
        <w:pStyle w:val="34"/>
        <w:rPr>
          <w:rFonts w:hint="default" w:ascii="Times New Roman" w:hAnsi="Times New Roman" w:cs="Times New Roman"/>
          <w:b/>
          <w:bCs/>
          <w:color w:val="auto"/>
          <w:sz w:val="36"/>
          <w:szCs w:val="36"/>
          <w:u w:val="none" w:color="auto"/>
        </w:rPr>
      </w:pPr>
    </w:p>
    <w:p>
      <w:pPr>
        <w:rPr>
          <w:rFonts w:hint="default" w:ascii="Times New Roman" w:hAnsi="Times New Roman" w:cs="Times New Roman"/>
          <w:b/>
          <w:bCs/>
          <w:color w:val="auto"/>
          <w:sz w:val="36"/>
          <w:szCs w:val="36"/>
          <w:u w:val="none" w:color="auto"/>
        </w:rPr>
      </w:pPr>
    </w:p>
    <w:p>
      <w:pPr>
        <w:pStyle w:val="34"/>
        <w:rPr>
          <w:rFonts w:hint="default"/>
          <w:u w:val="none" w:color="auto"/>
        </w:rPr>
      </w:pPr>
    </w:p>
    <w:p>
      <w:pPr>
        <w:keepNext w:val="0"/>
        <w:keepLines w:val="0"/>
        <w:pageBreakBefore w:val="0"/>
        <w:widowControl w:val="0"/>
        <w:kinsoku/>
        <w:wordWrap/>
        <w:overflowPunct/>
        <w:topLinePunct w:val="0"/>
        <w:autoSpaceDE/>
        <w:autoSpaceDN/>
        <w:bidi w:val="0"/>
        <w:adjustRightInd/>
        <w:snapToGrid/>
        <w:spacing w:line="351" w:lineRule="auto"/>
        <w:jc w:val="center"/>
        <w:textAlignment w:val="auto"/>
        <w:outlineLvl w:val="0"/>
        <w:rPr>
          <w:rFonts w:hint="default" w:ascii="Times New Roman" w:hAnsi="Times New Roman" w:cs="Times New Roman"/>
          <w:b/>
          <w:bCs/>
          <w:color w:val="auto"/>
          <w:sz w:val="36"/>
          <w:szCs w:val="36"/>
          <w:u w:val="none" w:color="auto"/>
        </w:rPr>
      </w:pPr>
    </w:p>
    <w:p>
      <w:pPr>
        <w:keepNext w:val="0"/>
        <w:keepLines w:val="0"/>
        <w:pageBreakBefore w:val="0"/>
        <w:widowControl w:val="0"/>
        <w:kinsoku/>
        <w:wordWrap/>
        <w:overflowPunct/>
        <w:topLinePunct w:val="0"/>
        <w:autoSpaceDE/>
        <w:autoSpaceDN/>
        <w:bidi w:val="0"/>
        <w:adjustRightInd/>
        <w:snapToGrid/>
        <w:spacing w:line="351" w:lineRule="auto"/>
        <w:jc w:val="center"/>
        <w:textAlignment w:val="auto"/>
        <w:outlineLvl w:val="0"/>
        <w:rPr>
          <w:rFonts w:hint="default" w:ascii="Times New Roman" w:hAnsi="Times New Roman" w:cs="Times New Roman"/>
          <w:b/>
          <w:bCs/>
          <w:color w:val="auto"/>
          <w:sz w:val="36"/>
          <w:szCs w:val="36"/>
          <w:u w:val="none" w:color="auto"/>
        </w:rPr>
      </w:pPr>
      <w:bookmarkStart w:id="14" w:name="_Toc107"/>
      <w:r>
        <w:rPr>
          <w:rFonts w:hint="default" w:ascii="Times New Roman" w:hAnsi="Times New Roman" w:cs="Times New Roman"/>
          <w:b/>
          <w:bCs/>
          <w:color w:val="auto"/>
          <w:sz w:val="36"/>
          <w:szCs w:val="36"/>
          <w:u w:val="none" w:color="auto"/>
        </w:rPr>
        <w:t>注  释</w:t>
      </w:r>
      <w:bookmarkEnd w:id="14"/>
    </w:p>
    <w:p>
      <w:pPr>
        <w:keepNext w:val="0"/>
        <w:keepLines w:val="0"/>
        <w:pageBreakBefore w:val="0"/>
        <w:widowControl w:val="0"/>
        <w:numPr>
          <w:ilvl w:val="0"/>
          <w:numId w:val="8"/>
        </w:numPr>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本报告表附以下附件、附图：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附件1  委托书</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rPr>
        <w:t xml:space="preserve">附件2  </w:t>
      </w:r>
      <w:r>
        <w:rPr>
          <w:rFonts w:hint="default" w:ascii="Times New Roman" w:hAnsi="Times New Roman" w:cs="Times New Roman"/>
          <w:color w:val="auto"/>
          <w:sz w:val="24"/>
          <w:szCs w:val="24"/>
          <w:u w:val="none" w:color="auto"/>
          <w:lang w:eastAsia="zh-CN"/>
        </w:rPr>
        <w:t>营业执照</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eastAsia="宋体" w:cs="Times New Roman"/>
          <w:color w:val="auto"/>
          <w:sz w:val="24"/>
          <w:szCs w:val="24"/>
          <w:u w:val="none" w:color="auto"/>
          <w:lang w:val="en-US" w:eastAsia="zh-CN"/>
        </w:rPr>
      </w:pPr>
      <w:r>
        <w:rPr>
          <w:rFonts w:hint="default" w:ascii="Times New Roman" w:hAnsi="Times New Roman" w:cs="Times New Roman"/>
          <w:color w:val="auto"/>
          <w:sz w:val="24"/>
          <w:szCs w:val="24"/>
          <w:u w:val="none" w:color="auto"/>
        </w:rPr>
        <w:t xml:space="preserve">附件3  </w:t>
      </w:r>
      <w:r>
        <w:rPr>
          <w:rFonts w:hint="eastAsia" w:cs="Times New Roman"/>
          <w:color w:val="auto"/>
          <w:sz w:val="24"/>
          <w:szCs w:val="24"/>
          <w:u w:val="none" w:color="auto"/>
          <w:lang w:val="en-US" w:eastAsia="zh-CN"/>
        </w:rPr>
        <w:t>厂房购买合同</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rPr>
        <w:t>附件</w:t>
      </w:r>
      <w:r>
        <w:rPr>
          <w:rFonts w:hint="eastAsia"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 xml:space="preserve">  </w:t>
      </w:r>
      <w:r>
        <w:rPr>
          <w:rFonts w:hint="eastAsia" w:cs="Times New Roman"/>
          <w:color w:val="auto"/>
          <w:sz w:val="24"/>
          <w:szCs w:val="24"/>
          <w:u w:val="none" w:color="auto"/>
          <w:lang w:eastAsia="zh-CN"/>
        </w:rPr>
        <w:t>联审意见</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附件</w:t>
      </w:r>
      <w:r>
        <w:rPr>
          <w:rFonts w:hint="eastAsia"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lang w:val="en-US" w:eastAsia="zh-CN"/>
        </w:rPr>
        <w:t xml:space="preserve"> </w:t>
      </w:r>
      <w:r>
        <w:rPr>
          <w:rFonts w:hint="eastAsia" w:ascii="Times New Roman" w:hAnsi="Times New Roman" w:cs="Times New Roman"/>
          <w:color w:val="auto"/>
          <w:sz w:val="24"/>
          <w:szCs w:val="24"/>
          <w:u w:val="none" w:color="auto"/>
          <w:lang w:val="en-US" w:eastAsia="zh-CN"/>
        </w:rPr>
        <w:t xml:space="preserve"> </w:t>
      </w:r>
      <w:r>
        <w:rPr>
          <w:rFonts w:hint="eastAsia" w:cs="Times New Roman"/>
          <w:color w:val="auto"/>
          <w:sz w:val="24"/>
          <w:szCs w:val="24"/>
          <w:u w:val="none" w:color="auto"/>
          <w:lang w:val="en-US" w:eastAsia="zh-CN"/>
        </w:rPr>
        <w:t>环评检测报告及</w:t>
      </w:r>
      <w:r>
        <w:rPr>
          <w:rFonts w:hint="eastAsia" w:ascii="Times New Roman" w:hAnsi="Times New Roman" w:cs="Times New Roman"/>
          <w:color w:val="auto"/>
          <w:sz w:val="24"/>
          <w:szCs w:val="24"/>
          <w:u w:val="none" w:color="auto"/>
          <w:lang w:val="en-US" w:eastAsia="zh-CN"/>
        </w:rPr>
        <w:t>质保单</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cs="Times New Roman"/>
          <w:color w:val="auto"/>
          <w:sz w:val="24"/>
          <w:szCs w:val="24"/>
          <w:u w:val="none" w:color="auto"/>
          <w:lang w:val="en-US" w:eastAsia="zh-CN"/>
        </w:rPr>
      </w:pPr>
      <w:r>
        <w:rPr>
          <w:rFonts w:hint="eastAsia" w:cs="Times New Roman"/>
          <w:color w:val="auto"/>
          <w:sz w:val="24"/>
          <w:szCs w:val="24"/>
          <w:u w:val="none" w:color="auto"/>
          <w:lang w:val="en-US" w:eastAsia="zh-CN"/>
        </w:rPr>
        <w:t>附件6  建设项目入园协议</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cs="Times New Roman"/>
          <w:color w:val="auto"/>
          <w:sz w:val="24"/>
          <w:szCs w:val="24"/>
          <w:u w:val="none" w:color="auto"/>
          <w:lang w:val="en-US" w:eastAsia="zh-CN"/>
        </w:rPr>
      </w:pPr>
      <w:r>
        <w:rPr>
          <w:rFonts w:hint="eastAsia" w:cs="Times New Roman"/>
          <w:color w:val="auto"/>
          <w:sz w:val="24"/>
          <w:szCs w:val="24"/>
          <w:u w:val="none" w:color="auto"/>
          <w:lang w:val="en-US" w:eastAsia="zh-CN"/>
        </w:rPr>
        <w:t>附件7  湘阴县金龙新区工业区规划环境影响报告书的审查意见</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ascii="Times New Roman" w:hAnsi="Times New Roman" w:cs="Times New Roman"/>
          <w:color w:val="auto"/>
          <w:sz w:val="24"/>
          <w:szCs w:val="24"/>
          <w:u w:val="none" w:color="auto"/>
          <w:lang w:val="en-US" w:eastAsia="zh-CN"/>
        </w:rPr>
      </w:pPr>
      <w:r>
        <w:rPr>
          <w:rFonts w:hint="eastAsia" w:cs="Times New Roman"/>
          <w:color w:val="auto"/>
          <w:sz w:val="24"/>
          <w:szCs w:val="24"/>
          <w:u w:val="none" w:color="auto"/>
          <w:lang w:val="en-US" w:eastAsia="zh-CN"/>
        </w:rPr>
        <w:t>附件8  专家意见及专家签到表</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附图1  本项目地理位置图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ascii="Times New Roman" w:hAnsi="Times New Roman" w:eastAsia="宋体" w:cs="Times New Roman"/>
          <w:color w:val="auto"/>
          <w:sz w:val="24"/>
          <w:szCs w:val="24"/>
          <w:u w:val="none" w:color="auto"/>
          <w:lang w:eastAsia="zh-CN"/>
        </w:rPr>
      </w:pPr>
      <w:r>
        <w:rPr>
          <w:rFonts w:hint="default" w:ascii="Times New Roman" w:hAnsi="Times New Roman" w:cs="Times New Roman"/>
          <w:color w:val="auto"/>
          <w:sz w:val="24"/>
          <w:szCs w:val="24"/>
          <w:u w:val="none" w:color="auto"/>
        </w:rPr>
        <w:t>附图2</w:t>
      </w:r>
      <w:r>
        <w:rPr>
          <w:rFonts w:hint="eastAsia" w:cs="Times New Roman"/>
          <w:color w:val="auto"/>
          <w:sz w:val="24"/>
          <w:szCs w:val="24"/>
          <w:u w:val="none" w:color="auto"/>
          <w:lang w:val="en-US" w:eastAsia="zh-CN"/>
        </w:rPr>
        <w:t>-1</w:t>
      </w:r>
      <w:r>
        <w:rPr>
          <w:rFonts w:hint="default" w:ascii="Times New Roman" w:hAnsi="Times New Roman" w:cs="Times New Roman"/>
          <w:color w:val="auto"/>
          <w:sz w:val="24"/>
          <w:szCs w:val="24"/>
          <w:u w:val="none" w:color="auto"/>
        </w:rPr>
        <w:t xml:space="preserve">  项目平面布置图</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一楼</w:t>
      </w:r>
      <w:r>
        <w:rPr>
          <w:rFonts w:hint="eastAsia" w:cs="Times New Roman"/>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cs="Times New Roman"/>
          <w:color w:val="auto"/>
          <w:sz w:val="24"/>
          <w:szCs w:val="24"/>
          <w:u w:val="none" w:color="auto"/>
          <w:lang w:eastAsia="zh-CN"/>
        </w:rPr>
      </w:pPr>
      <w:r>
        <w:rPr>
          <w:rFonts w:hint="default" w:ascii="Times New Roman" w:hAnsi="Times New Roman" w:cs="Times New Roman"/>
          <w:color w:val="auto"/>
          <w:sz w:val="24"/>
          <w:szCs w:val="24"/>
          <w:u w:val="none" w:color="auto"/>
        </w:rPr>
        <w:t>附图2</w:t>
      </w:r>
      <w:r>
        <w:rPr>
          <w:rFonts w:hint="eastAsia" w:cs="Times New Roman"/>
          <w:color w:val="auto"/>
          <w:sz w:val="24"/>
          <w:szCs w:val="24"/>
          <w:u w:val="none" w:color="auto"/>
          <w:lang w:val="en-US" w:eastAsia="zh-CN"/>
        </w:rPr>
        <w:t>-2</w:t>
      </w:r>
      <w:r>
        <w:rPr>
          <w:rFonts w:hint="default" w:ascii="Times New Roman" w:hAnsi="Times New Roman" w:cs="Times New Roman"/>
          <w:color w:val="auto"/>
          <w:sz w:val="24"/>
          <w:szCs w:val="24"/>
          <w:u w:val="none" w:color="auto"/>
        </w:rPr>
        <w:t xml:space="preserve">  项目平面布置图</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二楼</w:t>
      </w:r>
      <w:r>
        <w:rPr>
          <w:rFonts w:hint="eastAsia" w:cs="Times New Roman"/>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eastAsia" w:cs="Times New Roman"/>
          <w:color w:val="auto"/>
          <w:sz w:val="24"/>
          <w:szCs w:val="24"/>
          <w:u w:val="none" w:color="auto"/>
          <w:lang w:eastAsia="zh-CN"/>
        </w:rPr>
      </w:pPr>
      <w:r>
        <w:rPr>
          <w:rFonts w:hint="default" w:ascii="Times New Roman" w:hAnsi="Times New Roman" w:cs="Times New Roman"/>
          <w:color w:val="auto"/>
          <w:sz w:val="24"/>
          <w:szCs w:val="24"/>
          <w:u w:val="none" w:color="auto"/>
        </w:rPr>
        <w:t>附图2</w:t>
      </w:r>
      <w:r>
        <w:rPr>
          <w:rFonts w:hint="eastAsia" w:cs="Times New Roman"/>
          <w:color w:val="auto"/>
          <w:sz w:val="24"/>
          <w:szCs w:val="24"/>
          <w:u w:val="none" w:color="auto"/>
          <w:lang w:val="en-US" w:eastAsia="zh-CN"/>
        </w:rPr>
        <w:t>-3</w:t>
      </w:r>
      <w:r>
        <w:rPr>
          <w:rFonts w:hint="default" w:ascii="Times New Roman" w:hAnsi="Times New Roman" w:cs="Times New Roman"/>
          <w:color w:val="auto"/>
          <w:sz w:val="24"/>
          <w:szCs w:val="24"/>
          <w:u w:val="none" w:color="auto"/>
        </w:rPr>
        <w:t xml:space="preserve">  项目平面布置图</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三楼</w:t>
      </w:r>
      <w:r>
        <w:rPr>
          <w:rFonts w:hint="eastAsia" w:cs="Times New Roman"/>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附图2</w:t>
      </w:r>
      <w:r>
        <w:rPr>
          <w:rFonts w:hint="eastAsia"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 xml:space="preserve">  项目平面布置图</w:t>
      </w:r>
      <w:r>
        <w:rPr>
          <w:rFonts w:hint="eastAsia" w:cs="Times New Roman"/>
          <w:color w:val="auto"/>
          <w:sz w:val="24"/>
          <w:szCs w:val="24"/>
          <w:u w:val="none" w:color="auto"/>
          <w:lang w:eastAsia="zh-CN"/>
        </w:rPr>
        <w:t>（</w:t>
      </w:r>
      <w:r>
        <w:rPr>
          <w:rFonts w:hint="eastAsia" w:cs="Times New Roman"/>
          <w:color w:val="auto"/>
          <w:sz w:val="24"/>
          <w:szCs w:val="24"/>
          <w:u w:val="none" w:color="auto"/>
          <w:lang w:val="en-US" w:eastAsia="zh-CN"/>
        </w:rPr>
        <w:t>四楼</w:t>
      </w:r>
      <w:r>
        <w:rPr>
          <w:rFonts w:hint="eastAsia" w:cs="Times New Roman"/>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附图3  声环境现状监测点位图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附图</w:t>
      </w:r>
      <w:r>
        <w:rPr>
          <w:rFonts w:hint="eastAsia" w:ascii="Times New Roman" w:hAnsi="Times New Roman" w:cs="Times New Roman"/>
          <w:color w:val="auto"/>
          <w:sz w:val="24"/>
          <w:szCs w:val="24"/>
          <w:u w:val="none" w:color="auto"/>
          <w:lang w:val="en-US" w:eastAsia="zh-CN"/>
        </w:rPr>
        <w:t>4</w:t>
      </w:r>
      <w:r>
        <w:rPr>
          <w:rFonts w:hint="default" w:ascii="Times New Roman" w:hAnsi="Times New Roman" w:cs="Times New Roman"/>
          <w:color w:val="auto"/>
          <w:sz w:val="24"/>
          <w:szCs w:val="24"/>
          <w:u w:val="none" w:color="auto"/>
        </w:rPr>
        <w:t xml:space="preserve">  本项目周边环保目标分布图</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lang w:val="en-US" w:eastAsia="zh-CN"/>
        </w:rPr>
      </w:pPr>
      <w:r>
        <w:rPr>
          <w:rFonts w:hint="default" w:ascii="Times New Roman" w:hAnsi="Times New Roman" w:cs="Times New Roman"/>
          <w:color w:val="auto"/>
          <w:sz w:val="24"/>
          <w:szCs w:val="24"/>
          <w:u w:val="none" w:color="auto"/>
          <w:lang w:val="en-US" w:eastAsia="zh-CN"/>
        </w:rPr>
        <w:t>附图</w:t>
      </w:r>
      <w:r>
        <w:rPr>
          <w:rFonts w:hint="eastAsia" w:ascii="Times New Roman" w:hAnsi="Times New Roman" w:cs="Times New Roman"/>
          <w:color w:val="auto"/>
          <w:sz w:val="24"/>
          <w:szCs w:val="24"/>
          <w:u w:val="none" w:color="auto"/>
          <w:lang w:val="en-US" w:eastAsia="zh-CN"/>
        </w:rPr>
        <w:t>5</w:t>
      </w:r>
      <w:r>
        <w:rPr>
          <w:rFonts w:hint="default" w:ascii="Times New Roman" w:hAnsi="Times New Roman" w:cs="Times New Roman"/>
          <w:color w:val="auto"/>
          <w:sz w:val="24"/>
          <w:szCs w:val="24"/>
          <w:u w:val="none" w:color="auto"/>
          <w:lang w:val="en-US" w:eastAsia="zh-CN"/>
        </w:rPr>
        <w:t xml:space="preserve">  项目现场照片</w:t>
      </w:r>
    </w:p>
    <w:p>
      <w:pPr>
        <w:keepNext w:val="0"/>
        <w:keepLines w:val="0"/>
        <w:pageBreakBefore w:val="0"/>
        <w:widowControl w:val="0"/>
        <w:numPr>
          <w:ilvl w:val="0"/>
          <w:numId w:val="8"/>
        </w:numPr>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如果本报告表不能说明工程产生的污染及对环境造成的影响，应进行专项评价。根据建设工程的特点和当地环境特征，应选下列1~2项进行专项评价。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1. 大气环境影响专项评价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2. 水环境影响专项评价(包括地表水和地下水)</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3. 生态影响专项评价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4. 声影响专项评价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5. 土壤影响专项评价</w:t>
      </w:r>
    </w:p>
    <w:p>
      <w:pPr>
        <w:keepNext w:val="0"/>
        <w:keepLines w:val="0"/>
        <w:pageBreakBefore w:val="0"/>
        <w:widowControl w:val="0"/>
        <w:kinsoku/>
        <w:wordWrap/>
        <w:overflowPunct/>
        <w:topLinePunct w:val="0"/>
        <w:autoSpaceDE/>
        <w:autoSpaceDN/>
        <w:bidi w:val="0"/>
        <w:adjustRightInd/>
        <w:snapToGrid/>
        <w:spacing w:line="351" w:lineRule="auto"/>
        <w:ind w:firstLine="560"/>
        <w:textAlignment w:val="auto"/>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6. 固体废物影响专项评价</w:t>
      </w:r>
    </w:p>
    <w:p>
      <w:pPr>
        <w:rPr>
          <w:rFonts w:hint="default" w:eastAsia="宋体"/>
          <w:u w:val="none" w:color="auto"/>
          <w:lang w:val="en-US" w:eastAsia="zh-CN"/>
        </w:rPr>
      </w:pPr>
      <w:r>
        <w:rPr>
          <w:rFonts w:hint="default" w:ascii="Times New Roman" w:hAnsi="Times New Roman" w:cs="Times New Roman"/>
          <w:color w:val="auto"/>
          <w:sz w:val="24"/>
          <w:szCs w:val="24"/>
          <w:u w:val="none" w:color="auto"/>
        </w:rPr>
        <w:t>以上专项评价中未包括的另列专项，专项评价按照《环境影响评价技术导则》中的要求进行</w:t>
      </w:r>
    </w:p>
    <w:sectPr>
      <w:footerReference r:id="rId8" w:type="default"/>
      <w:pgSz w:w="11906" w:h="16838"/>
      <w:pgMar w:top="1417" w:right="1134" w:bottom="1417" w:left="1474" w:header="851" w:footer="992" w:gutter="0"/>
      <w:pgBorders>
        <w:top w:val="none" w:sz="0" w:space="0"/>
        <w:left w:val="none" w:sz="0" w:space="0"/>
        <w:bottom w:val="none" w:sz="0" w:space="0"/>
        <w:right w:val="none" w:sz="0" w:space="0"/>
      </w:pgBorders>
      <w:cols w:space="0" w:num="1"/>
      <w:rtlGutter w:val="0"/>
      <w:docGrid w:type="linesAndChars" w:linePitch="332" w:charSpace="-16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40001" w:csb1="00000000"/>
  </w:font>
  <w:font w:name="CG Times (W1)">
    <w:altName w:val="Times New Roman"/>
    <w:panose1 w:val="00000000000000000000"/>
    <w:charset w:val="00"/>
    <w:family w:val="moder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汉鼎简书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450"/>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5gQ/F+sB&#10;AAC3AwAADgAAAAAAAAABACAAAAAeAQAAZHJzL2Uyb0RvYy54bWxQSwUGAAAAAAYABgBZAQAAewUA&#10;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1905" t="0" r="0" b="0"/>
              <wp:wrapNone/>
              <wp:docPr id="2"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Dn&#10;PBtF7wEAALMDAAAOAAAAAAAAAAEAIAAAAB8BAABkcnMvZTJvRG9jLnhtbFBLBQYAAAAABgAGAFkB&#10;AACA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1905" t="0" r="0" b="381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10;43xc7wEAALQDAAAOAAAAAAAAAAEAIAAAAB8BAABkcnMvZTJvRG9jLnhtbFBLBQYAAAAABgAGAFkB&#10;AACA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7667"/>
        <w:tab w:val="clear" w:pos="4153"/>
      </w:tabs>
    </w:pPr>
    <w:r>
      <w:rPr>
        <w:rFonts w:hint="eastAsia"/>
        <w:szCs w:val="18"/>
        <w:lang w:eastAsia="zh-CN"/>
      </w:rPr>
      <w:t>年产45万个硅胶制品建设项目</w:t>
    </w:r>
    <w:r>
      <w:rPr>
        <w:szCs w:val="18"/>
      </w:rPr>
      <w:t>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573DEC"/>
    <w:multiLevelType w:val="singleLevel"/>
    <w:tmpl w:val="EE573DEC"/>
    <w:lvl w:ilvl="0" w:tentative="0">
      <w:start w:val="1"/>
      <w:numFmt w:val="decimal"/>
      <w:pStyle w:val="30"/>
      <w:lvlText w:val="%1."/>
      <w:lvlJc w:val="left"/>
      <w:pPr>
        <w:tabs>
          <w:tab w:val="left" w:pos="6902"/>
        </w:tabs>
        <w:ind w:left="6902" w:hanging="360"/>
      </w:pPr>
    </w:lvl>
  </w:abstractNum>
  <w:abstractNum w:abstractNumId="1">
    <w:nsid w:val="00000006"/>
    <w:multiLevelType w:val="multilevel"/>
    <w:tmpl w:val="00000006"/>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lvlText w:val="%2."/>
      <w:lvlJc w:val="left"/>
      <w:pPr>
        <w:ind w:left="0" w:firstLine="0"/>
      </w:pPr>
      <w:rPr>
        <w:rFonts w:hint="eastAsia"/>
        <w:b w:val="0"/>
        <w:i w:val="0"/>
        <w:sz w:val="32"/>
        <w:szCs w:val="32"/>
      </w:rPr>
    </w:lvl>
    <w:lvl w:ilvl="2" w:tentative="0">
      <w:start w:val="1"/>
      <w:numFmt w:val="decimal"/>
      <w:pStyle w:val="58"/>
      <w:suff w:val="nothing"/>
      <w:lvlText w:val="%1%2.%3　"/>
      <w:lvlJc w:val="left"/>
      <w:pPr>
        <w:ind w:left="426" w:firstLine="0"/>
      </w:pPr>
      <w:rPr>
        <w:rFonts w:hint="eastAsia" w:ascii="黑体" w:hAnsi="Times New Roman" w:eastAsia="黑体"/>
        <w:b w:val="0"/>
        <w:i w:val="0"/>
        <w:sz w:val="28"/>
        <w:szCs w:val="28"/>
      </w:rPr>
    </w:lvl>
    <w:lvl w:ilvl="3" w:tentative="0">
      <w:start w:val="1"/>
      <w:numFmt w:val="decimal"/>
      <w:pStyle w:val="57"/>
      <w:suff w:val="nothing"/>
      <w:lvlText w:val="%1%2.%3.%4　"/>
      <w:lvlJc w:val="left"/>
      <w:pPr>
        <w:ind w:left="0" w:firstLine="0"/>
      </w:pPr>
      <w:rPr>
        <w:rFonts w:hint="eastAsia" w:ascii="黑体" w:hAnsi="Times New Roman" w:eastAsia="黑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E"/>
    <w:multiLevelType w:val="singleLevel"/>
    <w:tmpl w:val="0000000E"/>
    <w:lvl w:ilvl="0" w:tentative="0">
      <w:start w:val="1"/>
      <w:numFmt w:val="chineseCounting"/>
      <w:suff w:val="nothing"/>
      <w:lvlText w:val="%1、"/>
      <w:lvlJc w:val="left"/>
    </w:lvl>
  </w:abstractNum>
  <w:abstractNum w:abstractNumId="3">
    <w:nsid w:val="0F722FDC"/>
    <w:multiLevelType w:val="multilevel"/>
    <w:tmpl w:val="0F722FD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F2FF14"/>
    <w:multiLevelType w:val="singleLevel"/>
    <w:tmpl w:val="58F2FF14"/>
    <w:lvl w:ilvl="0" w:tentative="0">
      <w:start w:val="2"/>
      <w:numFmt w:val="decimal"/>
      <w:suff w:val="nothing"/>
      <w:lvlText w:val="%1、"/>
      <w:lvlJc w:val="left"/>
    </w:lvl>
  </w:abstractNum>
  <w:abstractNum w:abstractNumId="5">
    <w:nsid w:val="621F0DDE"/>
    <w:multiLevelType w:val="multilevel"/>
    <w:tmpl w:val="621F0DDE"/>
    <w:lvl w:ilvl="0" w:tentative="0">
      <w:start w:val="1"/>
      <w:numFmt w:val="japaneseCounting"/>
      <w:pStyle w:val="14"/>
      <w:lvlText w:val="%1、"/>
      <w:lvlJc w:val="left"/>
      <w:pPr>
        <w:tabs>
          <w:tab w:val="left" w:pos="962"/>
        </w:tabs>
        <w:ind w:left="962" w:hanging="4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6">
    <w:nsid w:val="6B628263"/>
    <w:multiLevelType w:val="singleLevel"/>
    <w:tmpl w:val="6B628263"/>
    <w:lvl w:ilvl="0" w:tentative="0">
      <w:start w:val="1"/>
      <w:numFmt w:val="decimal"/>
      <w:suff w:val="nothing"/>
      <w:lvlText w:val="（%1）"/>
      <w:lvlJc w:val="left"/>
    </w:lvl>
  </w:abstractNum>
  <w:abstractNum w:abstractNumId="7">
    <w:nsid w:val="72404066"/>
    <w:multiLevelType w:val="multilevel"/>
    <w:tmpl w:val="72404066"/>
    <w:lvl w:ilvl="0" w:tentative="0">
      <w:start w:val="1"/>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5"/>
  </w:num>
  <w:num w:numId="2">
    <w:abstractNumId w:val="0"/>
  </w:num>
  <w:num w:numId="3">
    <w:abstractNumId w:val="1"/>
  </w:num>
  <w:num w:numId="4">
    <w:abstractNumId w:val="6"/>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1"/>
  <w:drawingGridVerticalSpacing w:val="16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D0"/>
    <w:rsid w:val="0000160B"/>
    <w:rsid w:val="000026D9"/>
    <w:rsid w:val="00002AE4"/>
    <w:rsid w:val="00006E26"/>
    <w:rsid w:val="000122A5"/>
    <w:rsid w:val="00013A83"/>
    <w:rsid w:val="00017209"/>
    <w:rsid w:val="000210A2"/>
    <w:rsid w:val="00031DA1"/>
    <w:rsid w:val="00033313"/>
    <w:rsid w:val="00034232"/>
    <w:rsid w:val="00034B96"/>
    <w:rsid w:val="0003541E"/>
    <w:rsid w:val="00036963"/>
    <w:rsid w:val="00037E3C"/>
    <w:rsid w:val="00040F1C"/>
    <w:rsid w:val="000423BC"/>
    <w:rsid w:val="00043577"/>
    <w:rsid w:val="000435F3"/>
    <w:rsid w:val="00043CA2"/>
    <w:rsid w:val="00044092"/>
    <w:rsid w:val="00044145"/>
    <w:rsid w:val="00045F96"/>
    <w:rsid w:val="000461C5"/>
    <w:rsid w:val="00046D1B"/>
    <w:rsid w:val="00054858"/>
    <w:rsid w:val="00055614"/>
    <w:rsid w:val="00055FE1"/>
    <w:rsid w:val="000564D4"/>
    <w:rsid w:val="00057513"/>
    <w:rsid w:val="00060986"/>
    <w:rsid w:val="0006505F"/>
    <w:rsid w:val="00066EE4"/>
    <w:rsid w:val="0006777B"/>
    <w:rsid w:val="00080666"/>
    <w:rsid w:val="00081D7C"/>
    <w:rsid w:val="00083B87"/>
    <w:rsid w:val="00084610"/>
    <w:rsid w:val="000852BD"/>
    <w:rsid w:val="0009217D"/>
    <w:rsid w:val="00093BD6"/>
    <w:rsid w:val="00096071"/>
    <w:rsid w:val="000962CF"/>
    <w:rsid w:val="00096C15"/>
    <w:rsid w:val="000A08B6"/>
    <w:rsid w:val="000A139F"/>
    <w:rsid w:val="000A2CCB"/>
    <w:rsid w:val="000A4674"/>
    <w:rsid w:val="000A6B56"/>
    <w:rsid w:val="000A6BE3"/>
    <w:rsid w:val="000A7206"/>
    <w:rsid w:val="000A79D4"/>
    <w:rsid w:val="000B217A"/>
    <w:rsid w:val="000B2F17"/>
    <w:rsid w:val="000B7022"/>
    <w:rsid w:val="000C0211"/>
    <w:rsid w:val="000C2A6F"/>
    <w:rsid w:val="000C35A3"/>
    <w:rsid w:val="000C514F"/>
    <w:rsid w:val="000C70EB"/>
    <w:rsid w:val="000C7DEF"/>
    <w:rsid w:val="000D0277"/>
    <w:rsid w:val="000D09A4"/>
    <w:rsid w:val="000D3C5B"/>
    <w:rsid w:val="000D3E66"/>
    <w:rsid w:val="000D7FE9"/>
    <w:rsid w:val="000E7226"/>
    <w:rsid w:val="000E7D99"/>
    <w:rsid w:val="000F1C1E"/>
    <w:rsid w:val="000F1FEF"/>
    <w:rsid w:val="000F2DB2"/>
    <w:rsid w:val="000F458B"/>
    <w:rsid w:val="000F49F3"/>
    <w:rsid w:val="000F58D5"/>
    <w:rsid w:val="000F6C7B"/>
    <w:rsid w:val="00101077"/>
    <w:rsid w:val="00102286"/>
    <w:rsid w:val="0010284E"/>
    <w:rsid w:val="00111C91"/>
    <w:rsid w:val="001123C0"/>
    <w:rsid w:val="0011388B"/>
    <w:rsid w:val="001138C9"/>
    <w:rsid w:val="00113D94"/>
    <w:rsid w:val="00115B96"/>
    <w:rsid w:val="0012211C"/>
    <w:rsid w:val="00124092"/>
    <w:rsid w:val="00124D30"/>
    <w:rsid w:val="00125707"/>
    <w:rsid w:val="00126619"/>
    <w:rsid w:val="00126D58"/>
    <w:rsid w:val="001313B6"/>
    <w:rsid w:val="00131552"/>
    <w:rsid w:val="001340C6"/>
    <w:rsid w:val="00134706"/>
    <w:rsid w:val="00135AF9"/>
    <w:rsid w:val="00136143"/>
    <w:rsid w:val="00143B16"/>
    <w:rsid w:val="00146989"/>
    <w:rsid w:val="001469CC"/>
    <w:rsid w:val="00150C66"/>
    <w:rsid w:val="00150F74"/>
    <w:rsid w:val="00153DD6"/>
    <w:rsid w:val="00153ED3"/>
    <w:rsid w:val="00154252"/>
    <w:rsid w:val="00161F27"/>
    <w:rsid w:val="00163675"/>
    <w:rsid w:val="00167386"/>
    <w:rsid w:val="00172A27"/>
    <w:rsid w:val="0017512B"/>
    <w:rsid w:val="00175F80"/>
    <w:rsid w:val="001826DE"/>
    <w:rsid w:val="00182B96"/>
    <w:rsid w:val="00184357"/>
    <w:rsid w:val="001854E9"/>
    <w:rsid w:val="00185A07"/>
    <w:rsid w:val="0018609B"/>
    <w:rsid w:val="00187806"/>
    <w:rsid w:val="00187DAB"/>
    <w:rsid w:val="00187E34"/>
    <w:rsid w:val="001918A7"/>
    <w:rsid w:val="00194C80"/>
    <w:rsid w:val="0019510A"/>
    <w:rsid w:val="00195EDD"/>
    <w:rsid w:val="001A168D"/>
    <w:rsid w:val="001A4313"/>
    <w:rsid w:val="001A454D"/>
    <w:rsid w:val="001B0AFD"/>
    <w:rsid w:val="001B1766"/>
    <w:rsid w:val="001B1A48"/>
    <w:rsid w:val="001C1C09"/>
    <w:rsid w:val="001C273F"/>
    <w:rsid w:val="001D23F8"/>
    <w:rsid w:val="001D4EAE"/>
    <w:rsid w:val="001E1D10"/>
    <w:rsid w:val="001E2E76"/>
    <w:rsid w:val="001F072F"/>
    <w:rsid w:val="001F0A18"/>
    <w:rsid w:val="001F1929"/>
    <w:rsid w:val="001F26C3"/>
    <w:rsid w:val="001F29D8"/>
    <w:rsid w:val="001F30E9"/>
    <w:rsid w:val="001F338C"/>
    <w:rsid w:val="001F3458"/>
    <w:rsid w:val="002009F8"/>
    <w:rsid w:val="00201D54"/>
    <w:rsid w:val="00203D9B"/>
    <w:rsid w:val="0020440C"/>
    <w:rsid w:val="00210ACF"/>
    <w:rsid w:val="00212419"/>
    <w:rsid w:val="00213FC0"/>
    <w:rsid w:val="00222C8D"/>
    <w:rsid w:val="0022316C"/>
    <w:rsid w:val="00223502"/>
    <w:rsid w:val="00223791"/>
    <w:rsid w:val="00226A1F"/>
    <w:rsid w:val="00230B07"/>
    <w:rsid w:val="00232E12"/>
    <w:rsid w:val="002352A4"/>
    <w:rsid w:val="002364F0"/>
    <w:rsid w:val="0024212E"/>
    <w:rsid w:val="002438D3"/>
    <w:rsid w:val="002439B6"/>
    <w:rsid w:val="00245793"/>
    <w:rsid w:val="002458B2"/>
    <w:rsid w:val="0024711D"/>
    <w:rsid w:val="00251B48"/>
    <w:rsid w:val="00252976"/>
    <w:rsid w:val="002535D9"/>
    <w:rsid w:val="002558D2"/>
    <w:rsid w:val="002561EB"/>
    <w:rsid w:val="00256EBD"/>
    <w:rsid w:val="002608BC"/>
    <w:rsid w:val="00266081"/>
    <w:rsid w:val="00267920"/>
    <w:rsid w:val="002710A7"/>
    <w:rsid w:val="00272E74"/>
    <w:rsid w:val="002743E7"/>
    <w:rsid w:val="002746C7"/>
    <w:rsid w:val="00274D8E"/>
    <w:rsid w:val="00275EC7"/>
    <w:rsid w:val="00277558"/>
    <w:rsid w:val="00282994"/>
    <w:rsid w:val="00286B05"/>
    <w:rsid w:val="00286CEC"/>
    <w:rsid w:val="0028788E"/>
    <w:rsid w:val="002904FC"/>
    <w:rsid w:val="00290A50"/>
    <w:rsid w:val="00291059"/>
    <w:rsid w:val="00294554"/>
    <w:rsid w:val="00296D93"/>
    <w:rsid w:val="0029777A"/>
    <w:rsid w:val="002A1195"/>
    <w:rsid w:val="002A52D0"/>
    <w:rsid w:val="002A6CF1"/>
    <w:rsid w:val="002A6F41"/>
    <w:rsid w:val="002A725B"/>
    <w:rsid w:val="002A7D95"/>
    <w:rsid w:val="002B1D2A"/>
    <w:rsid w:val="002B372E"/>
    <w:rsid w:val="002B658C"/>
    <w:rsid w:val="002B6F77"/>
    <w:rsid w:val="002B7638"/>
    <w:rsid w:val="002C06B4"/>
    <w:rsid w:val="002C13E6"/>
    <w:rsid w:val="002C3520"/>
    <w:rsid w:val="002C35D8"/>
    <w:rsid w:val="002C46E9"/>
    <w:rsid w:val="002C48CD"/>
    <w:rsid w:val="002C620C"/>
    <w:rsid w:val="002C622A"/>
    <w:rsid w:val="002C6E6C"/>
    <w:rsid w:val="002C78B3"/>
    <w:rsid w:val="002D0E6F"/>
    <w:rsid w:val="002D1000"/>
    <w:rsid w:val="002D69B4"/>
    <w:rsid w:val="002E127B"/>
    <w:rsid w:val="002E2069"/>
    <w:rsid w:val="002E2992"/>
    <w:rsid w:val="002E4B01"/>
    <w:rsid w:val="002E7846"/>
    <w:rsid w:val="002E7CAB"/>
    <w:rsid w:val="002F4230"/>
    <w:rsid w:val="002F4398"/>
    <w:rsid w:val="002F5A32"/>
    <w:rsid w:val="00301A0E"/>
    <w:rsid w:val="00301FCA"/>
    <w:rsid w:val="00303782"/>
    <w:rsid w:val="00303BA3"/>
    <w:rsid w:val="00303CFF"/>
    <w:rsid w:val="003058A6"/>
    <w:rsid w:val="0031034B"/>
    <w:rsid w:val="00310CC2"/>
    <w:rsid w:val="00312BAA"/>
    <w:rsid w:val="00312E9A"/>
    <w:rsid w:val="00314549"/>
    <w:rsid w:val="00315C84"/>
    <w:rsid w:val="003172E1"/>
    <w:rsid w:val="00317EEC"/>
    <w:rsid w:val="003240F9"/>
    <w:rsid w:val="00330A50"/>
    <w:rsid w:val="003318DE"/>
    <w:rsid w:val="00332FEF"/>
    <w:rsid w:val="003423C6"/>
    <w:rsid w:val="003427C4"/>
    <w:rsid w:val="00342C34"/>
    <w:rsid w:val="00343418"/>
    <w:rsid w:val="0034408A"/>
    <w:rsid w:val="0034675D"/>
    <w:rsid w:val="00352E8A"/>
    <w:rsid w:val="003545C9"/>
    <w:rsid w:val="00355845"/>
    <w:rsid w:val="00355E60"/>
    <w:rsid w:val="00362679"/>
    <w:rsid w:val="00362FA3"/>
    <w:rsid w:val="00364CA1"/>
    <w:rsid w:val="003663AA"/>
    <w:rsid w:val="00366E3E"/>
    <w:rsid w:val="0036790D"/>
    <w:rsid w:val="00375076"/>
    <w:rsid w:val="00383711"/>
    <w:rsid w:val="003849DA"/>
    <w:rsid w:val="00385FC7"/>
    <w:rsid w:val="00387316"/>
    <w:rsid w:val="003933F8"/>
    <w:rsid w:val="003A09A0"/>
    <w:rsid w:val="003A0A93"/>
    <w:rsid w:val="003A6254"/>
    <w:rsid w:val="003A645D"/>
    <w:rsid w:val="003A671A"/>
    <w:rsid w:val="003B04A1"/>
    <w:rsid w:val="003B5555"/>
    <w:rsid w:val="003B5FC1"/>
    <w:rsid w:val="003B6B31"/>
    <w:rsid w:val="003C36CB"/>
    <w:rsid w:val="003C3873"/>
    <w:rsid w:val="003C4293"/>
    <w:rsid w:val="003C6BA1"/>
    <w:rsid w:val="003D09C5"/>
    <w:rsid w:val="003D1BA5"/>
    <w:rsid w:val="003D4B31"/>
    <w:rsid w:val="003D6DD6"/>
    <w:rsid w:val="003E2520"/>
    <w:rsid w:val="003E2D7A"/>
    <w:rsid w:val="003E701F"/>
    <w:rsid w:val="003F3D22"/>
    <w:rsid w:val="003F5853"/>
    <w:rsid w:val="003F7A40"/>
    <w:rsid w:val="00402994"/>
    <w:rsid w:val="00403443"/>
    <w:rsid w:val="00404534"/>
    <w:rsid w:val="004054D6"/>
    <w:rsid w:val="00406392"/>
    <w:rsid w:val="00407D82"/>
    <w:rsid w:val="00414039"/>
    <w:rsid w:val="00417F91"/>
    <w:rsid w:val="0042045D"/>
    <w:rsid w:val="00420C30"/>
    <w:rsid w:val="00421BE1"/>
    <w:rsid w:val="00422319"/>
    <w:rsid w:val="00426917"/>
    <w:rsid w:val="00426B7E"/>
    <w:rsid w:val="00426F73"/>
    <w:rsid w:val="0043166A"/>
    <w:rsid w:val="004318C3"/>
    <w:rsid w:val="00432C0C"/>
    <w:rsid w:val="00434857"/>
    <w:rsid w:val="00436D01"/>
    <w:rsid w:val="004405F1"/>
    <w:rsid w:val="00444C35"/>
    <w:rsid w:val="00446333"/>
    <w:rsid w:val="00460467"/>
    <w:rsid w:val="004606AC"/>
    <w:rsid w:val="00460C8F"/>
    <w:rsid w:val="00461283"/>
    <w:rsid w:val="00465D29"/>
    <w:rsid w:val="00471F5F"/>
    <w:rsid w:val="00472E0A"/>
    <w:rsid w:val="00476604"/>
    <w:rsid w:val="00476D6A"/>
    <w:rsid w:val="00480A45"/>
    <w:rsid w:val="00481550"/>
    <w:rsid w:val="00483514"/>
    <w:rsid w:val="00483709"/>
    <w:rsid w:val="00483901"/>
    <w:rsid w:val="00490D19"/>
    <w:rsid w:val="00494476"/>
    <w:rsid w:val="004964A0"/>
    <w:rsid w:val="0049672A"/>
    <w:rsid w:val="00497423"/>
    <w:rsid w:val="004A0056"/>
    <w:rsid w:val="004A0881"/>
    <w:rsid w:val="004A0F2F"/>
    <w:rsid w:val="004A175B"/>
    <w:rsid w:val="004A1D68"/>
    <w:rsid w:val="004A1E2E"/>
    <w:rsid w:val="004A261E"/>
    <w:rsid w:val="004B1970"/>
    <w:rsid w:val="004B1D9A"/>
    <w:rsid w:val="004B2251"/>
    <w:rsid w:val="004B77DF"/>
    <w:rsid w:val="004C0D5E"/>
    <w:rsid w:val="004C3DB2"/>
    <w:rsid w:val="004C461D"/>
    <w:rsid w:val="004C7670"/>
    <w:rsid w:val="004D3FC9"/>
    <w:rsid w:val="004D7919"/>
    <w:rsid w:val="004E0539"/>
    <w:rsid w:val="004E0A02"/>
    <w:rsid w:val="004E1CE7"/>
    <w:rsid w:val="004E26E1"/>
    <w:rsid w:val="004E46DD"/>
    <w:rsid w:val="004E513A"/>
    <w:rsid w:val="004E7A8C"/>
    <w:rsid w:val="004F180C"/>
    <w:rsid w:val="004F1B4C"/>
    <w:rsid w:val="004F444A"/>
    <w:rsid w:val="004F4BF2"/>
    <w:rsid w:val="004F6488"/>
    <w:rsid w:val="004F6625"/>
    <w:rsid w:val="00500C89"/>
    <w:rsid w:val="00501B8E"/>
    <w:rsid w:val="00506253"/>
    <w:rsid w:val="00506931"/>
    <w:rsid w:val="005103B7"/>
    <w:rsid w:val="00510AF7"/>
    <w:rsid w:val="005235DC"/>
    <w:rsid w:val="00524F88"/>
    <w:rsid w:val="00525304"/>
    <w:rsid w:val="0052666B"/>
    <w:rsid w:val="005328F4"/>
    <w:rsid w:val="005355D7"/>
    <w:rsid w:val="005359EE"/>
    <w:rsid w:val="00536288"/>
    <w:rsid w:val="0053699E"/>
    <w:rsid w:val="005369EE"/>
    <w:rsid w:val="00541678"/>
    <w:rsid w:val="00546738"/>
    <w:rsid w:val="005507F5"/>
    <w:rsid w:val="0055674B"/>
    <w:rsid w:val="00560DCC"/>
    <w:rsid w:val="00562036"/>
    <w:rsid w:val="00562FF7"/>
    <w:rsid w:val="00564816"/>
    <w:rsid w:val="00565156"/>
    <w:rsid w:val="0056625F"/>
    <w:rsid w:val="00566DE8"/>
    <w:rsid w:val="00567C72"/>
    <w:rsid w:val="00572867"/>
    <w:rsid w:val="00574B81"/>
    <w:rsid w:val="00575277"/>
    <w:rsid w:val="00575DEF"/>
    <w:rsid w:val="00583D11"/>
    <w:rsid w:val="00585CC4"/>
    <w:rsid w:val="00586A9D"/>
    <w:rsid w:val="00591907"/>
    <w:rsid w:val="00592FD7"/>
    <w:rsid w:val="005A075E"/>
    <w:rsid w:val="005A48AD"/>
    <w:rsid w:val="005A4F71"/>
    <w:rsid w:val="005A63AA"/>
    <w:rsid w:val="005A7110"/>
    <w:rsid w:val="005A7D41"/>
    <w:rsid w:val="005B18C2"/>
    <w:rsid w:val="005B2905"/>
    <w:rsid w:val="005B46EB"/>
    <w:rsid w:val="005B6EA7"/>
    <w:rsid w:val="005C5E9C"/>
    <w:rsid w:val="005D0B2E"/>
    <w:rsid w:val="005D74DF"/>
    <w:rsid w:val="005E20E6"/>
    <w:rsid w:val="005F25E6"/>
    <w:rsid w:val="00601E55"/>
    <w:rsid w:val="006025CA"/>
    <w:rsid w:val="00604993"/>
    <w:rsid w:val="00606964"/>
    <w:rsid w:val="00606ED9"/>
    <w:rsid w:val="00607085"/>
    <w:rsid w:val="00607558"/>
    <w:rsid w:val="00607575"/>
    <w:rsid w:val="0061488B"/>
    <w:rsid w:val="006229B1"/>
    <w:rsid w:val="006245C8"/>
    <w:rsid w:val="006317FF"/>
    <w:rsid w:val="00631C70"/>
    <w:rsid w:val="00631D9D"/>
    <w:rsid w:val="0063211F"/>
    <w:rsid w:val="006349C1"/>
    <w:rsid w:val="00634A6B"/>
    <w:rsid w:val="0063643D"/>
    <w:rsid w:val="00636E4B"/>
    <w:rsid w:val="0064522A"/>
    <w:rsid w:val="00646426"/>
    <w:rsid w:val="00646CCD"/>
    <w:rsid w:val="0065356E"/>
    <w:rsid w:val="0065359A"/>
    <w:rsid w:val="00654F9F"/>
    <w:rsid w:val="00655664"/>
    <w:rsid w:val="006558D8"/>
    <w:rsid w:val="00655917"/>
    <w:rsid w:val="00657D22"/>
    <w:rsid w:val="006634F2"/>
    <w:rsid w:val="006637CC"/>
    <w:rsid w:val="00666FDD"/>
    <w:rsid w:val="00667641"/>
    <w:rsid w:val="0066791D"/>
    <w:rsid w:val="00667DF0"/>
    <w:rsid w:val="00670299"/>
    <w:rsid w:val="00673AE1"/>
    <w:rsid w:val="00674EC4"/>
    <w:rsid w:val="00676771"/>
    <w:rsid w:val="0068045A"/>
    <w:rsid w:val="00690558"/>
    <w:rsid w:val="006A3F3F"/>
    <w:rsid w:val="006A772B"/>
    <w:rsid w:val="006B0FC9"/>
    <w:rsid w:val="006B2930"/>
    <w:rsid w:val="006B2AE1"/>
    <w:rsid w:val="006B4D4F"/>
    <w:rsid w:val="006B6474"/>
    <w:rsid w:val="006C0178"/>
    <w:rsid w:val="006C10F1"/>
    <w:rsid w:val="006C166B"/>
    <w:rsid w:val="006C18B8"/>
    <w:rsid w:val="006C2682"/>
    <w:rsid w:val="006C48F1"/>
    <w:rsid w:val="006D290F"/>
    <w:rsid w:val="006D56A2"/>
    <w:rsid w:val="006D621D"/>
    <w:rsid w:val="006D6297"/>
    <w:rsid w:val="006D651A"/>
    <w:rsid w:val="006E27D6"/>
    <w:rsid w:val="006E2F84"/>
    <w:rsid w:val="006E65D0"/>
    <w:rsid w:val="006E7AB2"/>
    <w:rsid w:val="006F051E"/>
    <w:rsid w:val="006F0945"/>
    <w:rsid w:val="006F6E60"/>
    <w:rsid w:val="007003AA"/>
    <w:rsid w:val="0070174E"/>
    <w:rsid w:val="00703610"/>
    <w:rsid w:val="00706022"/>
    <w:rsid w:val="007060E6"/>
    <w:rsid w:val="0070690A"/>
    <w:rsid w:val="0071148D"/>
    <w:rsid w:val="007118C3"/>
    <w:rsid w:val="0071301D"/>
    <w:rsid w:val="00713477"/>
    <w:rsid w:val="00716622"/>
    <w:rsid w:val="00720153"/>
    <w:rsid w:val="0072272D"/>
    <w:rsid w:val="00723814"/>
    <w:rsid w:val="00723E2A"/>
    <w:rsid w:val="00724D12"/>
    <w:rsid w:val="00727EE1"/>
    <w:rsid w:val="00731A9A"/>
    <w:rsid w:val="0073278C"/>
    <w:rsid w:val="00735C34"/>
    <w:rsid w:val="00736C41"/>
    <w:rsid w:val="00740295"/>
    <w:rsid w:val="00741D64"/>
    <w:rsid w:val="00747569"/>
    <w:rsid w:val="007505EB"/>
    <w:rsid w:val="00754B8A"/>
    <w:rsid w:val="007565A2"/>
    <w:rsid w:val="00756F22"/>
    <w:rsid w:val="00757C6B"/>
    <w:rsid w:val="00762537"/>
    <w:rsid w:val="007632A5"/>
    <w:rsid w:val="0076375C"/>
    <w:rsid w:val="00763BAB"/>
    <w:rsid w:val="007647E7"/>
    <w:rsid w:val="00770246"/>
    <w:rsid w:val="00770AE4"/>
    <w:rsid w:val="00770B7C"/>
    <w:rsid w:val="0077170E"/>
    <w:rsid w:val="007765B5"/>
    <w:rsid w:val="00776A7A"/>
    <w:rsid w:val="00781615"/>
    <w:rsid w:val="007843FA"/>
    <w:rsid w:val="007856F4"/>
    <w:rsid w:val="007879DB"/>
    <w:rsid w:val="00790857"/>
    <w:rsid w:val="00790DE7"/>
    <w:rsid w:val="00792252"/>
    <w:rsid w:val="0079267D"/>
    <w:rsid w:val="00792D3B"/>
    <w:rsid w:val="007944EF"/>
    <w:rsid w:val="0079485B"/>
    <w:rsid w:val="00796365"/>
    <w:rsid w:val="007968A0"/>
    <w:rsid w:val="007A164C"/>
    <w:rsid w:val="007A23CC"/>
    <w:rsid w:val="007A3C24"/>
    <w:rsid w:val="007A66FC"/>
    <w:rsid w:val="007A7E78"/>
    <w:rsid w:val="007B1AA9"/>
    <w:rsid w:val="007B2BC3"/>
    <w:rsid w:val="007B37CD"/>
    <w:rsid w:val="007B6311"/>
    <w:rsid w:val="007B653C"/>
    <w:rsid w:val="007B6F9A"/>
    <w:rsid w:val="007B73DA"/>
    <w:rsid w:val="007C0861"/>
    <w:rsid w:val="007C08F9"/>
    <w:rsid w:val="007C0D0C"/>
    <w:rsid w:val="007C1D01"/>
    <w:rsid w:val="007C4A2F"/>
    <w:rsid w:val="007C5174"/>
    <w:rsid w:val="007C694A"/>
    <w:rsid w:val="007C7658"/>
    <w:rsid w:val="007C79C9"/>
    <w:rsid w:val="007D11AB"/>
    <w:rsid w:val="007D29E6"/>
    <w:rsid w:val="007D442B"/>
    <w:rsid w:val="007D4538"/>
    <w:rsid w:val="007D4906"/>
    <w:rsid w:val="007D5F9E"/>
    <w:rsid w:val="007D6F38"/>
    <w:rsid w:val="007D7C44"/>
    <w:rsid w:val="007D7EA5"/>
    <w:rsid w:val="007E43A1"/>
    <w:rsid w:val="007E4CA7"/>
    <w:rsid w:val="007E5B6F"/>
    <w:rsid w:val="007E5C6B"/>
    <w:rsid w:val="007E7AA7"/>
    <w:rsid w:val="007F2DAF"/>
    <w:rsid w:val="007F671D"/>
    <w:rsid w:val="0080159F"/>
    <w:rsid w:val="008018B1"/>
    <w:rsid w:val="00802DC7"/>
    <w:rsid w:val="00803F15"/>
    <w:rsid w:val="00804B45"/>
    <w:rsid w:val="00806ADF"/>
    <w:rsid w:val="008110AF"/>
    <w:rsid w:val="00811ED5"/>
    <w:rsid w:val="00814441"/>
    <w:rsid w:val="00820891"/>
    <w:rsid w:val="00820F8B"/>
    <w:rsid w:val="00822E7D"/>
    <w:rsid w:val="00830AAB"/>
    <w:rsid w:val="00833A3C"/>
    <w:rsid w:val="00836731"/>
    <w:rsid w:val="00837904"/>
    <w:rsid w:val="00837E8E"/>
    <w:rsid w:val="00842800"/>
    <w:rsid w:val="00842825"/>
    <w:rsid w:val="008448D4"/>
    <w:rsid w:val="00847D8D"/>
    <w:rsid w:val="00851CC0"/>
    <w:rsid w:val="00852158"/>
    <w:rsid w:val="0085292F"/>
    <w:rsid w:val="00854555"/>
    <w:rsid w:val="00855224"/>
    <w:rsid w:val="00856088"/>
    <w:rsid w:val="00856F8A"/>
    <w:rsid w:val="00857C58"/>
    <w:rsid w:val="00861EC5"/>
    <w:rsid w:val="00863907"/>
    <w:rsid w:val="00865952"/>
    <w:rsid w:val="00870AA2"/>
    <w:rsid w:val="008714F0"/>
    <w:rsid w:val="00872E25"/>
    <w:rsid w:val="008745AE"/>
    <w:rsid w:val="00874B27"/>
    <w:rsid w:val="00876507"/>
    <w:rsid w:val="008800C3"/>
    <w:rsid w:val="0088182D"/>
    <w:rsid w:val="00881D02"/>
    <w:rsid w:val="00882844"/>
    <w:rsid w:val="008866CD"/>
    <w:rsid w:val="00890F40"/>
    <w:rsid w:val="00891037"/>
    <w:rsid w:val="00893261"/>
    <w:rsid w:val="0089480B"/>
    <w:rsid w:val="00894F57"/>
    <w:rsid w:val="008961C9"/>
    <w:rsid w:val="00897AAA"/>
    <w:rsid w:val="008A104F"/>
    <w:rsid w:val="008A3B09"/>
    <w:rsid w:val="008A4599"/>
    <w:rsid w:val="008A59AE"/>
    <w:rsid w:val="008A6A4A"/>
    <w:rsid w:val="008A75BD"/>
    <w:rsid w:val="008A7D91"/>
    <w:rsid w:val="008B1C12"/>
    <w:rsid w:val="008B3C7C"/>
    <w:rsid w:val="008B3E72"/>
    <w:rsid w:val="008B4974"/>
    <w:rsid w:val="008B6B40"/>
    <w:rsid w:val="008B7296"/>
    <w:rsid w:val="008C0CC1"/>
    <w:rsid w:val="008C1298"/>
    <w:rsid w:val="008C29BA"/>
    <w:rsid w:val="008C4FC5"/>
    <w:rsid w:val="008C647C"/>
    <w:rsid w:val="008C6D6C"/>
    <w:rsid w:val="008D0E67"/>
    <w:rsid w:val="008D199A"/>
    <w:rsid w:val="008D1ABE"/>
    <w:rsid w:val="008D2C35"/>
    <w:rsid w:val="008E345B"/>
    <w:rsid w:val="008E544E"/>
    <w:rsid w:val="008F1145"/>
    <w:rsid w:val="008F2F2D"/>
    <w:rsid w:val="008F770D"/>
    <w:rsid w:val="00902434"/>
    <w:rsid w:val="00903254"/>
    <w:rsid w:val="009052E8"/>
    <w:rsid w:val="00907D99"/>
    <w:rsid w:val="00907EAA"/>
    <w:rsid w:val="00913354"/>
    <w:rsid w:val="00913717"/>
    <w:rsid w:val="00913968"/>
    <w:rsid w:val="00913C43"/>
    <w:rsid w:val="0091625E"/>
    <w:rsid w:val="00916C10"/>
    <w:rsid w:val="00917343"/>
    <w:rsid w:val="00917651"/>
    <w:rsid w:val="00917C13"/>
    <w:rsid w:val="00922BBD"/>
    <w:rsid w:val="0092405F"/>
    <w:rsid w:val="00925F07"/>
    <w:rsid w:val="009261D6"/>
    <w:rsid w:val="009271B7"/>
    <w:rsid w:val="00933AA1"/>
    <w:rsid w:val="009376B1"/>
    <w:rsid w:val="00941259"/>
    <w:rsid w:val="00946AE0"/>
    <w:rsid w:val="00950A9D"/>
    <w:rsid w:val="00952279"/>
    <w:rsid w:val="009523B3"/>
    <w:rsid w:val="00953576"/>
    <w:rsid w:val="009567FD"/>
    <w:rsid w:val="0095748D"/>
    <w:rsid w:val="00961964"/>
    <w:rsid w:val="00961F90"/>
    <w:rsid w:val="009634BE"/>
    <w:rsid w:val="00963D65"/>
    <w:rsid w:val="00965DE5"/>
    <w:rsid w:val="00967964"/>
    <w:rsid w:val="00970147"/>
    <w:rsid w:val="00972B04"/>
    <w:rsid w:val="0097401C"/>
    <w:rsid w:val="009754DA"/>
    <w:rsid w:val="00980E58"/>
    <w:rsid w:val="00981221"/>
    <w:rsid w:val="00981390"/>
    <w:rsid w:val="00981B22"/>
    <w:rsid w:val="00982EAC"/>
    <w:rsid w:val="00985123"/>
    <w:rsid w:val="00985941"/>
    <w:rsid w:val="0098630F"/>
    <w:rsid w:val="009873BC"/>
    <w:rsid w:val="00987448"/>
    <w:rsid w:val="0098751E"/>
    <w:rsid w:val="00990E86"/>
    <w:rsid w:val="00991EE8"/>
    <w:rsid w:val="00992BB2"/>
    <w:rsid w:val="00993F70"/>
    <w:rsid w:val="00995F3D"/>
    <w:rsid w:val="009A15A8"/>
    <w:rsid w:val="009A4F31"/>
    <w:rsid w:val="009A6D66"/>
    <w:rsid w:val="009B1D05"/>
    <w:rsid w:val="009B1D26"/>
    <w:rsid w:val="009B231A"/>
    <w:rsid w:val="009B4570"/>
    <w:rsid w:val="009B4A6F"/>
    <w:rsid w:val="009C1035"/>
    <w:rsid w:val="009C2859"/>
    <w:rsid w:val="009C4511"/>
    <w:rsid w:val="009D0BA4"/>
    <w:rsid w:val="009D1159"/>
    <w:rsid w:val="009D2905"/>
    <w:rsid w:val="009D2E11"/>
    <w:rsid w:val="009D66F5"/>
    <w:rsid w:val="009E2F94"/>
    <w:rsid w:val="009E5E3E"/>
    <w:rsid w:val="009E66A0"/>
    <w:rsid w:val="009E74F7"/>
    <w:rsid w:val="009E75D5"/>
    <w:rsid w:val="009E7A56"/>
    <w:rsid w:val="009F060E"/>
    <w:rsid w:val="009F0A44"/>
    <w:rsid w:val="009F0C3B"/>
    <w:rsid w:val="009F12D6"/>
    <w:rsid w:val="009F1D78"/>
    <w:rsid w:val="009F2B68"/>
    <w:rsid w:val="009F5542"/>
    <w:rsid w:val="009F72FD"/>
    <w:rsid w:val="00A00084"/>
    <w:rsid w:val="00A0071D"/>
    <w:rsid w:val="00A020C8"/>
    <w:rsid w:val="00A02187"/>
    <w:rsid w:val="00A05327"/>
    <w:rsid w:val="00A12746"/>
    <w:rsid w:val="00A14249"/>
    <w:rsid w:val="00A143E8"/>
    <w:rsid w:val="00A157FA"/>
    <w:rsid w:val="00A16152"/>
    <w:rsid w:val="00A177AE"/>
    <w:rsid w:val="00A17DD7"/>
    <w:rsid w:val="00A204F5"/>
    <w:rsid w:val="00A20B9E"/>
    <w:rsid w:val="00A21444"/>
    <w:rsid w:val="00A22F69"/>
    <w:rsid w:val="00A23166"/>
    <w:rsid w:val="00A233F1"/>
    <w:rsid w:val="00A236B7"/>
    <w:rsid w:val="00A2543F"/>
    <w:rsid w:val="00A3319D"/>
    <w:rsid w:val="00A338DC"/>
    <w:rsid w:val="00A34209"/>
    <w:rsid w:val="00A34A4B"/>
    <w:rsid w:val="00A406E5"/>
    <w:rsid w:val="00A429D4"/>
    <w:rsid w:val="00A4333F"/>
    <w:rsid w:val="00A43F2F"/>
    <w:rsid w:val="00A50531"/>
    <w:rsid w:val="00A52534"/>
    <w:rsid w:val="00A533F5"/>
    <w:rsid w:val="00A5666E"/>
    <w:rsid w:val="00A60FE1"/>
    <w:rsid w:val="00A6267C"/>
    <w:rsid w:val="00A62A51"/>
    <w:rsid w:val="00A62A79"/>
    <w:rsid w:val="00A63E8F"/>
    <w:rsid w:val="00A64E66"/>
    <w:rsid w:val="00A650CE"/>
    <w:rsid w:val="00A651EF"/>
    <w:rsid w:val="00A7047D"/>
    <w:rsid w:val="00A705AF"/>
    <w:rsid w:val="00A71CE2"/>
    <w:rsid w:val="00A72E2F"/>
    <w:rsid w:val="00A735BB"/>
    <w:rsid w:val="00A7380B"/>
    <w:rsid w:val="00A74607"/>
    <w:rsid w:val="00A810E4"/>
    <w:rsid w:val="00A822FB"/>
    <w:rsid w:val="00A83867"/>
    <w:rsid w:val="00A87902"/>
    <w:rsid w:val="00A87E1F"/>
    <w:rsid w:val="00A922DD"/>
    <w:rsid w:val="00A92F96"/>
    <w:rsid w:val="00A93746"/>
    <w:rsid w:val="00A93AE9"/>
    <w:rsid w:val="00A94D71"/>
    <w:rsid w:val="00A95CF8"/>
    <w:rsid w:val="00A96CBD"/>
    <w:rsid w:val="00A978A1"/>
    <w:rsid w:val="00AA06F5"/>
    <w:rsid w:val="00AA1B27"/>
    <w:rsid w:val="00AA2BFA"/>
    <w:rsid w:val="00AA3AA8"/>
    <w:rsid w:val="00AA42AE"/>
    <w:rsid w:val="00AB1089"/>
    <w:rsid w:val="00AB22DE"/>
    <w:rsid w:val="00AB2478"/>
    <w:rsid w:val="00AB41E2"/>
    <w:rsid w:val="00AB5D41"/>
    <w:rsid w:val="00AC0CA7"/>
    <w:rsid w:val="00AC3183"/>
    <w:rsid w:val="00AC3590"/>
    <w:rsid w:val="00AC70C9"/>
    <w:rsid w:val="00AD5707"/>
    <w:rsid w:val="00AD5A12"/>
    <w:rsid w:val="00AD73A0"/>
    <w:rsid w:val="00AE1E9D"/>
    <w:rsid w:val="00AE2279"/>
    <w:rsid w:val="00AE276F"/>
    <w:rsid w:val="00AE386F"/>
    <w:rsid w:val="00AE3A97"/>
    <w:rsid w:val="00AE5E22"/>
    <w:rsid w:val="00AE6BF3"/>
    <w:rsid w:val="00AE78B9"/>
    <w:rsid w:val="00AF0168"/>
    <w:rsid w:val="00AF6892"/>
    <w:rsid w:val="00AF719F"/>
    <w:rsid w:val="00B0276F"/>
    <w:rsid w:val="00B054CC"/>
    <w:rsid w:val="00B05515"/>
    <w:rsid w:val="00B055A0"/>
    <w:rsid w:val="00B07543"/>
    <w:rsid w:val="00B10322"/>
    <w:rsid w:val="00B115B3"/>
    <w:rsid w:val="00B1431B"/>
    <w:rsid w:val="00B220B4"/>
    <w:rsid w:val="00B23828"/>
    <w:rsid w:val="00B247EC"/>
    <w:rsid w:val="00B272BD"/>
    <w:rsid w:val="00B34143"/>
    <w:rsid w:val="00B34550"/>
    <w:rsid w:val="00B35A17"/>
    <w:rsid w:val="00B3601C"/>
    <w:rsid w:val="00B367B2"/>
    <w:rsid w:val="00B42DA8"/>
    <w:rsid w:val="00B45045"/>
    <w:rsid w:val="00B4789F"/>
    <w:rsid w:val="00B50A51"/>
    <w:rsid w:val="00B5161B"/>
    <w:rsid w:val="00B527A2"/>
    <w:rsid w:val="00B55FDD"/>
    <w:rsid w:val="00B56DB9"/>
    <w:rsid w:val="00B623D3"/>
    <w:rsid w:val="00B641E2"/>
    <w:rsid w:val="00B665C8"/>
    <w:rsid w:val="00B67252"/>
    <w:rsid w:val="00B70A5A"/>
    <w:rsid w:val="00B713A2"/>
    <w:rsid w:val="00B74DFF"/>
    <w:rsid w:val="00B76BA3"/>
    <w:rsid w:val="00B775D3"/>
    <w:rsid w:val="00B80CDC"/>
    <w:rsid w:val="00B81770"/>
    <w:rsid w:val="00B82D85"/>
    <w:rsid w:val="00B84E65"/>
    <w:rsid w:val="00B85A7D"/>
    <w:rsid w:val="00B87BF5"/>
    <w:rsid w:val="00B9137D"/>
    <w:rsid w:val="00B94024"/>
    <w:rsid w:val="00B96CEB"/>
    <w:rsid w:val="00BA1469"/>
    <w:rsid w:val="00BB1294"/>
    <w:rsid w:val="00BB1BB0"/>
    <w:rsid w:val="00BB257B"/>
    <w:rsid w:val="00BB2852"/>
    <w:rsid w:val="00BB5842"/>
    <w:rsid w:val="00BB6E7C"/>
    <w:rsid w:val="00BB7625"/>
    <w:rsid w:val="00BC0E58"/>
    <w:rsid w:val="00BC37B4"/>
    <w:rsid w:val="00BC4EEB"/>
    <w:rsid w:val="00BC6220"/>
    <w:rsid w:val="00BC7213"/>
    <w:rsid w:val="00BD0365"/>
    <w:rsid w:val="00BD1359"/>
    <w:rsid w:val="00BD2324"/>
    <w:rsid w:val="00BE37FE"/>
    <w:rsid w:val="00BE6CD2"/>
    <w:rsid w:val="00C003F4"/>
    <w:rsid w:val="00C01938"/>
    <w:rsid w:val="00C02090"/>
    <w:rsid w:val="00C06B1B"/>
    <w:rsid w:val="00C06CAE"/>
    <w:rsid w:val="00C10B3E"/>
    <w:rsid w:val="00C14D8C"/>
    <w:rsid w:val="00C17A36"/>
    <w:rsid w:val="00C219DE"/>
    <w:rsid w:val="00C22187"/>
    <w:rsid w:val="00C22FC1"/>
    <w:rsid w:val="00C24CAD"/>
    <w:rsid w:val="00C24D61"/>
    <w:rsid w:val="00C34E9B"/>
    <w:rsid w:val="00C3551B"/>
    <w:rsid w:val="00C35B1C"/>
    <w:rsid w:val="00C36C14"/>
    <w:rsid w:val="00C3788C"/>
    <w:rsid w:val="00C46839"/>
    <w:rsid w:val="00C502C0"/>
    <w:rsid w:val="00C50BEB"/>
    <w:rsid w:val="00C53104"/>
    <w:rsid w:val="00C53147"/>
    <w:rsid w:val="00C54322"/>
    <w:rsid w:val="00C55552"/>
    <w:rsid w:val="00C55B0C"/>
    <w:rsid w:val="00C56DCA"/>
    <w:rsid w:val="00C61F52"/>
    <w:rsid w:val="00C62577"/>
    <w:rsid w:val="00C65A5E"/>
    <w:rsid w:val="00C7034F"/>
    <w:rsid w:val="00C70DDB"/>
    <w:rsid w:val="00C73920"/>
    <w:rsid w:val="00C74897"/>
    <w:rsid w:val="00C766EB"/>
    <w:rsid w:val="00C80982"/>
    <w:rsid w:val="00C82355"/>
    <w:rsid w:val="00C82700"/>
    <w:rsid w:val="00C8280A"/>
    <w:rsid w:val="00C87096"/>
    <w:rsid w:val="00C906EA"/>
    <w:rsid w:val="00C90AC7"/>
    <w:rsid w:val="00C93F29"/>
    <w:rsid w:val="00C95485"/>
    <w:rsid w:val="00C97F3B"/>
    <w:rsid w:val="00CA21C9"/>
    <w:rsid w:val="00CB0CFD"/>
    <w:rsid w:val="00CB1C85"/>
    <w:rsid w:val="00CB37EF"/>
    <w:rsid w:val="00CB3EBD"/>
    <w:rsid w:val="00CB4E3C"/>
    <w:rsid w:val="00CB5782"/>
    <w:rsid w:val="00CB7F47"/>
    <w:rsid w:val="00CC2472"/>
    <w:rsid w:val="00CC2D40"/>
    <w:rsid w:val="00CC4165"/>
    <w:rsid w:val="00CD0A43"/>
    <w:rsid w:val="00CD249A"/>
    <w:rsid w:val="00CD30BD"/>
    <w:rsid w:val="00CD3158"/>
    <w:rsid w:val="00CD6473"/>
    <w:rsid w:val="00CE02DA"/>
    <w:rsid w:val="00CE0CEF"/>
    <w:rsid w:val="00CE1F1E"/>
    <w:rsid w:val="00CE219F"/>
    <w:rsid w:val="00CE4DE1"/>
    <w:rsid w:val="00CE5E6C"/>
    <w:rsid w:val="00CE68EC"/>
    <w:rsid w:val="00CE7A29"/>
    <w:rsid w:val="00CF0C02"/>
    <w:rsid w:val="00CF12CB"/>
    <w:rsid w:val="00CF63F2"/>
    <w:rsid w:val="00CF6592"/>
    <w:rsid w:val="00D00856"/>
    <w:rsid w:val="00D00D01"/>
    <w:rsid w:val="00D06588"/>
    <w:rsid w:val="00D10C1B"/>
    <w:rsid w:val="00D1360F"/>
    <w:rsid w:val="00D13AC8"/>
    <w:rsid w:val="00D1574A"/>
    <w:rsid w:val="00D159CC"/>
    <w:rsid w:val="00D2279A"/>
    <w:rsid w:val="00D242F5"/>
    <w:rsid w:val="00D246BD"/>
    <w:rsid w:val="00D2472F"/>
    <w:rsid w:val="00D24B2F"/>
    <w:rsid w:val="00D2510E"/>
    <w:rsid w:val="00D25376"/>
    <w:rsid w:val="00D31313"/>
    <w:rsid w:val="00D3228F"/>
    <w:rsid w:val="00D33028"/>
    <w:rsid w:val="00D3322B"/>
    <w:rsid w:val="00D36A3C"/>
    <w:rsid w:val="00D36F03"/>
    <w:rsid w:val="00D376FE"/>
    <w:rsid w:val="00D42554"/>
    <w:rsid w:val="00D436DC"/>
    <w:rsid w:val="00D43E10"/>
    <w:rsid w:val="00D45318"/>
    <w:rsid w:val="00D47303"/>
    <w:rsid w:val="00D51651"/>
    <w:rsid w:val="00D52C59"/>
    <w:rsid w:val="00D5385E"/>
    <w:rsid w:val="00D548E1"/>
    <w:rsid w:val="00D55FC0"/>
    <w:rsid w:val="00D56445"/>
    <w:rsid w:val="00D56CD6"/>
    <w:rsid w:val="00D6097B"/>
    <w:rsid w:val="00D6117D"/>
    <w:rsid w:val="00D61DF3"/>
    <w:rsid w:val="00D63F26"/>
    <w:rsid w:val="00D73120"/>
    <w:rsid w:val="00D731DB"/>
    <w:rsid w:val="00D7335C"/>
    <w:rsid w:val="00D73DE9"/>
    <w:rsid w:val="00D749D5"/>
    <w:rsid w:val="00D75EC3"/>
    <w:rsid w:val="00D84101"/>
    <w:rsid w:val="00D84EED"/>
    <w:rsid w:val="00D854E7"/>
    <w:rsid w:val="00D87F9A"/>
    <w:rsid w:val="00D91AA1"/>
    <w:rsid w:val="00D93A91"/>
    <w:rsid w:val="00D94E21"/>
    <w:rsid w:val="00D9612C"/>
    <w:rsid w:val="00D96508"/>
    <w:rsid w:val="00DA27E6"/>
    <w:rsid w:val="00DA29B9"/>
    <w:rsid w:val="00DA4679"/>
    <w:rsid w:val="00DA5B5F"/>
    <w:rsid w:val="00DA7146"/>
    <w:rsid w:val="00DA7741"/>
    <w:rsid w:val="00DA7966"/>
    <w:rsid w:val="00DB1DFF"/>
    <w:rsid w:val="00DB377A"/>
    <w:rsid w:val="00DB3B7F"/>
    <w:rsid w:val="00DB446B"/>
    <w:rsid w:val="00DB6F37"/>
    <w:rsid w:val="00DC0AAF"/>
    <w:rsid w:val="00DC1FCB"/>
    <w:rsid w:val="00DC1FD4"/>
    <w:rsid w:val="00DC25FC"/>
    <w:rsid w:val="00DC49EC"/>
    <w:rsid w:val="00DD091D"/>
    <w:rsid w:val="00DD1E8E"/>
    <w:rsid w:val="00DD320A"/>
    <w:rsid w:val="00DD371E"/>
    <w:rsid w:val="00DD3730"/>
    <w:rsid w:val="00DD4311"/>
    <w:rsid w:val="00DE4421"/>
    <w:rsid w:val="00DE5105"/>
    <w:rsid w:val="00DE5CB0"/>
    <w:rsid w:val="00DE607E"/>
    <w:rsid w:val="00DE6153"/>
    <w:rsid w:val="00DE62AA"/>
    <w:rsid w:val="00DF2659"/>
    <w:rsid w:val="00DF3258"/>
    <w:rsid w:val="00DF5650"/>
    <w:rsid w:val="00DF57EE"/>
    <w:rsid w:val="00DF5A08"/>
    <w:rsid w:val="00DF7646"/>
    <w:rsid w:val="00E00D63"/>
    <w:rsid w:val="00E05049"/>
    <w:rsid w:val="00E05742"/>
    <w:rsid w:val="00E05E5F"/>
    <w:rsid w:val="00E07C6E"/>
    <w:rsid w:val="00E12B71"/>
    <w:rsid w:val="00E155CC"/>
    <w:rsid w:val="00E216BC"/>
    <w:rsid w:val="00E23670"/>
    <w:rsid w:val="00E24544"/>
    <w:rsid w:val="00E24A6F"/>
    <w:rsid w:val="00E300E6"/>
    <w:rsid w:val="00E3204A"/>
    <w:rsid w:val="00E3325B"/>
    <w:rsid w:val="00E346FD"/>
    <w:rsid w:val="00E35652"/>
    <w:rsid w:val="00E36952"/>
    <w:rsid w:val="00E372A7"/>
    <w:rsid w:val="00E402A2"/>
    <w:rsid w:val="00E42846"/>
    <w:rsid w:val="00E42CD5"/>
    <w:rsid w:val="00E43B30"/>
    <w:rsid w:val="00E5450C"/>
    <w:rsid w:val="00E55360"/>
    <w:rsid w:val="00E55595"/>
    <w:rsid w:val="00E57D47"/>
    <w:rsid w:val="00E607E1"/>
    <w:rsid w:val="00E6291A"/>
    <w:rsid w:val="00E62DC0"/>
    <w:rsid w:val="00E66754"/>
    <w:rsid w:val="00E721C0"/>
    <w:rsid w:val="00E752C0"/>
    <w:rsid w:val="00E75FC8"/>
    <w:rsid w:val="00E76267"/>
    <w:rsid w:val="00E77E9C"/>
    <w:rsid w:val="00E82263"/>
    <w:rsid w:val="00E83008"/>
    <w:rsid w:val="00E847AE"/>
    <w:rsid w:val="00E8488E"/>
    <w:rsid w:val="00E85004"/>
    <w:rsid w:val="00E86F08"/>
    <w:rsid w:val="00E86F32"/>
    <w:rsid w:val="00E92496"/>
    <w:rsid w:val="00E9265A"/>
    <w:rsid w:val="00EA27EB"/>
    <w:rsid w:val="00EA369A"/>
    <w:rsid w:val="00EB07F2"/>
    <w:rsid w:val="00EB0A40"/>
    <w:rsid w:val="00EB3CF5"/>
    <w:rsid w:val="00EB66FB"/>
    <w:rsid w:val="00EB6DFB"/>
    <w:rsid w:val="00EB7CEA"/>
    <w:rsid w:val="00EC0DB1"/>
    <w:rsid w:val="00EC1210"/>
    <w:rsid w:val="00EC295A"/>
    <w:rsid w:val="00EC431F"/>
    <w:rsid w:val="00EC6C5B"/>
    <w:rsid w:val="00ED2A61"/>
    <w:rsid w:val="00ED7223"/>
    <w:rsid w:val="00ED78B9"/>
    <w:rsid w:val="00EE0BFB"/>
    <w:rsid w:val="00EE23EF"/>
    <w:rsid w:val="00EE2485"/>
    <w:rsid w:val="00EE3387"/>
    <w:rsid w:val="00EE5D22"/>
    <w:rsid w:val="00EE6AA8"/>
    <w:rsid w:val="00EF0375"/>
    <w:rsid w:val="00EF0B29"/>
    <w:rsid w:val="00EF0C15"/>
    <w:rsid w:val="00EF1585"/>
    <w:rsid w:val="00EF3395"/>
    <w:rsid w:val="00EF45F1"/>
    <w:rsid w:val="00EF567B"/>
    <w:rsid w:val="00F00C29"/>
    <w:rsid w:val="00F0131A"/>
    <w:rsid w:val="00F0638B"/>
    <w:rsid w:val="00F06B37"/>
    <w:rsid w:val="00F07E46"/>
    <w:rsid w:val="00F108D2"/>
    <w:rsid w:val="00F10ED9"/>
    <w:rsid w:val="00F206DA"/>
    <w:rsid w:val="00F206E4"/>
    <w:rsid w:val="00F2304A"/>
    <w:rsid w:val="00F23286"/>
    <w:rsid w:val="00F237BD"/>
    <w:rsid w:val="00F24B40"/>
    <w:rsid w:val="00F2688D"/>
    <w:rsid w:val="00F27E64"/>
    <w:rsid w:val="00F30F43"/>
    <w:rsid w:val="00F32E30"/>
    <w:rsid w:val="00F34C71"/>
    <w:rsid w:val="00F369A2"/>
    <w:rsid w:val="00F418AE"/>
    <w:rsid w:val="00F47F68"/>
    <w:rsid w:val="00F51311"/>
    <w:rsid w:val="00F54959"/>
    <w:rsid w:val="00F549FA"/>
    <w:rsid w:val="00F56D5B"/>
    <w:rsid w:val="00F56F95"/>
    <w:rsid w:val="00F57C8F"/>
    <w:rsid w:val="00F60675"/>
    <w:rsid w:val="00F6475B"/>
    <w:rsid w:val="00F701A4"/>
    <w:rsid w:val="00F723BC"/>
    <w:rsid w:val="00F73D90"/>
    <w:rsid w:val="00F76973"/>
    <w:rsid w:val="00F76DD1"/>
    <w:rsid w:val="00F77008"/>
    <w:rsid w:val="00F77F6F"/>
    <w:rsid w:val="00F80766"/>
    <w:rsid w:val="00F82325"/>
    <w:rsid w:val="00F84686"/>
    <w:rsid w:val="00F857F8"/>
    <w:rsid w:val="00F868EE"/>
    <w:rsid w:val="00F87FA9"/>
    <w:rsid w:val="00F9119D"/>
    <w:rsid w:val="00F94174"/>
    <w:rsid w:val="00FA0575"/>
    <w:rsid w:val="00FA24FA"/>
    <w:rsid w:val="00FA654B"/>
    <w:rsid w:val="00FB03B0"/>
    <w:rsid w:val="00FB0FA5"/>
    <w:rsid w:val="00FB1BC6"/>
    <w:rsid w:val="00FB21D2"/>
    <w:rsid w:val="00FB24BC"/>
    <w:rsid w:val="00FB5065"/>
    <w:rsid w:val="00FB6D2A"/>
    <w:rsid w:val="00FC2AC0"/>
    <w:rsid w:val="00FC7278"/>
    <w:rsid w:val="00FD4505"/>
    <w:rsid w:val="00FD50C8"/>
    <w:rsid w:val="00FE023C"/>
    <w:rsid w:val="00FE25BD"/>
    <w:rsid w:val="00FE37C1"/>
    <w:rsid w:val="00FE6762"/>
    <w:rsid w:val="00FE6B58"/>
    <w:rsid w:val="00FE7049"/>
    <w:rsid w:val="00FE75AB"/>
    <w:rsid w:val="00FF11FA"/>
    <w:rsid w:val="00FF4BBD"/>
    <w:rsid w:val="010205EA"/>
    <w:rsid w:val="010403C4"/>
    <w:rsid w:val="0109513D"/>
    <w:rsid w:val="010E7E38"/>
    <w:rsid w:val="011061B6"/>
    <w:rsid w:val="01283CE6"/>
    <w:rsid w:val="012E1C6C"/>
    <w:rsid w:val="012F1157"/>
    <w:rsid w:val="013E7931"/>
    <w:rsid w:val="015A171E"/>
    <w:rsid w:val="0196185A"/>
    <w:rsid w:val="01AE7847"/>
    <w:rsid w:val="01BE6750"/>
    <w:rsid w:val="01C54C7D"/>
    <w:rsid w:val="01CA06BA"/>
    <w:rsid w:val="01DA4266"/>
    <w:rsid w:val="02076A0A"/>
    <w:rsid w:val="020A6570"/>
    <w:rsid w:val="02192DD2"/>
    <w:rsid w:val="02296E4E"/>
    <w:rsid w:val="022D7CA1"/>
    <w:rsid w:val="02317260"/>
    <w:rsid w:val="023536E6"/>
    <w:rsid w:val="025A5A4A"/>
    <w:rsid w:val="02670DAF"/>
    <w:rsid w:val="02870D83"/>
    <w:rsid w:val="02AA7B2E"/>
    <w:rsid w:val="02C17CF5"/>
    <w:rsid w:val="02E348F7"/>
    <w:rsid w:val="031518CE"/>
    <w:rsid w:val="031B114C"/>
    <w:rsid w:val="0320457B"/>
    <w:rsid w:val="034574AF"/>
    <w:rsid w:val="036433DC"/>
    <w:rsid w:val="036B1263"/>
    <w:rsid w:val="036B13A9"/>
    <w:rsid w:val="03890649"/>
    <w:rsid w:val="03893112"/>
    <w:rsid w:val="03AB7ED9"/>
    <w:rsid w:val="03AC1EA9"/>
    <w:rsid w:val="03BA198A"/>
    <w:rsid w:val="03CA3E93"/>
    <w:rsid w:val="043104A2"/>
    <w:rsid w:val="04312652"/>
    <w:rsid w:val="04660AF1"/>
    <w:rsid w:val="047115A9"/>
    <w:rsid w:val="047542BB"/>
    <w:rsid w:val="047C4F99"/>
    <w:rsid w:val="047E01B1"/>
    <w:rsid w:val="04813C3B"/>
    <w:rsid w:val="048B4253"/>
    <w:rsid w:val="04B47E84"/>
    <w:rsid w:val="04CA19FD"/>
    <w:rsid w:val="04E8398A"/>
    <w:rsid w:val="050119F0"/>
    <w:rsid w:val="05251A71"/>
    <w:rsid w:val="05887CDC"/>
    <w:rsid w:val="05A01558"/>
    <w:rsid w:val="05A06829"/>
    <w:rsid w:val="05D7148A"/>
    <w:rsid w:val="05DB54A9"/>
    <w:rsid w:val="05E30855"/>
    <w:rsid w:val="05EB1897"/>
    <w:rsid w:val="05F201FB"/>
    <w:rsid w:val="0617610F"/>
    <w:rsid w:val="061D16C4"/>
    <w:rsid w:val="062D1053"/>
    <w:rsid w:val="064F3BEE"/>
    <w:rsid w:val="06576D6B"/>
    <w:rsid w:val="065D5597"/>
    <w:rsid w:val="066255ED"/>
    <w:rsid w:val="0670726C"/>
    <w:rsid w:val="06846790"/>
    <w:rsid w:val="06850360"/>
    <w:rsid w:val="068A2908"/>
    <w:rsid w:val="068A5FEE"/>
    <w:rsid w:val="06927A93"/>
    <w:rsid w:val="06A63FE3"/>
    <w:rsid w:val="06AE456A"/>
    <w:rsid w:val="06C14902"/>
    <w:rsid w:val="06E011D1"/>
    <w:rsid w:val="06F641EF"/>
    <w:rsid w:val="0716411F"/>
    <w:rsid w:val="071A004C"/>
    <w:rsid w:val="071A6A70"/>
    <w:rsid w:val="071A7DB2"/>
    <w:rsid w:val="072A5D43"/>
    <w:rsid w:val="072E78A6"/>
    <w:rsid w:val="074A1CED"/>
    <w:rsid w:val="075601AB"/>
    <w:rsid w:val="07792E18"/>
    <w:rsid w:val="078056AF"/>
    <w:rsid w:val="078B5C22"/>
    <w:rsid w:val="07980765"/>
    <w:rsid w:val="07A73072"/>
    <w:rsid w:val="07B5736F"/>
    <w:rsid w:val="07CB1685"/>
    <w:rsid w:val="07D155A7"/>
    <w:rsid w:val="07D20809"/>
    <w:rsid w:val="07F930A6"/>
    <w:rsid w:val="08037810"/>
    <w:rsid w:val="080C1E90"/>
    <w:rsid w:val="084A4701"/>
    <w:rsid w:val="08721AE8"/>
    <w:rsid w:val="0872661A"/>
    <w:rsid w:val="0874575C"/>
    <w:rsid w:val="08AD64F5"/>
    <w:rsid w:val="08CB44C5"/>
    <w:rsid w:val="08E225A7"/>
    <w:rsid w:val="08EB68EB"/>
    <w:rsid w:val="08FC02FE"/>
    <w:rsid w:val="091E063C"/>
    <w:rsid w:val="09241AED"/>
    <w:rsid w:val="09245209"/>
    <w:rsid w:val="09252B68"/>
    <w:rsid w:val="093552A6"/>
    <w:rsid w:val="0935787A"/>
    <w:rsid w:val="09413BDA"/>
    <w:rsid w:val="095331DF"/>
    <w:rsid w:val="095A4558"/>
    <w:rsid w:val="095F08F3"/>
    <w:rsid w:val="0994741B"/>
    <w:rsid w:val="09A16CA7"/>
    <w:rsid w:val="09AC707A"/>
    <w:rsid w:val="09B11813"/>
    <w:rsid w:val="09B1552D"/>
    <w:rsid w:val="09B84C6F"/>
    <w:rsid w:val="09B912B3"/>
    <w:rsid w:val="09C82537"/>
    <w:rsid w:val="09CA1FCC"/>
    <w:rsid w:val="09D15FCF"/>
    <w:rsid w:val="09DD0238"/>
    <w:rsid w:val="09E50961"/>
    <w:rsid w:val="09E60E28"/>
    <w:rsid w:val="0A0006E0"/>
    <w:rsid w:val="0A243755"/>
    <w:rsid w:val="0A264226"/>
    <w:rsid w:val="0A31642E"/>
    <w:rsid w:val="0A316656"/>
    <w:rsid w:val="0A3F1C89"/>
    <w:rsid w:val="0A434147"/>
    <w:rsid w:val="0A4A31F9"/>
    <w:rsid w:val="0A6C67DD"/>
    <w:rsid w:val="0A815BA2"/>
    <w:rsid w:val="0A844293"/>
    <w:rsid w:val="0A856526"/>
    <w:rsid w:val="0A8D7DC4"/>
    <w:rsid w:val="0A9B5783"/>
    <w:rsid w:val="0AB42B78"/>
    <w:rsid w:val="0AC669AC"/>
    <w:rsid w:val="0ACD5C3E"/>
    <w:rsid w:val="0AF55188"/>
    <w:rsid w:val="0B154CD7"/>
    <w:rsid w:val="0B24107A"/>
    <w:rsid w:val="0B297F0B"/>
    <w:rsid w:val="0B2B42DA"/>
    <w:rsid w:val="0B4351F1"/>
    <w:rsid w:val="0B482030"/>
    <w:rsid w:val="0B5F1271"/>
    <w:rsid w:val="0B6F4DB9"/>
    <w:rsid w:val="0B8601FA"/>
    <w:rsid w:val="0B8C058E"/>
    <w:rsid w:val="0BBE651E"/>
    <w:rsid w:val="0BC319C7"/>
    <w:rsid w:val="0BC7296A"/>
    <w:rsid w:val="0BCD0E92"/>
    <w:rsid w:val="0C384E7F"/>
    <w:rsid w:val="0C4E40EB"/>
    <w:rsid w:val="0C5718FA"/>
    <w:rsid w:val="0C646D55"/>
    <w:rsid w:val="0C6E7EB2"/>
    <w:rsid w:val="0C943E94"/>
    <w:rsid w:val="0C9633B3"/>
    <w:rsid w:val="0CCB4B87"/>
    <w:rsid w:val="0CE10F30"/>
    <w:rsid w:val="0D0700F8"/>
    <w:rsid w:val="0D27402E"/>
    <w:rsid w:val="0D2F62D9"/>
    <w:rsid w:val="0D6D0250"/>
    <w:rsid w:val="0D753F62"/>
    <w:rsid w:val="0D7A092F"/>
    <w:rsid w:val="0D7D2EF1"/>
    <w:rsid w:val="0D81087C"/>
    <w:rsid w:val="0D84755A"/>
    <w:rsid w:val="0D907F76"/>
    <w:rsid w:val="0DAC7893"/>
    <w:rsid w:val="0DBA4C83"/>
    <w:rsid w:val="0DDC17C2"/>
    <w:rsid w:val="0DDC5C9C"/>
    <w:rsid w:val="0DDE08D8"/>
    <w:rsid w:val="0DEC0AAC"/>
    <w:rsid w:val="0DFD4EFC"/>
    <w:rsid w:val="0E1321A7"/>
    <w:rsid w:val="0E200415"/>
    <w:rsid w:val="0E423271"/>
    <w:rsid w:val="0E511E28"/>
    <w:rsid w:val="0E523C99"/>
    <w:rsid w:val="0E585E37"/>
    <w:rsid w:val="0E5A6630"/>
    <w:rsid w:val="0E7744F2"/>
    <w:rsid w:val="0EA2664C"/>
    <w:rsid w:val="0EBA3D9C"/>
    <w:rsid w:val="0EBA3E44"/>
    <w:rsid w:val="0ECF4C69"/>
    <w:rsid w:val="0ED00D66"/>
    <w:rsid w:val="0F09489A"/>
    <w:rsid w:val="0F210CC3"/>
    <w:rsid w:val="0F2405DE"/>
    <w:rsid w:val="0F2E30B5"/>
    <w:rsid w:val="0F480F11"/>
    <w:rsid w:val="0F5A6ACA"/>
    <w:rsid w:val="0F754CC5"/>
    <w:rsid w:val="0F8C348A"/>
    <w:rsid w:val="0F907DE4"/>
    <w:rsid w:val="0FA657F0"/>
    <w:rsid w:val="0FCA4890"/>
    <w:rsid w:val="0FD74F51"/>
    <w:rsid w:val="0FD900DB"/>
    <w:rsid w:val="0FD901D9"/>
    <w:rsid w:val="0FDB46D3"/>
    <w:rsid w:val="0FDD3167"/>
    <w:rsid w:val="0FF40461"/>
    <w:rsid w:val="10016066"/>
    <w:rsid w:val="10101C50"/>
    <w:rsid w:val="10296A65"/>
    <w:rsid w:val="10297CAE"/>
    <w:rsid w:val="10380127"/>
    <w:rsid w:val="103E2CFA"/>
    <w:rsid w:val="105F3F44"/>
    <w:rsid w:val="10627DE9"/>
    <w:rsid w:val="10706ADD"/>
    <w:rsid w:val="10BC66AD"/>
    <w:rsid w:val="10BF18B3"/>
    <w:rsid w:val="10C43C9C"/>
    <w:rsid w:val="10D379B8"/>
    <w:rsid w:val="10E83F15"/>
    <w:rsid w:val="10F06336"/>
    <w:rsid w:val="11191B26"/>
    <w:rsid w:val="11443F9E"/>
    <w:rsid w:val="114F6F1D"/>
    <w:rsid w:val="115426AE"/>
    <w:rsid w:val="1158549D"/>
    <w:rsid w:val="117013E6"/>
    <w:rsid w:val="11701783"/>
    <w:rsid w:val="117A60EE"/>
    <w:rsid w:val="11AF63CD"/>
    <w:rsid w:val="11B35D01"/>
    <w:rsid w:val="11C87C09"/>
    <w:rsid w:val="11CF7CD5"/>
    <w:rsid w:val="11D431A3"/>
    <w:rsid w:val="1202527B"/>
    <w:rsid w:val="12137C6C"/>
    <w:rsid w:val="12170602"/>
    <w:rsid w:val="12206F5E"/>
    <w:rsid w:val="1228342F"/>
    <w:rsid w:val="12480979"/>
    <w:rsid w:val="1254220B"/>
    <w:rsid w:val="12766B2B"/>
    <w:rsid w:val="127856F4"/>
    <w:rsid w:val="12960FD5"/>
    <w:rsid w:val="12A1604D"/>
    <w:rsid w:val="12A860C7"/>
    <w:rsid w:val="12D31EAB"/>
    <w:rsid w:val="12E34449"/>
    <w:rsid w:val="12E602BC"/>
    <w:rsid w:val="12FA4E80"/>
    <w:rsid w:val="130131AC"/>
    <w:rsid w:val="130202AB"/>
    <w:rsid w:val="1308433D"/>
    <w:rsid w:val="13324DBE"/>
    <w:rsid w:val="1343012F"/>
    <w:rsid w:val="134E369A"/>
    <w:rsid w:val="13527D62"/>
    <w:rsid w:val="136F1044"/>
    <w:rsid w:val="139B4A3B"/>
    <w:rsid w:val="13B303FB"/>
    <w:rsid w:val="13EB1A80"/>
    <w:rsid w:val="13F403E9"/>
    <w:rsid w:val="13FC4402"/>
    <w:rsid w:val="140B656A"/>
    <w:rsid w:val="141628D6"/>
    <w:rsid w:val="1429361E"/>
    <w:rsid w:val="142D2FA5"/>
    <w:rsid w:val="144613A2"/>
    <w:rsid w:val="145458F0"/>
    <w:rsid w:val="1459506A"/>
    <w:rsid w:val="146F38F0"/>
    <w:rsid w:val="14761FA0"/>
    <w:rsid w:val="147D42CA"/>
    <w:rsid w:val="14C02C1D"/>
    <w:rsid w:val="14DC221D"/>
    <w:rsid w:val="14E345F4"/>
    <w:rsid w:val="14F0224E"/>
    <w:rsid w:val="14F0337C"/>
    <w:rsid w:val="14FB1969"/>
    <w:rsid w:val="1504456E"/>
    <w:rsid w:val="150660D3"/>
    <w:rsid w:val="15167FD8"/>
    <w:rsid w:val="15317166"/>
    <w:rsid w:val="153E782D"/>
    <w:rsid w:val="15463AB0"/>
    <w:rsid w:val="155067F0"/>
    <w:rsid w:val="158D333F"/>
    <w:rsid w:val="15903195"/>
    <w:rsid w:val="15B55042"/>
    <w:rsid w:val="15C02C21"/>
    <w:rsid w:val="15DA579F"/>
    <w:rsid w:val="16053F02"/>
    <w:rsid w:val="1609452F"/>
    <w:rsid w:val="16104439"/>
    <w:rsid w:val="162B021C"/>
    <w:rsid w:val="16324237"/>
    <w:rsid w:val="16506CC7"/>
    <w:rsid w:val="166B4C78"/>
    <w:rsid w:val="168B59A8"/>
    <w:rsid w:val="16AC2F0C"/>
    <w:rsid w:val="16B53231"/>
    <w:rsid w:val="16BF0E7C"/>
    <w:rsid w:val="16C11879"/>
    <w:rsid w:val="16C622EA"/>
    <w:rsid w:val="16D27E56"/>
    <w:rsid w:val="170427AB"/>
    <w:rsid w:val="170B0598"/>
    <w:rsid w:val="17106E30"/>
    <w:rsid w:val="17161B54"/>
    <w:rsid w:val="17294251"/>
    <w:rsid w:val="172F560A"/>
    <w:rsid w:val="1744618B"/>
    <w:rsid w:val="1754014B"/>
    <w:rsid w:val="17637184"/>
    <w:rsid w:val="1773450E"/>
    <w:rsid w:val="1788476D"/>
    <w:rsid w:val="178F0769"/>
    <w:rsid w:val="17D01953"/>
    <w:rsid w:val="17DA0305"/>
    <w:rsid w:val="17FD49A3"/>
    <w:rsid w:val="18041BDA"/>
    <w:rsid w:val="1815203A"/>
    <w:rsid w:val="18187285"/>
    <w:rsid w:val="18564F37"/>
    <w:rsid w:val="187C2E93"/>
    <w:rsid w:val="187C518F"/>
    <w:rsid w:val="18A04609"/>
    <w:rsid w:val="18B52DD8"/>
    <w:rsid w:val="18CD3727"/>
    <w:rsid w:val="18CE2BCB"/>
    <w:rsid w:val="18E46238"/>
    <w:rsid w:val="18ED4F93"/>
    <w:rsid w:val="19037C7A"/>
    <w:rsid w:val="190578A0"/>
    <w:rsid w:val="1910750B"/>
    <w:rsid w:val="19133CDA"/>
    <w:rsid w:val="19204547"/>
    <w:rsid w:val="192B6867"/>
    <w:rsid w:val="193E5965"/>
    <w:rsid w:val="196E03F9"/>
    <w:rsid w:val="196E6B7A"/>
    <w:rsid w:val="1978512C"/>
    <w:rsid w:val="198104C9"/>
    <w:rsid w:val="198460C7"/>
    <w:rsid w:val="19863298"/>
    <w:rsid w:val="19A62E1F"/>
    <w:rsid w:val="19C64534"/>
    <w:rsid w:val="19E260F2"/>
    <w:rsid w:val="19E951DC"/>
    <w:rsid w:val="19EE7653"/>
    <w:rsid w:val="19EF5C39"/>
    <w:rsid w:val="1A1A5329"/>
    <w:rsid w:val="1A336DCF"/>
    <w:rsid w:val="1A4554C6"/>
    <w:rsid w:val="1A525A6B"/>
    <w:rsid w:val="1A575E27"/>
    <w:rsid w:val="1A640328"/>
    <w:rsid w:val="1A724D74"/>
    <w:rsid w:val="1A7C19DE"/>
    <w:rsid w:val="1A83044F"/>
    <w:rsid w:val="1A8E3834"/>
    <w:rsid w:val="1A91246C"/>
    <w:rsid w:val="1A9B169F"/>
    <w:rsid w:val="1A9C2FBB"/>
    <w:rsid w:val="1AA566A9"/>
    <w:rsid w:val="1ABF3D1B"/>
    <w:rsid w:val="1AC05B21"/>
    <w:rsid w:val="1AC66A6F"/>
    <w:rsid w:val="1AD7606D"/>
    <w:rsid w:val="1AE81EA5"/>
    <w:rsid w:val="1AEA37AB"/>
    <w:rsid w:val="1AEB4F8F"/>
    <w:rsid w:val="1AF22970"/>
    <w:rsid w:val="1B03346A"/>
    <w:rsid w:val="1B1939C8"/>
    <w:rsid w:val="1B2F38F1"/>
    <w:rsid w:val="1B377850"/>
    <w:rsid w:val="1B402CF8"/>
    <w:rsid w:val="1B413E80"/>
    <w:rsid w:val="1B591EC3"/>
    <w:rsid w:val="1B5C175D"/>
    <w:rsid w:val="1B7D1C68"/>
    <w:rsid w:val="1B885CCC"/>
    <w:rsid w:val="1B8E6C53"/>
    <w:rsid w:val="1B915203"/>
    <w:rsid w:val="1BEC6094"/>
    <w:rsid w:val="1BFF6576"/>
    <w:rsid w:val="1C3F2113"/>
    <w:rsid w:val="1C555928"/>
    <w:rsid w:val="1C577A16"/>
    <w:rsid w:val="1C5A0370"/>
    <w:rsid w:val="1C5A6E4A"/>
    <w:rsid w:val="1C6B5172"/>
    <w:rsid w:val="1C6E2F1E"/>
    <w:rsid w:val="1C7D13C0"/>
    <w:rsid w:val="1C8A6D69"/>
    <w:rsid w:val="1C993E2E"/>
    <w:rsid w:val="1CBE77FA"/>
    <w:rsid w:val="1CC7092E"/>
    <w:rsid w:val="1CCE3A82"/>
    <w:rsid w:val="1CD00845"/>
    <w:rsid w:val="1CD35D30"/>
    <w:rsid w:val="1CD52C7B"/>
    <w:rsid w:val="1CE82AC6"/>
    <w:rsid w:val="1D033BCA"/>
    <w:rsid w:val="1D105AAA"/>
    <w:rsid w:val="1D19203E"/>
    <w:rsid w:val="1D1E3BB1"/>
    <w:rsid w:val="1D242231"/>
    <w:rsid w:val="1D250771"/>
    <w:rsid w:val="1D3237F4"/>
    <w:rsid w:val="1D40786E"/>
    <w:rsid w:val="1D5630A6"/>
    <w:rsid w:val="1D5A7736"/>
    <w:rsid w:val="1D62334F"/>
    <w:rsid w:val="1D6402CD"/>
    <w:rsid w:val="1D6F1F94"/>
    <w:rsid w:val="1D763F7E"/>
    <w:rsid w:val="1D8470AA"/>
    <w:rsid w:val="1DA96897"/>
    <w:rsid w:val="1DAC69B1"/>
    <w:rsid w:val="1DD55280"/>
    <w:rsid w:val="1DED40B4"/>
    <w:rsid w:val="1E0A41CC"/>
    <w:rsid w:val="1E290434"/>
    <w:rsid w:val="1E2F315F"/>
    <w:rsid w:val="1E47755C"/>
    <w:rsid w:val="1E663662"/>
    <w:rsid w:val="1E95289E"/>
    <w:rsid w:val="1EA31B33"/>
    <w:rsid w:val="1EB72EF4"/>
    <w:rsid w:val="1EBD15D5"/>
    <w:rsid w:val="1ED2584D"/>
    <w:rsid w:val="1EF923AB"/>
    <w:rsid w:val="1F102E3F"/>
    <w:rsid w:val="1F15725E"/>
    <w:rsid w:val="1F1D1B25"/>
    <w:rsid w:val="1F235977"/>
    <w:rsid w:val="1F440FD5"/>
    <w:rsid w:val="1F4412FD"/>
    <w:rsid w:val="1F5E5702"/>
    <w:rsid w:val="1F736A29"/>
    <w:rsid w:val="1F7A183B"/>
    <w:rsid w:val="1F876125"/>
    <w:rsid w:val="1F8A04A3"/>
    <w:rsid w:val="1FE57EE8"/>
    <w:rsid w:val="1FEF09C8"/>
    <w:rsid w:val="1FF010E5"/>
    <w:rsid w:val="20382AE0"/>
    <w:rsid w:val="203A4585"/>
    <w:rsid w:val="203C7CC0"/>
    <w:rsid w:val="203F16B0"/>
    <w:rsid w:val="204C6639"/>
    <w:rsid w:val="20542580"/>
    <w:rsid w:val="208D7F89"/>
    <w:rsid w:val="20906BDA"/>
    <w:rsid w:val="209240DC"/>
    <w:rsid w:val="20980932"/>
    <w:rsid w:val="20987474"/>
    <w:rsid w:val="20B64BD8"/>
    <w:rsid w:val="20C20B86"/>
    <w:rsid w:val="20C72E12"/>
    <w:rsid w:val="20D23093"/>
    <w:rsid w:val="20D31B94"/>
    <w:rsid w:val="20E41E79"/>
    <w:rsid w:val="20EB0A1A"/>
    <w:rsid w:val="211D5DB6"/>
    <w:rsid w:val="2120599C"/>
    <w:rsid w:val="212F2B2E"/>
    <w:rsid w:val="21363761"/>
    <w:rsid w:val="213735C6"/>
    <w:rsid w:val="215F05B6"/>
    <w:rsid w:val="21795A9A"/>
    <w:rsid w:val="219B7CCB"/>
    <w:rsid w:val="21A473B5"/>
    <w:rsid w:val="21B34723"/>
    <w:rsid w:val="21C26656"/>
    <w:rsid w:val="21C86C87"/>
    <w:rsid w:val="21E777F6"/>
    <w:rsid w:val="21EA5CE6"/>
    <w:rsid w:val="21EC70E4"/>
    <w:rsid w:val="21FA0D89"/>
    <w:rsid w:val="22027B32"/>
    <w:rsid w:val="22513ADB"/>
    <w:rsid w:val="22757ED6"/>
    <w:rsid w:val="22992621"/>
    <w:rsid w:val="22A03488"/>
    <w:rsid w:val="22B810B7"/>
    <w:rsid w:val="22CA2534"/>
    <w:rsid w:val="22D516E4"/>
    <w:rsid w:val="22E56A1A"/>
    <w:rsid w:val="22E960A7"/>
    <w:rsid w:val="22F13239"/>
    <w:rsid w:val="23090AA4"/>
    <w:rsid w:val="230C06A9"/>
    <w:rsid w:val="232814F0"/>
    <w:rsid w:val="232C6B28"/>
    <w:rsid w:val="23541C5C"/>
    <w:rsid w:val="236261CD"/>
    <w:rsid w:val="23666474"/>
    <w:rsid w:val="238F35B4"/>
    <w:rsid w:val="239600A0"/>
    <w:rsid w:val="239D322E"/>
    <w:rsid w:val="23C04277"/>
    <w:rsid w:val="23C23E2C"/>
    <w:rsid w:val="23EC4965"/>
    <w:rsid w:val="23ED6B98"/>
    <w:rsid w:val="23F00B2A"/>
    <w:rsid w:val="241A1298"/>
    <w:rsid w:val="241A7921"/>
    <w:rsid w:val="24482965"/>
    <w:rsid w:val="244E43EB"/>
    <w:rsid w:val="24581BB6"/>
    <w:rsid w:val="24625747"/>
    <w:rsid w:val="246B4886"/>
    <w:rsid w:val="249F55BB"/>
    <w:rsid w:val="24A156D9"/>
    <w:rsid w:val="24B6090C"/>
    <w:rsid w:val="24B7117A"/>
    <w:rsid w:val="24B86D6F"/>
    <w:rsid w:val="24D075C4"/>
    <w:rsid w:val="24D357BC"/>
    <w:rsid w:val="24E41EBD"/>
    <w:rsid w:val="251D6150"/>
    <w:rsid w:val="252D0EDC"/>
    <w:rsid w:val="255F46C0"/>
    <w:rsid w:val="25894F1C"/>
    <w:rsid w:val="25910F73"/>
    <w:rsid w:val="25975182"/>
    <w:rsid w:val="259B4EAA"/>
    <w:rsid w:val="25B50668"/>
    <w:rsid w:val="25B556A5"/>
    <w:rsid w:val="25EE63DB"/>
    <w:rsid w:val="25F62975"/>
    <w:rsid w:val="2601730F"/>
    <w:rsid w:val="260B3AA2"/>
    <w:rsid w:val="261A0447"/>
    <w:rsid w:val="2629655D"/>
    <w:rsid w:val="26304A03"/>
    <w:rsid w:val="26364D21"/>
    <w:rsid w:val="26731A45"/>
    <w:rsid w:val="267D4C23"/>
    <w:rsid w:val="268A2E9F"/>
    <w:rsid w:val="268D68E3"/>
    <w:rsid w:val="269B3FDD"/>
    <w:rsid w:val="269C61AD"/>
    <w:rsid w:val="26B87793"/>
    <w:rsid w:val="26B900D5"/>
    <w:rsid w:val="26BC7BF6"/>
    <w:rsid w:val="26C14ABC"/>
    <w:rsid w:val="26D311FF"/>
    <w:rsid w:val="26D47BBD"/>
    <w:rsid w:val="26D80CCE"/>
    <w:rsid w:val="26E11C81"/>
    <w:rsid w:val="270952D9"/>
    <w:rsid w:val="27272A96"/>
    <w:rsid w:val="27283244"/>
    <w:rsid w:val="27376DC6"/>
    <w:rsid w:val="274055D0"/>
    <w:rsid w:val="274B46B3"/>
    <w:rsid w:val="27517033"/>
    <w:rsid w:val="27535D84"/>
    <w:rsid w:val="276052A0"/>
    <w:rsid w:val="27735BBE"/>
    <w:rsid w:val="277512F4"/>
    <w:rsid w:val="278256E2"/>
    <w:rsid w:val="278F1145"/>
    <w:rsid w:val="279436AC"/>
    <w:rsid w:val="27981532"/>
    <w:rsid w:val="27A65AB1"/>
    <w:rsid w:val="27A94BB1"/>
    <w:rsid w:val="27AA21B2"/>
    <w:rsid w:val="27B73A1A"/>
    <w:rsid w:val="27CF4540"/>
    <w:rsid w:val="27DE2D94"/>
    <w:rsid w:val="27EE4A9C"/>
    <w:rsid w:val="27F4459E"/>
    <w:rsid w:val="280458A8"/>
    <w:rsid w:val="28264760"/>
    <w:rsid w:val="28274F18"/>
    <w:rsid w:val="28282657"/>
    <w:rsid w:val="282B7B90"/>
    <w:rsid w:val="28333119"/>
    <w:rsid w:val="283C52E2"/>
    <w:rsid w:val="28452D6C"/>
    <w:rsid w:val="28654F05"/>
    <w:rsid w:val="28664F00"/>
    <w:rsid w:val="288E0911"/>
    <w:rsid w:val="289D73A3"/>
    <w:rsid w:val="28A34D78"/>
    <w:rsid w:val="28A7275C"/>
    <w:rsid w:val="28AF543D"/>
    <w:rsid w:val="28C26D95"/>
    <w:rsid w:val="28D50FDF"/>
    <w:rsid w:val="28DF5AF6"/>
    <w:rsid w:val="28EE2872"/>
    <w:rsid w:val="28FA4362"/>
    <w:rsid w:val="28FA66C3"/>
    <w:rsid w:val="292F4988"/>
    <w:rsid w:val="293002B5"/>
    <w:rsid w:val="29492524"/>
    <w:rsid w:val="294F7299"/>
    <w:rsid w:val="295D5770"/>
    <w:rsid w:val="29680A5D"/>
    <w:rsid w:val="29791F3B"/>
    <w:rsid w:val="297D1992"/>
    <w:rsid w:val="29825BBC"/>
    <w:rsid w:val="29997AF6"/>
    <w:rsid w:val="29A25FFE"/>
    <w:rsid w:val="29A45906"/>
    <w:rsid w:val="29A506FC"/>
    <w:rsid w:val="29BD5C6D"/>
    <w:rsid w:val="29CB2F2E"/>
    <w:rsid w:val="29CD3C84"/>
    <w:rsid w:val="29EC1B96"/>
    <w:rsid w:val="2A017C21"/>
    <w:rsid w:val="2A0D61D2"/>
    <w:rsid w:val="2A1F107E"/>
    <w:rsid w:val="2A286490"/>
    <w:rsid w:val="2A2F6C73"/>
    <w:rsid w:val="2A313078"/>
    <w:rsid w:val="2A3C46AD"/>
    <w:rsid w:val="2A5F294A"/>
    <w:rsid w:val="2A6960E0"/>
    <w:rsid w:val="2A7321CD"/>
    <w:rsid w:val="2A8069DE"/>
    <w:rsid w:val="2AD27564"/>
    <w:rsid w:val="2AFE17DC"/>
    <w:rsid w:val="2B0058DE"/>
    <w:rsid w:val="2B03543E"/>
    <w:rsid w:val="2B0E6870"/>
    <w:rsid w:val="2B222450"/>
    <w:rsid w:val="2B2A73BF"/>
    <w:rsid w:val="2B4572CE"/>
    <w:rsid w:val="2B484A17"/>
    <w:rsid w:val="2B711F28"/>
    <w:rsid w:val="2B761F33"/>
    <w:rsid w:val="2B7C1190"/>
    <w:rsid w:val="2B863FB0"/>
    <w:rsid w:val="2B95102F"/>
    <w:rsid w:val="2B985264"/>
    <w:rsid w:val="2B9C7794"/>
    <w:rsid w:val="2BA13147"/>
    <w:rsid w:val="2BC37EC0"/>
    <w:rsid w:val="2BCF5B2C"/>
    <w:rsid w:val="2BDD73DE"/>
    <w:rsid w:val="2BE04876"/>
    <w:rsid w:val="2BE805A8"/>
    <w:rsid w:val="2BEC2235"/>
    <w:rsid w:val="2C057542"/>
    <w:rsid w:val="2C08491D"/>
    <w:rsid w:val="2C1326AB"/>
    <w:rsid w:val="2C145A60"/>
    <w:rsid w:val="2C310072"/>
    <w:rsid w:val="2C321771"/>
    <w:rsid w:val="2C3A7715"/>
    <w:rsid w:val="2C5E46AE"/>
    <w:rsid w:val="2C7A45DE"/>
    <w:rsid w:val="2C821439"/>
    <w:rsid w:val="2C8E261E"/>
    <w:rsid w:val="2C934AC2"/>
    <w:rsid w:val="2C957B0A"/>
    <w:rsid w:val="2CBA7C54"/>
    <w:rsid w:val="2CBB4533"/>
    <w:rsid w:val="2CCA7766"/>
    <w:rsid w:val="2CE212A5"/>
    <w:rsid w:val="2CEA2531"/>
    <w:rsid w:val="2CFE413E"/>
    <w:rsid w:val="2D06075E"/>
    <w:rsid w:val="2D081A1B"/>
    <w:rsid w:val="2D204C5E"/>
    <w:rsid w:val="2D2A0D7D"/>
    <w:rsid w:val="2D322B06"/>
    <w:rsid w:val="2D357BC4"/>
    <w:rsid w:val="2D3E16A0"/>
    <w:rsid w:val="2D416722"/>
    <w:rsid w:val="2D47220B"/>
    <w:rsid w:val="2D4E7F5B"/>
    <w:rsid w:val="2D543EC1"/>
    <w:rsid w:val="2D5D3C0C"/>
    <w:rsid w:val="2D7333BF"/>
    <w:rsid w:val="2D7F2732"/>
    <w:rsid w:val="2D8C541D"/>
    <w:rsid w:val="2D8F7CFB"/>
    <w:rsid w:val="2D9211D0"/>
    <w:rsid w:val="2D990B9C"/>
    <w:rsid w:val="2D9E2037"/>
    <w:rsid w:val="2DA6121D"/>
    <w:rsid w:val="2DAA47C7"/>
    <w:rsid w:val="2DB055CF"/>
    <w:rsid w:val="2DB13E52"/>
    <w:rsid w:val="2DC31B03"/>
    <w:rsid w:val="2DD972D9"/>
    <w:rsid w:val="2DDF3E3D"/>
    <w:rsid w:val="2DE6023D"/>
    <w:rsid w:val="2DEE781B"/>
    <w:rsid w:val="2DF416B6"/>
    <w:rsid w:val="2E040334"/>
    <w:rsid w:val="2E0532FE"/>
    <w:rsid w:val="2E3A1FC5"/>
    <w:rsid w:val="2E5E5416"/>
    <w:rsid w:val="2E6E2922"/>
    <w:rsid w:val="2E7A120C"/>
    <w:rsid w:val="2E7A66FC"/>
    <w:rsid w:val="2E7E53C3"/>
    <w:rsid w:val="2E85671A"/>
    <w:rsid w:val="2E8D4D26"/>
    <w:rsid w:val="2E9927A3"/>
    <w:rsid w:val="2EA122AD"/>
    <w:rsid w:val="2EB9759D"/>
    <w:rsid w:val="2ECB17EB"/>
    <w:rsid w:val="2ECB5E92"/>
    <w:rsid w:val="2EE82886"/>
    <w:rsid w:val="2EEE27ED"/>
    <w:rsid w:val="2EF201EA"/>
    <w:rsid w:val="2F0B2DD5"/>
    <w:rsid w:val="2F1330F0"/>
    <w:rsid w:val="2F2039C0"/>
    <w:rsid w:val="2F21032A"/>
    <w:rsid w:val="2F210D27"/>
    <w:rsid w:val="2F4973FC"/>
    <w:rsid w:val="2F7871D6"/>
    <w:rsid w:val="2F8C3113"/>
    <w:rsid w:val="2F940AB6"/>
    <w:rsid w:val="2FA71E09"/>
    <w:rsid w:val="2FB90B9B"/>
    <w:rsid w:val="2FC00136"/>
    <w:rsid w:val="2FCC1336"/>
    <w:rsid w:val="2FD1530B"/>
    <w:rsid w:val="2FE90991"/>
    <w:rsid w:val="2FED36DB"/>
    <w:rsid w:val="2FED7A26"/>
    <w:rsid w:val="2FEE3350"/>
    <w:rsid w:val="2FF351B1"/>
    <w:rsid w:val="300346D5"/>
    <w:rsid w:val="300C14D7"/>
    <w:rsid w:val="30297FBC"/>
    <w:rsid w:val="30355611"/>
    <w:rsid w:val="30504C5C"/>
    <w:rsid w:val="306D0246"/>
    <w:rsid w:val="307739D9"/>
    <w:rsid w:val="307B7F53"/>
    <w:rsid w:val="30CF291A"/>
    <w:rsid w:val="30DA0679"/>
    <w:rsid w:val="30EA06B3"/>
    <w:rsid w:val="311A339B"/>
    <w:rsid w:val="312D7213"/>
    <w:rsid w:val="313223FD"/>
    <w:rsid w:val="313655FC"/>
    <w:rsid w:val="314F230B"/>
    <w:rsid w:val="319B0473"/>
    <w:rsid w:val="31D42819"/>
    <w:rsid w:val="31F95A80"/>
    <w:rsid w:val="31FE1914"/>
    <w:rsid w:val="320A77FD"/>
    <w:rsid w:val="320D28E7"/>
    <w:rsid w:val="32131AD0"/>
    <w:rsid w:val="32490371"/>
    <w:rsid w:val="324F33D7"/>
    <w:rsid w:val="32545C17"/>
    <w:rsid w:val="32563297"/>
    <w:rsid w:val="327060AB"/>
    <w:rsid w:val="32914577"/>
    <w:rsid w:val="32AC4779"/>
    <w:rsid w:val="32B4451E"/>
    <w:rsid w:val="32C369AC"/>
    <w:rsid w:val="32E71A71"/>
    <w:rsid w:val="32EC3387"/>
    <w:rsid w:val="32F05CA0"/>
    <w:rsid w:val="330B029A"/>
    <w:rsid w:val="330C2A6F"/>
    <w:rsid w:val="33121752"/>
    <w:rsid w:val="332D40C2"/>
    <w:rsid w:val="334B2675"/>
    <w:rsid w:val="33530D5D"/>
    <w:rsid w:val="33536431"/>
    <w:rsid w:val="33561838"/>
    <w:rsid w:val="33577D64"/>
    <w:rsid w:val="33600DD6"/>
    <w:rsid w:val="33623D82"/>
    <w:rsid w:val="33752A8B"/>
    <w:rsid w:val="3381788D"/>
    <w:rsid w:val="33987FE8"/>
    <w:rsid w:val="33B311B3"/>
    <w:rsid w:val="33B37AA9"/>
    <w:rsid w:val="33B71E7A"/>
    <w:rsid w:val="33D644A8"/>
    <w:rsid w:val="33ED5577"/>
    <w:rsid w:val="33F71C96"/>
    <w:rsid w:val="340B208B"/>
    <w:rsid w:val="343609E7"/>
    <w:rsid w:val="34377B0A"/>
    <w:rsid w:val="34BD5D44"/>
    <w:rsid w:val="34C101C1"/>
    <w:rsid w:val="34CB1CCB"/>
    <w:rsid w:val="34DC2644"/>
    <w:rsid w:val="34E77ECD"/>
    <w:rsid w:val="34ED5B4A"/>
    <w:rsid w:val="34FE5200"/>
    <w:rsid w:val="35027FFE"/>
    <w:rsid w:val="35045C4E"/>
    <w:rsid w:val="35332DA5"/>
    <w:rsid w:val="3541520B"/>
    <w:rsid w:val="35566F4D"/>
    <w:rsid w:val="357A34F0"/>
    <w:rsid w:val="359468D4"/>
    <w:rsid w:val="35B15849"/>
    <w:rsid w:val="35C258CD"/>
    <w:rsid w:val="35DE085F"/>
    <w:rsid w:val="35E21547"/>
    <w:rsid w:val="36040E2C"/>
    <w:rsid w:val="360D4C4A"/>
    <w:rsid w:val="36343A72"/>
    <w:rsid w:val="36491401"/>
    <w:rsid w:val="365D508B"/>
    <w:rsid w:val="369D5767"/>
    <w:rsid w:val="36DD5C81"/>
    <w:rsid w:val="36DE3DD7"/>
    <w:rsid w:val="36E233F0"/>
    <w:rsid w:val="36FF1C5E"/>
    <w:rsid w:val="37021F31"/>
    <w:rsid w:val="370B4F3C"/>
    <w:rsid w:val="3741548E"/>
    <w:rsid w:val="375371CE"/>
    <w:rsid w:val="37556F27"/>
    <w:rsid w:val="37781ACC"/>
    <w:rsid w:val="379D203C"/>
    <w:rsid w:val="379E68E4"/>
    <w:rsid w:val="37B413CC"/>
    <w:rsid w:val="37DA75D0"/>
    <w:rsid w:val="37EF1A1D"/>
    <w:rsid w:val="37F13E18"/>
    <w:rsid w:val="37F71530"/>
    <w:rsid w:val="38004B13"/>
    <w:rsid w:val="380A71F4"/>
    <w:rsid w:val="381E11CA"/>
    <w:rsid w:val="384B14B7"/>
    <w:rsid w:val="385F455C"/>
    <w:rsid w:val="38682503"/>
    <w:rsid w:val="38712419"/>
    <w:rsid w:val="388146EC"/>
    <w:rsid w:val="388E4824"/>
    <w:rsid w:val="38A27406"/>
    <w:rsid w:val="38A63B98"/>
    <w:rsid w:val="38A7296B"/>
    <w:rsid w:val="38B42DF8"/>
    <w:rsid w:val="38CC0AD8"/>
    <w:rsid w:val="38D72DC0"/>
    <w:rsid w:val="38F35E91"/>
    <w:rsid w:val="38F62947"/>
    <w:rsid w:val="38F745EA"/>
    <w:rsid w:val="38FA4FE2"/>
    <w:rsid w:val="391A2D9D"/>
    <w:rsid w:val="392171F8"/>
    <w:rsid w:val="392E478D"/>
    <w:rsid w:val="393461AE"/>
    <w:rsid w:val="39622CF6"/>
    <w:rsid w:val="397D4B49"/>
    <w:rsid w:val="398A6349"/>
    <w:rsid w:val="398D7168"/>
    <w:rsid w:val="39942EFE"/>
    <w:rsid w:val="39A21CE3"/>
    <w:rsid w:val="39CB3DA2"/>
    <w:rsid w:val="39F32293"/>
    <w:rsid w:val="39FF77B6"/>
    <w:rsid w:val="3A03056E"/>
    <w:rsid w:val="3A061029"/>
    <w:rsid w:val="3A0812AA"/>
    <w:rsid w:val="3A097111"/>
    <w:rsid w:val="3A306F82"/>
    <w:rsid w:val="3A362B17"/>
    <w:rsid w:val="3A445FB0"/>
    <w:rsid w:val="3A542C79"/>
    <w:rsid w:val="3A5835CA"/>
    <w:rsid w:val="3A6158E7"/>
    <w:rsid w:val="3A652295"/>
    <w:rsid w:val="3A6D6F01"/>
    <w:rsid w:val="3A7B3DA6"/>
    <w:rsid w:val="3A9835D4"/>
    <w:rsid w:val="3A995AB2"/>
    <w:rsid w:val="3AA53C7E"/>
    <w:rsid w:val="3AE76180"/>
    <w:rsid w:val="3AF25226"/>
    <w:rsid w:val="3AF32B72"/>
    <w:rsid w:val="3AF43933"/>
    <w:rsid w:val="3AF81B60"/>
    <w:rsid w:val="3AFA06D3"/>
    <w:rsid w:val="3AFC455B"/>
    <w:rsid w:val="3AFF5F80"/>
    <w:rsid w:val="3B13630C"/>
    <w:rsid w:val="3B322457"/>
    <w:rsid w:val="3B355D3B"/>
    <w:rsid w:val="3B3A2548"/>
    <w:rsid w:val="3B4A3888"/>
    <w:rsid w:val="3B5A7171"/>
    <w:rsid w:val="3B662A4E"/>
    <w:rsid w:val="3B8861D5"/>
    <w:rsid w:val="3B9143CA"/>
    <w:rsid w:val="3BA04801"/>
    <w:rsid w:val="3BAC7B48"/>
    <w:rsid w:val="3BB96578"/>
    <w:rsid w:val="3BC42B0B"/>
    <w:rsid w:val="3BCE589D"/>
    <w:rsid w:val="3BD16847"/>
    <w:rsid w:val="3BFC1A20"/>
    <w:rsid w:val="3C03716C"/>
    <w:rsid w:val="3C0555DB"/>
    <w:rsid w:val="3C0E6D98"/>
    <w:rsid w:val="3C1579FF"/>
    <w:rsid w:val="3C1D529E"/>
    <w:rsid w:val="3C8601EE"/>
    <w:rsid w:val="3C985662"/>
    <w:rsid w:val="3CC82D1A"/>
    <w:rsid w:val="3CE70CB0"/>
    <w:rsid w:val="3D295D6B"/>
    <w:rsid w:val="3D2A5D53"/>
    <w:rsid w:val="3D2F7075"/>
    <w:rsid w:val="3D3340A8"/>
    <w:rsid w:val="3D416A9B"/>
    <w:rsid w:val="3D54258F"/>
    <w:rsid w:val="3D7658FA"/>
    <w:rsid w:val="3D8D3E0B"/>
    <w:rsid w:val="3DAA3B69"/>
    <w:rsid w:val="3DE67D91"/>
    <w:rsid w:val="3DF20740"/>
    <w:rsid w:val="3DFC3FD5"/>
    <w:rsid w:val="3DFD2D1E"/>
    <w:rsid w:val="3E046C9F"/>
    <w:rsid w:val="3E301C45"/>
    <w:rsid w:val="3E4F6A81"/>
    <w:rsid w:val="3E502662"/>
    <w:rsid w:val="3E5543AC"/>
    <w:rsid w:val="3E5E11C6"/>
    <w:rsid w:val="3E5F7B77"/>
    <w:rsid w:val="3E8B3D70"/>
    <w:rsid w:val="3E8E3C86"/>
    <w:rsid w:val="3E911700"/>
    <w:rsid w:val="3E9230A9"/>
    <w:rsid w:val="3E936F3B"/>
    <w:rsid w:val="3EBF4075"/>
    <w:rsid w:val="3EC5701C"/>
    <w:rsid w:val="3EE63D3B"/>
    <w:rsid w:val="3EF709FE"/>
    <w:rsid w:val="3EF827D2"/>
    <w:rsid w:val="3EFD4AB5"/>
    <w:rsid w:val="3F1F50B1"/>
    <w:rsid w:val="3F3E1D92"/>
    <w:rsid w:val="3F403AC3"/>
    <w:rsid w:val="3F425D4A"/>
    <w:rsid w:val="3F434A9C"/>
    <w:rsid w:val="3F583EB5"/>
    <w:rsid w:val="3F5C2CA6"/>
    <w:rsid w:val="3F6C7322"/>
    <w:rsid w:val="3F787457"/>
    <w:rsid w:val="3F7D555B"/>
    <w:rsid w:val="3F8A27F6"/>
    <w:rsid w:val="3F962416"/>
    <w:rsid w:val="3FC25ADE"/>
    <w:rsid w:val="3FD2570A"/>
    <w:rsid w:val="3FE4547E"/>
    <w:rsid w:val="3FF10D6F"/>
    <w:rsid w:val="40051B04"/>
    <w:rsid w:val="401D75AE"/>
    <w:rsid w:val="4026430F"/>
    <w:rsid w:val="402C64BF"/>
    <w:rsid w:val="40300523"/>
    <w:rsid w:val="40301FC1"/>
    <w:rsid w:val="4035217D"/>
    <w:rsid w:val="40371E75"/>
    <w:rsid w:val="404358CC"/>
    <w:rsid w:val="405705F5"/>
    <w:rsid w:val="406178BF"/>
    <w:rsid w:val="406A310F"/>
    <w:rsid w:val="407B754E"/>
    <w:rsid w:val="40804C32"/>
    <w:rsid w:val="408F07C9"/>
    <w:rsid w:val="40D21B1D"/>
    <w:rsid w:val="40F476B6"/>
    <w:rsid w:val="40FC7772"/>
    <w:rsid w:val="41010506"/>
    <w:rsid w:val="4127575F"/>
    <w:rsid w:val="414F1A0A"/>
    <w:rsid w:val="41557FAD"/>
    <w:rsid w:val="415B1C93"/>
    <w:rsid w:val="417E059E"/>
    <w:rsid w:val="41A94951"/>
    <w:rsid w:val="41AC0759"/>
    <w:rsid w:val="41AF7D55"/>
    <w:rsid w:val="41B15FF2"/>
    <w:rsid w:val="41C15CA7"/>
    <w:rsid w:val="41DB5651"/>
    <w:rsid w:val="41DE1625"/>
    <w:rsid w:val="42295FD4"/>
    <w:rsid w:val="422E0FDC"/>
    <w:rsid w:val="423369F7"/>
    <w:rsid w:val="42353388"/>
    <w:rsid w:val="424D6E4A"/>
    <w:rsid w:val="427962C3"/>
    <w:rsid w:val="427A7E2A"/>
    <w:rsid w:val="428576F0"/>
    <w:rsid w:val="428A41C7"/>
    <w:rsid w:val="42983AC6"/>
    <w:rsid w:val="42BB6221"/>
    <w:rsid w:val="42C352A0"/>
    <w:rsid w:val="42C96FEC"/>
    <w:rsid w:val="42D40237"/>
    <w:rsid w:val="42D47B9E"/>
    <w:rsid w:val="43097248"/>
    <w:rsid w:val="43227D24"/>
    <w:rsid w:val="43331C39"/>
    <w:rsid w:val="433F54B9"/>
    <w:rsid w:val="435117B0"/>
    <w:rsid w:val="43640C0A"/>
    <w:rsid w:val="43656782"/>
    <w:rsid w:val="437752F4"/>
    <w:rsid w:val="438E6DF9"/>
    <w:rsid w:val="439E64C0"/>
    <w:rsid w:val="43A932A4"/>
    <w:rsid w:val="43B525A4"/>
    <w:rsid w:val="43DC25B2"/>
    <w:rsid w:val="44136510"/>
    <w:rsid w:val="4423101C"/>
    <w:rsid w:val="442C1839"/>
    <w:rsid w:val="44334166"/>
    <w:rsid w:val="446169BE"/>
    <w:rsid w:val="44744ACD"/>
    <w:rsid w:val="448A467F"/>
    <w:rsid w:val="449F7CCD"/>
    <w:rsid w:val="44B60464"/>
    <w:rsid w:val="44DD2B53"/>
    <w:rsid w:val="44E6098D"/>
    <w:rsid w:val="44FA7E6E"/>
    <w:rsid w:val="450C0205"/>
    <w:rsid w:val="45131D9C"/>
    <w:rsid w:val="451372B3"/>
    <w:rsid w:val="451D45D9"/>
    <w:rsid w:val="45201856"/>
    <w:rsid w:val="45232BED"/>
    <w:rsid w:val="454F73EC"/>
    <w:rsid w:val="45501EE0"/>
    <w:rsid w:val="45866A8B"/>
    <w:rsid w:val="45873BF9"/>
    <w:rsid w:val="458804AD"/>
    <w:rsid w:val="45AD60F2"/>
    <w:rsid w:val="45D954EC"/>
    <w:rsid w:val="45F474B6"/>
    <w:rsid w:val="460D4E70"/>
    <w:rsid w:val="460D55B1"/>
    <w:rsid w:val="461244EE"/>
    <w:rsid w:val="4615699D"/>
    <w:rsid w:val="461F29E8"/>
    <w:rsid w:val="4649016D"/>
    <w:rsid w:val="4650089E"/>
    <w:rsid w:val="466A50BF"/>
    <w:rsid w:val="468C5F42"/>
    <w:rsid w:val="46933026"/>
    <w:rsid w:val="469947A1"/>
    <w:rsid w:val="469B257B"/>
    <w:rsid w:val="469C0B90"/>
    <w:rsid w:val="46AD35DA"/>
    <w:rsid w:val="46B85AD7"/>
    <w:rsid w:val="46B92CCF"/>
    <w:rsid w:val="46BE6AA7"/>
    <w:rsid w:val="46F06E42"/>
    <w:rsid w:val="46F54D33"/>
    <w:rsid w:val="46F86283"/>
    <w:rsid w:val="470A1DF9"/>
    <w:rsid w:val="470B47B9"/>
    <w:rsid w:val="4715007E"/>
    <w:rsid w:val="47275F83"/>
    <w:rsid w:val="473D6B29"/>
    <w:rsid w:val="47475E43"/>
    <w:rsid w:val="47751955"/>
    <w:rsid w:val="47775C50"/>
    <w:rsid w:val="477D0AA3"/>
    <w:rsid w:val="47927FD4"/>
    <w:rsid w:val="47BA2A0C"/>
    <w:rsid w:val="47C2788A"/>
    <w:rsid w:val="47D760AC"/>
    <w:rsid w:val="48020EF5"/>
    <w:rsid w:val="480457F5"/>
    <w:rsid w:val="480F6F18"/>
    <w:rsid w:val="48110F06"/>
    <w:rsid w:val="4826495F"/>
    <w:rsid w:val="48313FAB"/>
    <w:rsid w:val="48392219"/>
    <w:rsid w:val="483E0A8D"/>
    <w:rsid w:val="484540A0"/>
    <w:rsid w:val="485300F2"/>
    <w:rsid w:val="488A436F"/>
    <w:rsid w:val="488B4BAD"/>
    <w:rsid w:val="48A9363A"/>
    <w:rsid w:val="48BC04FA"/>
    <w:rsid w:val="48E12D60"/>
    <w:rsid w:val="4919795E"/>
    <w:rsid w:val="49251DC1"/>
    <w:rsid w:val="49332778"/>
    <w:rsid w:val="494F634D"/>
    <w:rsid w:val="495B788B"/>
    <w:rsid w:val="49656065"/>
    <w:rsid w:val="49694317"/>
    <w:rsid w:val="496A46B7"/>
    <w:rsid w:val="49714137"/>
    <w:rsid w:val="498243F0"/>
    <w:rsid w:val="498841A1"/>
    <w:rsid w:val="49992AEC"/>
    <w:rsid w:val="499E7AA5"/>
    <w:rsid w:val="49A47C69"/>
    <w:rsid w:val="49AC6B23"/>
    <w:rsid w:val="49B33D02"/>
    <w:rsid w:val="49C83B58"/>
    <w:rsid w:val="49CE313C"/>
    <w:rsid w:val="49E5100B"/>
    <w:rsid w:val="49E660C0"/>
    <w:rsid w:val="49FA60CD"/>
    <w:rsid w:val="4A00266F"/>
    <w:rsid w:val="4A0632A0"/>
    <w:rsid w:val="4A0B67DE"/>
    <w:rsid w:val="4A151F1C"/>
    <w:rsid w:val="4A29366D"/>
    <w:rsid w:val="4A5E21AB"/>
    <w:rsid w:val="4A901EF0"/>
    <w:rsid w:val="4A993EF7"/>
    <w:rsid w:val="4AA954F3"/>
    <w:rsid w:val="4AB3149A"/>
    <w:rsid w:val="4AB51DE1"/>
    <w:rsid w:val="4AB74A8E"/>
    <w:rsid w:val="4AC14768"/>
    <w:rsid w:val="4AC62608"/>
    <w:rsid w:val="4AF25861"/>
    <w:rsid w:val="4AF45B69"/>
    <w:rsid w:val="4B0F6D9E"/>
    <w:rsid w:val="4B115E09"/>
    <w:rsid w:val="4B172C96"/>
    <w:rsid w:val="4B1A3A3B"/>
    <w:rsid w:val="4B22570A"/>
    <w:rsid w:val="4B4D65C7"/>
    <w:rsid w:val="4B523312"/>
    <w:rsid w:val="4B5472DF"/>
    <w:rsid w:val="4B576832"/>
    <w:rsid w:val="4B7A01D0"/>
    <w:rsid w:val="4B813B79"/>
    <w:rsid w:val="4B976E58"/>
    <w:rsid w:val="4BA74403"/>
    <w:rsid w:val="4BB03E26"/>
    <w:rsid w:val="4BBB4AE8"/>
    <w:rsid w:val="4BBB5677"/>
    <w:rsid w:val="4BBC3DA3"/>
    <w:rsid w:val="4BC83610"/>
    <w:rsid w:val="4BDD7204"/>
    <w:rsid w:val="4C3014A4"/>
    <w:rsid w:val="4C446A4E"/>
    <w:rsid w:val="4C5F7190"/>
    <w:rsid w:val="4C6E27E3"/>
    <w:rsid w:val="4C6F0CE9"/>
    <w:rsid w:val="4C6F52E3"/>
    <w:rsid w:val="4C763035"/>
    <w:rsid w:val="4C8118B9"/>
    <w:rsid w:val="4D020AA6"/>
    <w:rsid w:val="4D1563BC"/>
    <w:rsid w:val="4D2F5270"/>
    <w:rsid w:val="4D4C473B"/>
    <w:rsid w:val="4D5F59BB"/>
    <w:rsid w:val="4D665AA8"/>
    <w:rsid w:val="4D740EC9"/>
    <w:rsid w:val="4DBF45C2"/>
    <w:rsid w:val="4DC05D92"/>
    <w:rsid w:val="4DC323A8"/>
    <w:rsid w:val="4DC67CEE"/>
    <w:rsid w:val="4DD601B5"/>
    <w:rsid w:val="4DDA084B"/>
    <w:rsid w:val="4DE55F5F"/>
    <w:rsid w:val="4DEF163C"/>
    <w:rsid w:val="4E08582B"/>
    <w:rsid w:val="4E194D5A"/>
    <w:rsid w:val="4E3F4E8D"/>
    <w:rsid w:val="4E440E94"/>
    <w:rsid w:val="4E492772"/>
    <w:rsid w:val="4E4E5768"/>
    <w:rsid w:val="4E574300"/>
    <w:rsid w:val="4E762085"/>
    <w:rsid w:val="4E771D0F"/>
    <w:rsid w:val="4E880754"/>
    <w:rsid w:val="4E95417F"/>
    <w:rsid w:val="4E972DBC"/>
    <w:rsid w:val="4E9E2997"/>
    <w:rsid w:val="4EB32A97"/>
    <w:rsid w:val="4EB41C51"/>
    <w:rsid w:val="4EC82A17"/>
    <w:rsid w:val="4ECA4C3D"/>
    <w:rsid w:val="4ECE0121"/>
    <w:rsid w:val="4ECF09C4"/>
    <w:rsid w:val="4ED36269"/>
    <w:rsid w:val="4EE0329E"/>
    <w:rsid w:val="4F0C7BD1"/>
    <w:rsid w:val="4F377A7E"/>
    <w:rsid w:val="4F3C3FED"/>
    <w:rsid w:val="4F4814CB"/>
    <w:rsid w:val="4F4A5A41"/>
    <w:rsid w:val="4F6146AB"/>
    <w:rsid w:val="4F6D70F8"/>
    <w:rsid w:val="4F732766"/>
    <w:rsid w:val="4F782F84"/>
    <w:rsid w:val="4F785EFC"/>
    <w:rsid w:val="4F996A2F"/>
    <w:rsid w:val="4FA46857"/>
    <w:rsid w:val="4FCC12F3"/>
    <w:rsid w:val="4FDA0213"/>
    <w:rsid w:val="4FDF6722"/>
    <w:rsid w:val="4FEC2130"/>
    <w:rsid w:val="501472E1"/>
    <w:rsid w:val="501777DD"/>
    <w:rsid w:val="50377C5D"/>
    <w:rsid w:val="506C02F6"/>
    <w:rsid w:val="50795217"/>
    <w:rsid w:val="507D2A84"/>
    <w:rsid w:val="507F23DB"/>
    <w:rsid w:val="50843DF8"/>
    <w:rsid w:val="5085704B"/>
    <w:rsid w:val="50953BA3"/>
    <w:rsid w:val="50A055ED"/>
    <w:rsid w:val="50B22415"/>
    <w:rsid w:val="50CA5990"/>
    <w:rsid w:val="50DC235F"/>
    <w:rsid w:val="50E9789A"/>
    <w:rsid w:val="50F4013B"/>
    <w:rsid w:val="51173D18"/>
    <w:rsid w:val="51295380"/>
    <w:rsid w:val="51306C83"/>
    <w:rsid w:val="51464D28"/>
    <w:rsid w:val="51681BD4"/>
    <w:rsid w:val="5177787E"/>
    <w:rsid w:val="51891565"/>
    <w:rsid w:val="519A74A7"/>
    <w:rsid w:val="51A84143"/>
    <w:rsid w:val="51CC1AD1"/>
    <w:rsid w:val="51E733D2"/>
    <w:rsid w:val="51ED581F"/>
    <w:rsid w:val="51ED7B1B"/>
    <w:rsid w:val="51EE0686"/>
    <w:rsid w:val="51FD066B"/>
    <w:rsid w:val="51FE5B7A"/>
    <w:rsid w:val="52312980"/>
    <w:rsid w:val="52322A63"/>
    <w:rsid w:val="525A3D70"/>
    <w:rsid w:val="525B5F5B"/>
    <w:rsid w:val="525C1C3C"/>
    <w:rsid w:val="529735CA"/>
    <w:rsid w:val="52B44A96"/>
    <w:rsid w:val="52C6081B"/>
    <w:rsid w:val="52D61297"/>
    <w:rsid w:val="52D7389B"/>
    <w:rsid w:val="52E4451C"/>
    <w:rsid w:val="532343B4"/>
    <w:rsid w:val="533C04E3"/>
    <w:rsid w:val="533E6909"/>
    <w:rsid w:val="534B3EF0"/>
    <w:rsid w:val="536C3E36"/>
    <w:rsid w:val="536D51C0"/>
    <w:rsid w:val="537006D5"/>
    <w:rsid w:val="537275A1"/>
    <w:rsid w:val="537A2483"/>
    <w:rsid w:val="538600D8"/>
    <w:rsid w:val="539217C8"/>
    <w:rsid w:val="539C0E9E"/>
    <w:rsid w:val="53A567D2"/>
    <w:rsid w:val="53C509AC"/>
    <w:rsid w:val="53CC1099"/>
    <w:rsid w:val="53CF2378"/>
    <w:rsid w:val="53D30CBF"/>
    <w:rsid w:val="53E56014"/>
    <w:rsid w:val="541F1508"/>
    <w:rsid w:val="542715FB"/>
    <w:rsid w:val="54453B78"/>
    <w:rsid w:val="5461469D"/>
    <w:rsid w:val="546F4B57"/>
    <w:rsid w:val="54AC5402"/>
    <w:rsid w:val="54AF4AEE"/>
    <w:rsid w:val="54B33101"/>
    <w:rsid w:val="54CC4290"/>
    <w:rsid w:val="54EA712A"/>
    <w:rsid w:val="54EB0B12"/>
    <w:rsid w:val="54F97692"/>
    <w:rsid w:val="54FD5035"/>
    <w:rsid w:val="54FF1B35"/>
    <w:rsid w:val="551D27D8"/>
    <w:rsid w:val="55240897"/>
    <w:rsid w:val="553A1002"/>
    <w:rsid w:val="555122CB"/>
    <w:rsid w:val="555552B8"/>
    <w:rsid w:val="55616A44"/>
    <w:rsid w:val="55624E03"/>
    <w:rsid w:val="556C080C"/>
    <w:rsid w:val="5572716E"/>
    <w:rsid w:val="557C1BB2"/>
    <w:rsid w:val="55970008"/>
    <w:rsid w:val="559B7F94"/>
    <w:rsid w:val="55DB5C74"/>
    <w:rsid w:val="55DD37AF"/>
    <w:rsid w:val="56117E69"/>
    <w:rsid w:val="561262B0"/>
    <w:rsid w:val="56144434"/>
    <w:rsid w:val="56172336"/>
    <w:rsid w:val="561D38D4"/>
    <w:rsid w:val="56383F81"/>
    <w:rsid w:val="564D26C7"/>
    <w:rsid w:val="56697849"/>
    <w:rsid w:val="566C3E4C"/>
    <w:rsid w:val="56A16B09"/>
    <w:rsid w:val="56A274BB"/>
    <w:rsid w:val="56B1652D"/>
    <w:rsid w:val="56BB0E9E"/>
    <w:rsid w:val="56BC61BB"/>
    <w:rsid w:val="56C37188"/>
    <w:rsid w:val="56C734DB"/>
    <w:rsid w:val="570279A4"/>
    <w:rsid w:val="5718551D"/>
    <w:rsid w:val="571F69D0"/>
    <w:rsid w:val="57410CC1"/>
    <w:rsid w:val="57450D09"/>
    <w:rsid w:val="574C6DDB"/>
    <w:rsid w:val="57576521"/>
    <w:rsid w:val="575E1817"/>
    <w:rsid w:val="5765253A"/>
    <w:rsid w:val="576A443C"/>
    <w:rsid w:val="577309FA"/>
    <w:rsid w:val="57883F28"/>
    <w:rsid w:val="57A406B6"/>
    <w:rsid w:val="57BB02DB"/>
    <w:rsid w:val="57BD4EF1"/>
    <w:rsid w:val="57DB48D4"/>
    <w:rsid w:val="57DC2EDB"/>
    <w:rsid w:val="57EA46D8"/>
    <w:rsid w:val="57EC289F"/>
    <w:rsid w:val="58510A4A"/>
    <w:rsid w:val="58575611"/>
    <w:rsid w:val="585B31F9"/>
    <w:rsid w:val="588E299A"/>
    <w:rsid w:val="5891081D"/>
    <w:rsid w:val="58AB5CBB"/>
    <w:rsid w:val="58CB2844"/>
    <w:rsid w:val="58D009AE"/>
    <w:rsid w:val="58DC3CFE"/>
    <w:rsid w:val="58F659A2"/>
    <w:rsid w:val="591079CB"/>
    <w:rsid w:val="59183B30"/>
    <w:rsid w:val="5935517D"/>
    <w:rsid w:val="59364684"/>
    <w:rsid w:val="59493F41"/>
    <w:rsid w:val="594951BD"/>
    <w:rsid w:val="594F79E3"/>
    <w:rsid w:val="595373B8"/>
    <w:rsid w:val="598600A2"/>
    <w:rsid w:val="598F3AC0"/>
    <w:rsid w:val="59B31A79"/>
    <w:rsid w:val="59B549B6"/>
    <w:rsid w:val="59C14BC6"/>
    <w:rsid w:val="59C70EBB"/>
    <w:rsid w:val="59C8125B"/>
    <w:rsid w:val="59CE448F"/>
    <w:rsid w:val="59D17213"/>
    <w:rsid w:val="59D94BC8"/>
    <w:rsid w:val="59E12331"/>
    <w:rsid w:val="59E51821"/>
    <w:rsid w:val="59FF337E"/>
    <w:rsid w:val="5A0538EB"/>
    <w:rsid w:val="5A067C2D"/>
    <w:rsid w:val="5A096AFC"/>
    <w:rsid w:val="5A1D5140"/>
    <w:rsid w:val="5A28252C"/>
    <w:rsid w:val="5A5604A9"/>
    <w:rsid w:val="5A7121F1"/>
    <w:rsid w:val="5A7F21B4"/>
    <w:rsid w:val="5A7F6762"/>
    <w:rsid w:val="5A8E0759"/>
    <w:rsid w:val="5AB62FAA"/>
    <w:rsid w:val="5ABA709E"/>
    <w:rsid w:val="5AD72471"/>
    <w:rsid w:val="5AE90AB1"/>
    <w:rsid w:val="5AF951C8"/>
    <w:rsid w:val="5B081FB9"/>
    <w:rsid w:val="5B0A723B"/>
    <w:rsid w:val="5B100DAA"/>
    <w:rsid w:val="5B1012DD"/>
    <w:rsid w:val="5B355BC9"/>
    <w:rsid w:val="5B3E6B50"/>
    <w:rsid w:val="5B435861"/>
    <w:rsid w:val="5B4936C8"/>
    <w:rsid w:val="5B5973FA"/>
    <w:rsid w:val="5B5A198F"/>
    <w:rsid w:val="5B65332F"/>
    <w:rsid w:val="5BA14FFA"/>
    <w:rsid w:val="5BA4750A"/>
    <w:rsid w:val="5BE87363"/>
    <w:rsid w:val="5BEF4723"/>
    <w:rsid w:val="5BF7485F"/>
    <w:rsid w:val="5C015121"/>
    <w:rsid w:val="5C0A3453"/>
    <w:rsid w:val="5C2A31CE"/>
    <w:rsid w:val="5C51066C"/>
    <w:rsid w:val="5C662BA1"/>
    <w:rsid w:val="5C6E3947"/>
    <w:rsid w:val="5C827B46"/>
    <w:rsid w:val="5CA23B6C"/>
    <w:rsid w:val="5CA30347"/>
    <w:rsid w:val="5CA56C7A"/>
    <w:rsid w:val="5CB4587F"/>
    <w:rsid w:val="5CB5392D"/>
    <w:rsid w:val="5CEF1CD5"/>
    <w:rsid w:val="5CFC130C"/>
    <w:rsid w:val="5D2F1EA3"/>
    <w:rsid w:val="5D346980"/>
    <w:rsid w:val="5D513EF4"/>
    <w:rsid w:val="5D674CF8"/>
    <w:rsid w:val="5D6C43AB"/>
    <w:rsid w:val="5D7E68F3"/>
    <w:rsid w:val="5D82708B"/>
    <w:rsid w:val="5D9A4C4F"/>
    <w:rsid w:val="5DD024BC"/>
    <w:rsid w:val="5DEA078E"/>
    <w:rsid w:val="5DF53344"/>
    <w:rsid w:val="5E0F47B7"/>
    <w:rsid w:val="5E10546C"/>
    <w:rsid w:val="5E2F6BAB"/>
    <w:rsid w:val="5E4B2DFE"/>
    <w:rsid w:val="5E4D7601"/>
    <w:rsid w:val="5E695614"/>
    <w:rsid w:val="5E8E6D53"/>
    <w:rsid w:val="5EB11B17"/>
    <w:rsid w:val="5EB23633"/>
    <w:rsid w:val="5EBA7D8F"/>
    <w:rsid w:val="5EF01269"/>
    <w:rsid w:val="5EF047A6"/>
    <w:rsid w:val="5EFE6C3C"/>
    <w:rsid w:val="5F2062FC"/>
    <w:rsid w:val="5F212CC1"/>
    <w:rsid w:val="5F2401AB"/>
    <w:rsid w:val="5F2B2393"/>
    <w:rsid w:val="5F313F9A"/>
    <w:rsid w:val="5F381851"/>
    <w:rsid w:val="5F434547"/>
    <w:rsid w:val="5F4C3F05"/>
    <w:rsid w:val="5F5F0EC9"/>
    <w:rsid w:val="5F6F5575"/>
    <w:rsid w:val="5F7757B6"/>
    <w:rsid w:val="5F835427"/>
    <w:rsid w:val="5FC823D6"/>
    <w:rsid w:val="5FDB4E15"/>
    <w:rsid w:val="5FED406A"/>
    <w:rsid w:val="5FF42ABE"/>
    <w:rsid w:val="600852DD"/>
    <w:rsid w:val="601136FB"/>
    <w:rsid w:val="602F6574"/>
    <w:rsid w:val="606C120D"/>
    <w:rsid w:val="607D6490"/>
    <w:rsid w:val="60BB6B1A"/>
    <w:rsid w:val="60D554F1"/>
    <w:rsid w:val="60DE0F30"/>
    <w:rsid w:val="60FA7EC1"/>
    <w:rsid w:val="60FB737A"/>
    <w:rsid w:val="61084FEB"/>
    <w:rsid w:val="610B4F05"/>
    <w:rsid w:val="61432ADA"/>
    <w:rsid w:val="614F4F4C"/>
    <w:rsid w:val="615F402E"/>
    <w:rsid w:val="616502BC"/>
    <w:rsid w:val="61684EF9"/>
    <w:rsid w:val="616869BE"/>
    <w:rsid w:val="617756DB"/>
    <w:rsid w:val="61942516"/>
    <w:rsid w:val="619B464A"/>
    <w:rsid w:val="61CB7B18"/>
    <w:rsid w:val="61D3345D"/>
    <w:rsid w:val="61D51448"/>
    <w:rsid w:val="61EE1426"/>
    <w:rsid w:val="62153B7B"/>
    <w:rsid w:val="621A6620"/>
    <w:rsid w:val="622B65EA"/>
    <w:rsid w:val="623F3ADB"/>
    <w:rsid w:val="62631C83"/>
    <w:rsid w:val="6265664B"/>
    <w:rsid w:val="6275464A"/>
    <w:rsid w:val="628120D0"/>
    <w:rsid w:val="62892100"/>
    <w:rsid w:val="62963F8A"/>
    <w:rsid w:val="62AA1DCF"/>
    <w:rsid w:val="62B43B0D"/>
    <w:rsid w:val="62BD60CF"/>
    <w:rsid w:val="62C4748D"/>
    <w:rsid w:val="62CF0B1F"/>
    <w:rsid w:val="62E35B79"/>
    <w:rsid w:val="631A5E32"/>
    <w:rsid w:val="632D1657"/>
    <w:rsid w:val="63411BAF"/>
    <w:rsid w:val="634C6EEE"/>
    <w:rsid w:val="63711368"/>
    <w:rsid w:val="637F46F6"/>
    <w:rsid w:val="63A47126"/>
    <w:rsid w:val="63D10B7F"/>
    <w:rsid w:val="63E77572"/>
    <w:rsid w:val="63F348D9"/>
    <w:rsid w:val="64040604"/>
    <w:rsid w:val="641329FC"/>
    <w:rsid w:val="641E4151"/>
    <w:rsid w:val="642A11B5"/>
    <w:rsid w:val="644040D9"/>
    <w:rsid w:val="64452F29"/>
    <w:rsid w:val="64462D28"/>
    <w:rsid w:val="6456236E"/>
    <w:rsid w:val="64665458"/>
    <w:rsid w:val="64893C0E"/>
    <w:rsid w:val="648E1BC0"/>
    <w:rsid w:val="64973C80"/>
    <w:rsid w:val="64AC0CFF"/>
    <w:rsid w:val="64B41591"/>
    <w:rsid w:val="64D812FF"/>
    <w:rsid w:val="64D92FA0"/>
    <w:rsid w:val="64EB0FBE"/>
    <w:rsid w:val="64EB7B01"/>
    <w:rsid w:val="650834AC"/>
    <w:rsid w:val="65136AF1"/>
    <w:rsid w:val="652A6D49"/>
    <w:rsid w:val="652A7142"/>
    <w:rsid w:val="652D0A19"/>
    <w:rsid w:val="654B1B04"/>
    <w:rsid w:val="65506C25"/>
    <w:rsid w:val="65603BEF"/>
    <w:rsid w:val="657C2366"/>
    <w:rsid w:val="65815295"/>
    <w:rsid w:val="65903BC0"/>
    <w:rsid w:val="659979F9"/>
    <w:rsid w:val="65A5003C"/>
    <w:rsid w:val="65B01F28"/>
    <w:rsid w:val="65D22B1F"/>
    <w:rsid w:val="65E2056D"/>
    <w:rsid w:val="65E61FDC"/>
    <w:rsid w:val="65E93500"/>
    <w:rsid w:val="65F23E19"/>
    <w:rsid w:val="65FA04F9"/>
    <w:rsid w:val="660671D2"/>
    <w:rsid w:val="662A2115"/>
    <w:rsid w:val="66354CF3"/>
    <w:rsid w:val="66394CCA"/>
    <w:rsid w:val="66476A3E"/>
    <w:rsid w:val="66522722"/>
    <w:rsid w:val="666B302E"/>
    <w:rsid w:val="6672490B"/>
    <w:rsid w:val="668D309D"/>
    <w:rsid w:val="669259D6"/>
    <w:rsid w:val="66AF52E3"/>
    <w:rsid w:val="66BF4894"/>
    <w:rsid w:val="66C97BDC"/>
    <w:rsid w:val="66FB231E"/>
    <w:rsid w:val="67344EEE"/>
    <w:rsid w:val="676644C1"/>
    <w:rsid w:val="67807AF6"/>
    <w:rsid w:val="679623CC"/>
    <w:rsid w:val="67A50C86"/>
    <w:rsid w:val="67AA1BD4"/>
    <w:rsid w:val="67B03E1C"/>
    <w:rsid w:val="67B63ADD"/>
    <w:rsid w:val="67BA24F7"/>
    <w:rsid w:val="67BD327A"/>
    <w:rsid w:val="67BD35DC"/>
    <w:rsid w:val="67BE743F"/>
    <w:rsid w:val="67DD5CD3"/>
    <w:rsid w:val="67ED2769"/>
    <w:rsid w:val="67F4187F"/>
    <w:rsid w:val="67FD6F7B"/>
    <w:rsid w:val="680349A7"/>
    <w:rsid w:val="68046717"/>
    <w:rsid w:val="68282FC4"/>
    <w:rsid w:val="683B6C01"/>
    <w:rsid w:val="68522D85"/>
    <w:rsid w:val="687E4082"/>
    <w:rsid w:val="68881692"/>
    <w:rsid w:val="68A1661F"/>
    <w:rsid w:val="68B63E2E"/>
    <w:rsid w:val="68BA7849"/>
    <w:rsid w:val="68E0788A"/>
    <w:rsid w:val="69082581"/>
    <w:rsid w:val="6910135B"/>
    <w:rsid w:val="69162D19"/>
    <w:rsid w:val="69306998"/>
    <w:rsid w:val="693717F2"/>
    <w:rsid w:val="69442FE9"/>
    <w:rsid w:val="695A3AF9"/>
    <w:rsid w:val="696463EB"/>
    <w:rsid w:val="69734D74"/>
    <w:rsid w:val="697B6A64"/>
    <w:rsid w:val="69862CE3"/>
    <w:rsid w:val="6986629D"/>
    <w:rsid w:val="699332E8"/>
    <w:rsid w:val="69D76785"/>
    <w:rsid w:val="6A152EFB"/>
    <w:rsid w:val="6A2B61A1"/>
    <w:rsid w:val="6A2C167F"/>
    <w:rsid w:val="6A5F0006"/>
    <w:rsid w:val="6A6774C4"/>
    <w:rsid w:val="6A7925A8"/>
    <w:rsid w:val="6A8A41CB"/>
    <w:rsid w:val="6A9D6E15"/>
    <w:rsid w:val="6AA54363"/>
    <w:rsid w:val="6AB24160"/>
    <w:rsid w:val="6ABA4896"/>
    <w:rsid w:val="6AD206F4"/>
    <w:rsid w:val="6ADF1F96"/>
    <w:rsid w:val="6AE564D2"/>
    <w:rsid w:val="6AF77BC8"/>
    <w:rsid w:val="6B000B6C"/>
    <w:rsid w:val="6B050FD0"/>
    <w:rsid w:val="6B0E317F"/>
    <w:rsid w:val="6B216572"/>
    <w:rsid w:val="6B277DA2"/>
    <w:rsid w:val="6B4D280C"/>
    <w:rsid w:val="6B4E219B"/>
    <w:rsid w:val="6B501A20"/>
    <w:rsid w:val="6B592A06"/>
    <w:rsid w:val="6B601C74"/>
    <w:rsid w:val="6B752969"/>
    <w:rsid w:val="6B810FF6"/>
    <w:rsid w:val="6B814F29"/>
    <w:rsid w:val="6B9B009D"/>
    <w:rsid w:val="6B9F4803"/>
    <w:rsid w:val="6BB561B9"/>
    <w:rsid w:val="6BF43D27"/>
    <w:rsid w:val="6BFF64B2"/>
    <w:rsid w:val="6C112746"/>
    <w:rsid w:val="6C1F7BCC"/>
    <w:rsid w:val="6C296528"/>
    <w:rsid w:val="6C4145B4"/>
    <w:rsid w:val="6C5972A7"/>
    <w:rsid w:val="6C707780"/>
    <w:rsid w:val="6C733352"/>
    <w:rsid w:val="6C7C747A"/>
    <w:rsid w:val="6CD400B2"/>
    <w:rsid w:val="6CDF5577"/>
    <w:rsid w:val="6CE23959"/>
    <w:rsid w:val="6CF83F7E"/>
    <w:rsid w:val="6D0C5B72"/>
    <w:rsid w:val="6D404CA9"/>
    <w:rsid w:val="6D472903"/>
    <w:rsid w:val="6D6A6F41"/>
    <w:rsid w:val="6D723243"/>
    <w:rsid w:val="6D78793E"/>
    <w:rsid w:val="6D9E2848"/>
    <w:rsid w:val="6DA11D1D"/>
    <w:rsid w:val="6DA34920"/>
    <w:rsid w:val="6DA9096F"/>
    <w:rsid w:val="6DB1336D"/>
    <w:rsid w:val="6DE97DFA"/>
    <w:rsid w:val="6DF92ABB"/>
    <w:rsid w:val="6DFC1659"/>
    <w:rsid w:val="6E044FCF"/>
    <w:rsid w:val="6E0B6526"/>
    <w:rsid w:val="6E0D5DF1"/>
    <w:rsid w:val="6E0E1276"/>
    <w:rsid w:val="6E1A137E"/>
    <w:rsid w:val="6E1B7A44"/>
    <w:rsid w:val="6E3E507C"/>
    <w:rsid w:val="6E4228F4"/>
    <w:rsid w:val="6E5E44CA"/>
    <w:rsid w:val="6E5E6AE5"/>
    <w:rsid w:val="6E915B2B"/>
    <w:rsid w:val="6EA0426C"/>
    <w:rsid w:val="6EB46162"/>
    <w:rsid w:val="6EB73738"/>
    <w:rsid w:val="6ECF3481"/>
    <w:rsid w:val="6EE258B6"/>
    <w:rsid w:val="6EE33B44"/>
    <w:rsid w:val="6EEF486F"/>
    <w:rsid w:val="6F19681A"/>
    <w:rsid w:val="6F1E572C"/>
    <w:rsid w:val="6F1E67F9"/>
    <w:rsid w:val="6F2873E1"/>
    <w:rsid w:val="6F410FC9"/>
    <w:rsid w:val="6F4A4BA6"/>
    <w:rsid w:val="6F4E55B4"/>
    <w:rsid w:val="6F4F7EE5"/>
    <w:rsid w:val="6F6608FD"/>
    <w:rsid w:val="6F7C56EC"/>
    <w:rsid w:val="6F99794B"/>
    <w:rsid w:val="6FA76D6F"/>
    <w:rsid w:val="6FAA40F5"/>
    <w:rsid w:val="6FAD5482"/>
    <w:rsid w:val="6FC2332A"/>
    <w:rsid w:val="6FD50C02"/>
    <w:rsid w:val="6FE04626"/>
    <w:rsid w:val="6FE5472F"/>
    <w:rsid w:val="70254322"/>
    <w:rsid w:val="703D1950"/>
    <w:rsid w:val="705010AC"/>
    <w:rsid w:val="705F560F"/>
    <w:rsid w:val="706041A9"/>
    <w:rsid w:val="706711CC"/>
    <w:rsid w:val="707A5A81"/>
    <w:rsid w:val="70942AFB"/>
    <w:rsid w:val="70A5017C"/>
    <w:rsid w:val="70A95B73"/>
    <w:rsid w:val="70F62ADA"/>
    <w:rsid w:val="71071084"/>
    <w:rsid w:val="71075340"/>
    <w:rsid w:val="711D2975"/>
    <w:rsid w:val="71246B2F"/>
    <w:rsid w:val="7126257A"/>
    <w:rsid w:val="713C7E5B"/>
    <w:rsid w:val="71430CF0"/>
    <w:rsid w:val="71694FD9"/>
    <w:rsid w:val="717E46EB"/>
    <w:rsid w:val="717F14E3"/>
    <w:rsid w:val="71A3041C"/>
    <w:rsid w:val="71B63424"/>
    <w:rsid w:val="71B922CB"/>
    <w:rsid w:val="71CA0D5E"/>
    <w:rsid w:val="71DB5A01"/>
    <w:rsid w:val="71F77485"/>
    <w:rsid w:val="720C6CA3"/>
    <w:rsid w:val="7213356A"/>
    <w:rsid w:val="721915C9"/>
    <w:rsid w:val="721B753E"/>
    <w:rsid w:val="72285892"/>
    <w:rsid w:val="723138DA"/>
    <w:rsid w:val="724D3390"/>
    <w:rsid w:val="72507A54"/>
    <w:rsid w:val="72577CDB"/>
    <w:rsid w:val="72632477"/>
    <w:rsid w:val="726D363D"/>
    <w:rsid w:val="726F39E2"/>
    <w:rsid w:val="72736F53"/>
    <w:rsid w:val="727F2BF1"/>
    <w:rsid w:val="729736F6"/>
    <w:rsid w:val="72A72EF0"/>
    <w:rsid w:val="72BE185C"/>
    <w:rsid w:val="72C1068E"/>
    <w:rsid w:val="72C84E57"/>
    <w:rsid w:val="72D6524B"/>
    <w:rsid w:val="72D82C31"/>
    <w:rsid w:val="72EC4945"/>
    <w:rsid w:val="730640FD"/>
    <w:rsid w:val="730F547D"/>
    <w:rsid w:val="730F56F4"/>
    <w:rsid w:val="731745A4"/>
    <w:rsid w:val="733539C1"/>
    <w:rsid w:val="733D5BF9"/>
    <w:rsid w:val="73444DB4"/>
    <w:rsid w:val="735348AA"/>
    <w:rsid w:val="7361714C"/>
    <w:rsid w:val="736D650D"/>
    <w:rsid w:val="736F4CA0"/>
    <w:rsid w:val="73777237"/>
    <w:rsid w:val="73916DD4"/>
    <w:rsid w:val="739C40DD"/>
    <w:rsid w:val="739F4721"/>
    <w:rsid w:val="73AD290B"/>
    <w:rsid w:val="73B8570F"/>
    <w:rsid w:val="73B93D66"/>
    <w:rsid w:val="73D33243"/>
    <w:rsid w:val="73DD3E20"/>
    <w:rsid w:val="73E2566E"/>
    <w:rsid w:val="73EF0326"/>
    <w:rsid w:val="73F62091"/>
    <w:rsid w:val="740E46DC"/>
    <w:rsid w:val="741930C3"/>
    <w:rsid w:val="743D2D86"/>
    <w:rsid w:val="744805BD"/>
    <w:rsid w:val="744A3664"/>
    <w:rsid w:val="744D6CBF"/>
    <w:rsid w:val="74603463"/>
    <w:rsid w:val="74643211"/>
    <w:rsid w:val="74655062"/>
    <w:rsid w:val="746F4E37"/>
    <w:rsid w:val="747F51EF"/>
    <w:rsid w:val="748C7EE9"/>
    <w:rsid w:val="748F4977"/>
    <w:rsid w:val="749A2D3C"/>
    <w:rsid w:val="74A52965"/>
    <w:rsid w:val="74AD131B"/>
    <w:rsid w:val="74D17B88"/>
    <w:rsid w:val="74D62315"/>
    <w:rsid w:val="74DF6994"/>
    <w:rsid w:val="75063B1B"/>
    <w:rsid w:val="750A66F9"/>
    <w:rsid w:val="750E5A9E"/>
    <w:rsid w:val="75273D41"/>
    <w:rsid w:val="7533457D"/>
    <w:rsid w:val="758A653E"/>
    <w:rsid w:val="75961649"/>
    <w:rsid w:val="75A00FB4"/>
    <w:rsid w:val="75B400F6"/>
    <w:rsid w:val="75BF3525"/>
    <w:rsid w:val="75CF5209"/>
    <w:rsid w:val="75E03849"/>
    <w:rsid w:val="760C57AA"/>
    <w:rsid w:val="76163BCE"/>
    <w:rsid w:val="761B0B1B"/>
    <w:rsid w:val="7628188A"/>
    <w:rsid w:val="763A3968"/>
    <w:rsid w:val="763B6E23"/>
    <w:rsid w:val="764F2D41"/>
    <w:rsid w:val="765062A0"/>
    <w:rsid w:val="7663289D"/>
    <w:rsid w:val="766E76E8"/>
    <w:rsid w:val="76790ADF"/>
    <w:rsid w:val="768E7646"/>
    <w:rsid w:val="76A26E06"/>
    <w:rsid w:val="76B718D9"/>
    <w:rsid w:val="76BB585B"/>
    <w:rsid w:val="76D96FB9"/>
    <w:rsid w:val="76E94E87"/>
    <w:rsid w:val="76F20DF1"/>
    <w:rsid w:val="77106EBA"/>
    <w:rsid w:val="77163160"/>
    <w:rsid w:val="77214A06"/>
    <w:rsid w:val="772B5EA8"/>
    <w:rsid w:val="77454297"/>
    <w:rsid w:val="77535D86"/>
    <w:rsid w:val="777C5805"/>
    <w:rsid w:val="777D19FE"/>
    <w:rsid w:val="77856EF1"/>
    <w:rsid w:val="778871A2"/>
    <w:rsid w:val="77921AE7"/>
    <w:rsid w:val="77A22B2C"/>
    <w:rsid w:val="77A410DD"/>
    <w:rsid w:val="77B235C5"/>
    <w:rsid w:val="77C37958"/>
    <w:rsid w:val="77D508C0"/>
    <w:rsid w:val="77F3010A"/>
    <w:rsid w:val="783D2B6F"/>
    <w:rsid w:val="78631056"/>
    <w:rsid w:val="786D0427"/>
    <w:rsid w:val="78737360"/>
    <w:rsid w:val="78974FFF"/>
    <w:rsid w:val="78B3330A"/>
    <w:rsid w:val="78E368F2"/>
    <w:rsid w:val="78F73E45"/>
    <w:rsid w:val="79020B98"/>
    <w:rsid w:val="79057C12"/>
    <w:rsid w:val="790D520A"/>
    <w:rsid w:val="7922663F"/>
    <w:rsid w:val="79492CDF"/>
    <w:rsid w:val="79802F5F"/>
    <w:rsid w:val="79830519"/>
    <w:rsid w:val="798749BE"/>
    <w:rsid w:val="798E7305"/>
    <w:rsid w:val="79BA618A"/>
    <w:rsid w:val="79BE3EB4"/>
    <w:rsid w:val="79C4400F"/>
    <w:rsid w:val="7A001C0B"/>
    <w:rsid w:val="7A637BF4"/>
    <w:rsid w:val="7A6A0313"/>
    <w:rsid w:val="7A8E6064"/>
    <w:rsid w:val="7AD043A4"/>
    <w:rsid w:val="7AED691F"/>
    <w:rsid w:val="7AF0153E"/>
    <w:rsid w:val="7AF23F3B"/>
    <w:rsid w:val="7AF75B8C"/>
    <w:rsid w:val="7B036ED8"/>
    <w:rsid w:val="7B0A1520"/>
    <w:rsid w:val="7B2A6400"/>
    <w:rsid w:val="7B314879"/>
    <w:rsid w:val="7B3E431F"/>
    <w:rsid w:val="7B5778B1"/>
    <w:rsid w:val="7B5A1E05"/>
    <w:rsid w:val="7B5C2331"/>
    <w:rsid w:val="7B6B503D"/>
    <w:rsid w:val="7B783589"/>
    <w:rsid w:val="7B875DA5"/>
    <w:rsid w:val="7B8B3E2D"/>
    <w:rsid w:val="7B8C49C4"/>
    <w:rsid w:val="7B8C6F4A"/>
    <w:rsid w:val="7B8D3EC5"/>
    <w:rsid w:val="7BDD5881"/>
    <w:rsid w:val="7BE12942"/>
    <w:rsid w:val="7BE71E9D"/>
    <w:rsid w:val="7C130F84"/>
    <w:rsid w:val="7C161AE6"/>
    <w:rsid w:val="7C3743DA"/>
    <w:rsid w:val="7C3B4317"/>
    <w:rsid w:val="7C457AB6"/>
    <w:rsid w:val="7C505E7A"/>
    <w:rsid w:val="7C6721B4"/>
    <w:rsid w:val="7C851534"/>
    <w:rsid w:val="7C882158"/>
    <w:rsid w:val="7C8E0964"/>
    <w:rsid w:val="7C973094"/>
    <w:rsid w:val="7C9C69D5"/>
    <w:rsid w:val="7CA43F68"/>
    <w:rsid w:val="7CA91C4F"/>
    <w:rsid w:val="7CAD2604"/>
    <w:rsid w:val="7CD56075"/>
    <w:rsid w:val="7CE771D7"/>
    <w:rsid w:val="7D0B388E"/>
    <w:rsid w:val="7D0C4762"/>
    <w:rsid w:val="7D2B6B73"/>
    <w:rsid w:val="7D2C4A96"/>
    <w:rsid w:val="7D2E3A96"/>
    <w:rsid w:val="7D3578D6"/>
    <w:rsid w:val="7D49333C"/>
    <w:rsid w:val="7D5E63FF"/>
    <w:rsid w:val="7D6E66D5"/>
    <w:rsid w:val="7D7D108B"/>
    <w:rsid w:val="7D8C0CB6"/>
    <w:rsid w:val="7DB12467"/>
    <w:rsid w:val="7DBB12A7"/>
    <w:rsid w:val="7DC24678"/>
    <w:rsid w:val="7DC33BE2"/>
    <w:rsid w:val="7DC81E52"/>
    <w:rsid w:val="7DCF183C"/>
    <w:rsid w:val="7DD86355"/>
    <w:rsid w:val="7DDB2C21"/>
    <w:rsid w:val="7DE4585D"/>
    <w:rsid w:val="7DE70D9D"/>
    <w:rsid w:val="7DED64A1"/>
    <w:rsid w:val="7DEF258E"/>
    <w:rsid w:val="7DF41C0E"/>
    <w:rsid w:val="7DF52A8D"/>
    <w:rsid w:val="7E015A30"/>
    <w:rsid w:val="7E0E140A"/>
    <w:rsid w:val="7E1278BA"/>
    <w:rsid w:val="7E2E19B0"/>
    <w:rsid w:val="7E63691E"/>
    <w:rsid w:val="7E900B7E"/>
    <w:rsid w:val="7EC15ADF"/>
    <w:rsid w:val="7EC7328B"/>
    <w:rsid w:val="7EC81C49"/>
    <w:rsid w:val="7ED7341E"/>
    <w:rsid w:val="7EEB51F6"/>
    <w:rsid w:val="7EED1710"/>
    <w:rsid w:val="7F1309E5"/>
    <w:rsid w:val="7F3B13D4"/>
    <w:rsid w:val="7F582019"/>
    <w:rsid w:val="7F596ADA"/>
    <w:rsid w:val="7F6678BE"/>
    <w:rsid w:val="7FAB06F6"/>
    <w:rsid w:val="7FC0112C"/>
    <w:rsid w:val="7FC8149F"/>
    <w:rsid w:val="7FCF3BB2"/>
    <w:rsid w:val="7FD94153"/>
    <w:rsid w:val="7FF7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link w:val="97"/>
    <w:qFormat/>
    <w:uiPriority w:val="0"/>
    <w:pPr>
      <w:keepNext/>
      <w:keepLines/>
      <w:adjustRightInd w:val="0"/>
      <w:snapToGrid w:val="0"/>
      <w:spacing w:before="156" w:beforeLines="50" w:line="360" w:lineRule="auto"/>
      <w:jc w:val="left"/>
      <w:outlineLvl w:val="0"/>
    </w:pPr>
    <w:rPr>
      <w:rFonts w:eastAsia="黑体"/>
      <w:b/>
      <w:kern w:val="44"/>
      <w:sz w:val="32"/>
    </w:rPr>
  </w:style>
  <w:style w:type="paragraph" w:styleId="7">
    <w:name w:val="heading 2"/>
    <w:basedOn w:val="1"/>
    <w:next w:val="1"/>
    <w:link w:val="69"/>
    <w:qFormat/>
    <w:uiPriority w:val="0"/>
    <w:pPr>
      <w:keepNext/>
      <w:keepLines/>
      <w:tabs>
        <w:tab w:val="left" w:pos="630"/>
      </w:tabs>
      <w:spacing w:before="260" w:after="120" w:line="360" w:lineRule="auto"/>
      <w:ind w:left="936" w:hanging="576"/>
      <w:outlineLvl w:val="1"/>
    </w:pPr>
    <w:rPr>
      <w:b/>
      <w:sz w:val="32"/>
    </w:rPr>
  </w:style>
  <w:style w:type="paragraph" w:styleId="8">
    <w:name w:val="heading 3"/>
    <w:basedOn w:val="1"/>
    <w:next w:val="9"/>
    <w:link w:val="117"/>
    <w:qFormat/>
    <w:uiPriority w:val="0"/>
    <w:pPr>
      <w:keepNext/>
      <w:keepLines/>
      <w:spacing w:before="260" w:after="260" w:line="416" w:lineRule="auto"/>
      <w:outlineLvl w:val="2"/>
    </w:pPr>
    <w:rPr>
      <w:b/>
      <w:bCs/>
      <w:sz w:val="32"/>
      <w:szCs w:val="32"/>
    </w:rPr>
  </w:style>
  <w:style w:type="paragraph" w:styleId="10">
    <w:name w:val="heading 4"/>
    <w:basedOn w:val="1"/>
    <w:next w:val="1"/>
    <w:link w:val="116"/>
    <w:qFormat/>
    <w:uiPriority w:val="0"/>
    <w:pPr>
      <w:keepNext/>
      <w:keepLines/>
      <w:widowControl/>
      <w:adjustRightInd w:val="0"/>
      <w:snapToGrid w:val="0"/>
      <w:spacing w:before="280" w:after="290" w:line="376" w:lineRule="auto"/>
      <w:jc w:val="left"/>
      <w:outlineLvl w:val="3"/>
    </w:pPr>
    <w:rPr>
      <w:rFonts w:ascii="Cambria" w:hAnsi="Cambria"/>
      <w:b/>
      <w:bCs/>
      <w:kern w:val="0"/>
      <w:sz w:val="28"/>
      <w:szCs w:val="28"/>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link w:val="9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
    <w:name w:val="Body Text First Indent"/>
    <w:basedOn w:val="5"/>
    <w:link w:val="104"/>
    <w:qFormat/>
    <w:uiPriority w:val="0"/>
    <w:pPr>
      <w:adjustRightInd w:val="0"/>
      <w:snapToGrid w:val="0"/>
      <w:spacing w:before="156" w:beforeLines="50" w:after="0" w:line="360" w:lineRule="auto"/>
      <w:ind w:firstLine="200" w:firstLineChars="200"/>
    </w:pPr>
    <w:rPr>
      <w:sz w:val="24"/>
    </w:rPr>
  </w:style>
  <w:style w:type="paragraph" w:styleId="5">
    <w:name w:val="Body Text"/>
    <w:basedOn w:val="1"/>
    <w:next w:val="6"/>
    <w:link w:val="65"/>
    <w:qFormat/>
    <w:uiPriority w:val="0"/>
    <w:pPr>
      <w:spacing w:after="120"/>
    </w:pPr>
  </w:style>
  <w:style w:type="paragraph" w:customStyle="1" w:styleId="6">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Normal Indent"/>
    <w:basedOn w:val="1"/>
    <w:link w:val="76"/>
    <w:qFormat/>
    <w:uiPriority w:val="0"/>
    <w:pPr>
      <w:jc w:val="center"/>
    </w:pPr>
    <w:rPr>
      <w:rFonts w:eastAsia="黑体"/>
      <w:sz w:val="24"/>
      <w:szCs w:val="21"/>
    </w:rPr>
  </w:style>
  <w:style w:type="paragraph" w:styleId="11">
    <w:name w:val="toc 7"/>
    <w:basedOn w:val="1"/>
    <w:next w:val="1"/>
    <w:qFormat/>
    <w:uiPriority w:val="0"/>
    <w:pPr>
      <w:ind w:left="2520" w:leftChars="1200"/>
    </w:pPr>
    <w:rPr>
      <w:szCs w:val="24"/>
    </w:rPr>
  </w:style>
  <w:style w:type="paragraph" w:styleId="12">
    <w:name w:val="Note Heading"/>
    <w:basedOn w:val="1"/>
    <w:next w:val="1"/>
    <w:qFormat/>
    <w:uiPriority w:val="0"/>
    <w:pPr>
      <w:jc w:val="center"/>
    </w:pPr>
  </w:style>
  <w:style w:type="paragraph" w:styleId="13">
    <w:name w:val="caption"/>
    <w:basedOn w:val="1"/>
    <w:next w:val="1"/>
    <w:qFormat/>
    <w:uiPriority w:val="0"/>
    <w:pPr>
      <w:adjustRightInd w:val="0"/>
      <w:snapToGrid w:val="0"/>
      <w:spacing w:line="360" w:lineRule="auto"/>
      <w:jc w:val="left"/>
    </w:pPr>
    <w:rPr>
      <w:rFonts w:eastAsia="黑体"/>
      <w:sz w:val="24"/>
    </w:rPr>
  </w:style>
  <w:style w:type="paragraph" w:styleId="14">
    <w:name w:val="List Bullet"/>
    <w:basedOn w:val="1"/>
    <w:qFormat/>
    <w:uiPriority w:val="0"/>
    <w:pPr>
      <w:numPr>
        <w:ilvl w:val="0"/>
        <w:numId w:val="1"/>
      </w:numPr>
      <w:tabs>
        <w:tab w:val="left" w:pos="360"/>
      </w:tabs>
    </w:pPr>
  </w:style>
  <w:style w:type="paragraph" w:styleId="15">
    <w:name w:val="Document Map"/>
    <w:basedOn w:val="1"/>
    <w:semiHidden/>
    <w:qFormat/>
    <w:uiPriority w:val="0"/>
    <w:pPr>
      <w:shd w:val="clear" w:color="auto" w:fill="000080"/>
    </w:pPr>
  </w:style>
  <w:style w:type="paragraph" w:styleId="16">
    <w:name w:val="annotation text"/>
    <w:basedOn w:val="1"/>
    <w:link w:val="75"/>
    <w:qFormat/>
    <w:uiPriority w:val="0"/>
    <w:pPr>
      <w:jc w:val="left"/>
    </w:pPr>
  </w:style>
  <w:style w:type="paragraph" w:styleId="17">
    <w:name w:val="Body Text Indent"/>
    <w:basedOn w:val="1"/>
    <w:link w:val="67"/>
    <w:qFormat/>
    <w:uiPriority w:val="0"/>
    <w:pPr>
      <w:spacing w:after="120"/>
      <w:ind w:left="420" w:leftChars="200"/>
    </w:pPr>
  </w:style>
  <w:style w:type="paragraph" w:styleId="18">
    <w:name w:val="Block Text"/>
    <w:basedOn w:val="1"/>
    <w:qFormat/>
    <w:uiPriority w:val="0"/>
    <w:pPr>
      <w:spacing w:line="500" w:lineRule="exact"/>
      <w:ind w:left="-105" w:leftChars="-50" w:right="-105" w:rightChars="-50"/>
      <w:jc w:val="center"/>
    </w:pPr>
    <w:rPr>
      <w:rFonts w:eastAsia="仿宋_GB2312"/>
      <w:sz w:val="28"/>
      <w:szCs w:val="24"/>
    </w:rPr>
  </w:style>
  <w:style w:type="paragraph" w:styleId="19">
    <w:name w:val="toc 5"/>
    <w:basedOn w:val="1"/>
    <w:next w:val="1"/>
    <w:qFormat/>
    <w:uiPriority w:val="0"/>
    <w:pPr>
      <w:ind w:left="1680" w:leftChars="800"/>
    </w:pPr>
    <w:rPr>
      <w:szCs w:val="24"/>
    </w:rPr>
  </w:style>
  <w:style w:type="paragraph" w:styleId="20">
    <w:name w:val="toc 3"/>
    <w:basedOn w:val="1"/>
    <w:next w:val="1"/>
    <w:qFormat/>
    <w:uiPriority w:val="0"/>
    <w:pPr>
      <w:ind w:left="840" w:leftChars="400"/>
    </w:pPr>
    <w:rPr>
      <w:szCs w:val="24"/>
    </w:rPr>
  </w:style>
  <w:style w:type="paragraph" w:styleId="21">
    <w:name w:val="Plain Text"/>
    <w:basedOn w:val="1"/>
    <w:link w:val="71"/>
    <w:qFormat/>
    <w:uiPriority w:val="0"/>
    <w:rPr>
      <w:rFonts w:ascii="宋体" w:hAnsi="Courier New"/>
    </w:rPr>
  </w:style>
  <w:style w:type="paragraph" w:styleId="22">
    <w:name w:val="toc 8"/>
    <w:basedOn w:val="1"/>
    <w:next w:val="1"/>
    <w:qFormat/>
    <w:uiPriority w:val="0"/>
    <w:pPr>
      <w:ind w:left="2940" w:leftChars="1400"/>
    </w:pPr>
    <w:rPr>
      <w:szCs w:val="24"/>
    </w:rPr>
  </w:style>
  <w:style w:type="paragraph" w:styleId="23">
    <w:name w:val="Date"/>
    <w:basedOn w:val="1"/>
    <w:next w:val="1"/>
    <w:qFormat/>
    <w:uiPriority w:val="0"/>
    <w:pPr>
      <w:ind w:left="100" w:leftChars="2500"/>
    </w:p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90"/>
    <w:qFormat/>
    <w:uiPriority w:val="0"/>
    <w:rPr>
      <w:sz w:val="18"/>
      <w:szCs w:val="18"/>
    </w:rPr>
  </w:style>
  <w:style w:type="paragraph" w:styleId="26">
    <w:name w:val="footer"/>
    <w:basedOn w:val="1"/>
    <w:link w:val="106"/>
    <w:qFormat/>
    <w:uiPriority w:val="99"/>
    <w:pPr>
      <w:tabs>
        <w:tab w:val="center" w:pos="4153"/>
        <w:tab w:val="right" w:pos="8306"/>
      </w:tabs>
      <w:snapToGrid w:val="0"/>
      <w:jc w:val="left"/>
    </w:pPr>
    <w:rPr>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tabs>
        <w:tab w:val="right" w:leader="dot" w:pos="8891"/>
      </w:tabs>
      <w:spacing w:line="360" w:lineRule="auto"/>
    </w:pPr>
    <w:rPr>
      <w:sz w:val="28"/>
    </w:rPr>
  </w:style>
  <w:style w:type="paragraph" w:styleId="29">
    <w:name w:val="toc 4"/>
    <w:basedOn w:val="1"/>
    <w:next w:val="1"/>
    <w:qFormat/>
    <w:uiPriority w:val="0"/>
    <w:pPr>
      <w:ind w:left="1260" w:leftChars="600"/>
    </w:pPr>
    <w:rPr>
      <w:szCs w:val="24"/>
    </w:rPr>
  </w:style>
  <w:style w:type="paragraph" w:styleId="30">
    <w:name w:val="List Number 5"/>
    <w:basedOn w:val="1"/>
    <w:qFormat/>
    <w:uiPriority w:val="0"/>
    <w:pPr>
      <w:numPr>
        <w:ilvl w:val="0"/>
        <w:numId w:val="2"/>
      </w:numPr>
      <w:tabs>
        <w:tab w:val="left" w:pos="2040"/>
      </w:tabs>
    </w:pPr>
  </w:style>
  <w:style w:type="paragraph" w:styleId="31">
    <w:name w:val="List"/>
    <w:basedOn w:val="1"/>
    <w:qFormat/>
    <w:uiPriority w:val="0"/>
    <w:pPr>
      <w:widowControl/>
      <w:ind w:left="200" w:hanging="200" w:hangingChars="200"/>
      <w:jc w:val="left"/>
    </w:pPr>
    <w:rPr>
      <w:rFonts w:ascii="宋体" w:hAnsi="宋体" w:cs="宋体"/>
      <w:kern w:val="0"/>
      <w:sz w:val="24"/>
      <w:szCs w:val="24"/>
    </w:rPr>
  </w:style>
  <w:style w:type="paragraph" w:styleId="32">
    <w:name w:val="toc 6"/>
    <w:basedOn w:val="1"/>
    <w:next w:val="1"/>
    <w:qFormat/>
    <w:uiPriority w:val="0"/>
    <w:pPr>
      <w:ind w:left="2100" w:leftChars="1000"/>
    </w:pPr>
    <w:rPr>
      <w:szCs w:val="24"/>
    </w:rPr>
  </w:style>
  <w:style w:type="paragraph" w:styleId="33">
    <w:name w:val="Body Text Indent 3"/>
    <w:basedOn w:val="1"/>
    <w:qFormat/>
    <w:uiPriority w:val="0"/>
    <w:pPr>
      <w:spacing w:after="120"/>
      <w:ind w:left="420" w:leftChars="200"/>
    </w:pPr>
    <w:rPr>
      <w:sz w:val="16"/>
      <w:szCs w:val="16"/>
    </w:rPr>
  </w:style>
  <w:style w:type="paragraph" w:styleId="34">
    <w:name w:val="toc 2"/>
    <w:basedOn w:val="1"/>
    <w:next w:val="1"/>
    <w:qFormat/>
    <w:uiPriority w:val="0"/>
    <w:pPr>
      <w:ind w:left="420" w:leftChars="200"/>
    </w:pPr>
    <w:rPr>
      <w:szCs w:val="24"/>
    </w:rPr>
  </w:style>
  <w:style w:type="paragraph" w:styleId="35">
    <w:name w:val="toc 9"/>
    <w:basedOn w:val="1"/>
    <w:next w:val="1"/>
    <w:qFormat/>
    <w:uiPriority w:val="0"/>
    <w:pPr>
      <w:ind w:left="3360" w:leftChars="1600"/>
    </w:pPr>
    <w:rPr>
      <w:szCs w:val="24"/>
    </w:rPr>
  </w:style>
  <w:style w:type="paragraph" w:styleId="36">
    <w:name w:val="Body Text 2"/>
    <w:basedOn w:val="1"/>
    <w:qFormat/>
    <w:uiPriority w:val="0"/>
    <w:pPr>
      <w:spacing w:after="120" w:line="480" w:lineRule="auto"/>
    </w:pPr>
  </w:style>
  <w:style w:type="paragraph" w:styleId="3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8">
    <w:name w:val="annotation subject"/>
    <w:basedOn w:val="16"/>
    <w:next w:val="16"/>
    <w:link w:val="87"/>
    <w:qFormat/>
    <w:uiPriority w:val="0"/>
    <w:rPr>
      <w:b/>
      <w:bCs/>
    </w:rPr>
  </w:style>
  <w:style w:type="paragraph" w:styleId="39">
    <w:name w:val="Body Text First Indent 2"/>
    <w:basedOn w:val="17"/>
    <w:qFormat/>
    <w:uiPriority w:val="0"/>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2">
    <w:name w:val="Table Grid 5"/>
    <w:basedOn w:val="4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none"/>
    </w:rPr>
  </w:style>
  <w:style w:type="character" w:styleId="47">
    <w:name w:val="Emphasis"/>
    <w:basedOn w:val="43"/>
    <w:qFormat/>
    <w:uiPriority w:val="0"/>
  </w:style>
  <w:style w:type="character" w:styleId="48">
    <w:name w:val="HTML Definition"/>
    <w:basedOn w:val="43"/>
    <w:uiPriority w:val="0"/>
  </w:style>
  <w:style w:type="character" w:styleId="49">
    <w:name w:val="HTML Acronym"/>
    <w:basedOn w:val="43"/>
    <w:uiPriority w:val="0"/>
    <w:rPr>
      <w:bdr w:val="none" w:color="auto" w:sz="0" w:space="0"/>
    </w:rPr>
  </w:style>
  <w:style w:type="character" w:styleId="50">
    <w:name w:val="HTML Variable"/>
    <w:basedOn w:val="43"/>
    <w:uiPriority w:val="0"/>
  </w:style>
  <w:style w:type="character" w:styleId="51">
    <w:name w:val="Hyperlink"/>
    <w:qFormat/>
    <w:uiPriority w:val="99"/>
    <w:rPr>
      <w:color w:val="0000FF"/>
      <w:u w:val="none"/>
    </w:rPr>
  </w:style>
  <w:style w:type="character" w:styleId="52">
    <w:name w:val="HTML Code"/>
    <w:basedOn w:val="43"/>
    <w:uiPriority w:val="0"/>
    <w:rPr>
      <w:rFonts w:hint="eastAsia" w:ascii="微软雅黑" w:hAnsi="微软雅黑" w:eastAsia="微软雅黑" w:cs="微软雅黑"/>
      <w:sz w:val="18"/>
      <w:szCs w:val="18"/>
      <w:bdr w:val="none" w:color="auto" w:sz="0" w:space="0"/>
    </w:rPr>
  </w:style>
  <w:style w:type="character" w:styleId="53">
    <w:name w:val="annotation reference"/>
    <w:qFormat/>
    <w:uiPriority w:val="0"/>
    <w:rPr>
      <w:sz w:val="21"/>
      <w:szCs w:val="21"/>
    </w:rPr>
  </w:style>
  <w:style w:type="character" w:styleId="54">
    <w:name w:val="HTML Cite"/>
    <w:basedOn w:val="43"/>
    <w:uiPriority w:val="0"/>
  </w:style>
  <w:style w:type="paragraph" w:customStyle="1" w:styleId="55">
    <w:name w:val="四级条标题"/>
    <w:basedOn w:val="56"/>
    <w:next w:val="60"/>
    <w:qFormat/>
    <w:uiPriority w:val="0"/>
    <w:pPr>
      <w:widowControl/>
      <w:numPr>
        <w:ilvl w:val="3"/>
        <w:numId w:val="0"/>
      </w:numPr>
      <w:outlineLvl w:val="5"/>
    </w:pPr>
    <w:rPr>
      <w:rFonts w:ascii="黑体" w:eastAsia="黑体"/>
      <w:kern w:val="0"/>
      <w:szCs w:val="20"/>
    </w:rPr>
  </w:style>
  <w:style w:type="paragraph" w:customStyle="1" w:styleId="56">
    <w:name w:val="三级条标题"/>
    <w:basedOn w:val="57"/>
    <w:next w:val="60"/>
    <w:qFormat/>
    <w:uiPriority w:val="0"/>
    <w:pPr>
      <w:numPr>
        <w:ilvl w:val="3"/>
        <w:numId w:val="0"/>
      </w:numPr>
      <w:outlineLvl w:val="4"/>
    </w:pPr>
  </w:style>
  <w:style w:type="paragraph" w:customStyle="1" w:styleId="57">
    <w:name w:val="二级条标题"/>
    <w:basedOn w:val="58"/>
    <w:next w:val="60"/>
    <w:qFormat/>
    <w:uiPriority w:val="0"/>
    <w:pPr>
      <w:numPr>
        <w:ilvl w:val="3"/>
        <w:numId w:val="3"/>
      </w:numPr>
      <w:outlineLvl w:val="3"/>
    </w:pPr>
  </w:style>
  <w:style w:type="paragraph" w:customStyle="1" w:styleId="58">
    <w:name w:val="一级条标题"/>
    <w:basedOn w:val="59"/>
    <w:next w:val="60"/>
    <w:qFormat/>
    <w:uiPriority w:val="0"/>
    <w:pPr>
      <w:numPr>
        <w:ilvl w:val="2"/>
        <w:numId w:val="3"/>
      </w:numPr>
      <w:spacing w:before="0" w:beforeLines="0" w:after="0" w:afterLines="0"/>
      <w:outlineLvl w:val="2"/>
    </w:pPr>
  </w:style>
  <w:style w:type="paragraph" w:customStyle="1" w:styleId="59">
    <w:name w:val="章标题"/>
    <w:next w:val="60"/>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Char Char6"/>
    <w:semiHidden/>
    <w:qFormat/>
    <w:locked/>
    <w:uiPriority w:val="0"/>
    <w:rPr>
      <w:rFonts w:ascii="宋体" w:hAnsi="宋体" w:eastAsia="宋体"/>
      <w:kern w:val="2"/>
      <w:sz w:val="18"/>
      <w:szCs w:val="18"/>
      <w:lang w:val="en-US" w:eastAsia="zh-CN" w:bidi="ar-SA"/>
    </w:rPr>
  </w:style>
  <w:style w:type="character" w:customStyle="1" w:styleId="63">
    <w:name w:val="表 Char"/>
    <w:link w:val="64"/>
    <w:qFormat/>
    <w:uiPriority w:val="0"/>
    <w:rPr>
      <w:sz w:val="24"/>
      <w:lang w:val="en-US" w:eastAsia="zh-CN" w:bidi="ar-SA"/>
    </w:rPr>
  </w:style>
  <w:style w:type="paragraph" w:customStyle="1" w:styleId="64">
    <w:name w:val="表"/>
    <w:link w:val="63"/>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character" w:customStyle="1" w:styleId="65">
    <w:name w:val="正文文本 字符"/>
    <w:link w:val="5"/>
    <w:qFormat/>
    <w:uiPriority w:val="0"/>
    <w:rPr>
      <w:kern w:val="2"/>
      <w:sz w:val="21"/>
    </w:rPr>
  </w:style>
  <w:style w:type="character" w:customStyle="1" w:styleId="66">
    <w:name w:val="postbody1"/>
    <w:qFormat/>
    <w:uiPriority w:val="0"/>
    <w:rPr>
      <w:sz w:val="21"/>
      <w:szCs w:val="21"/>
    </w:rPr>
  </w:style>
  <w:style w:type="character" w:customStyle="1" w:styleId="67">
    <w:name w:val="正文文本缩进 字符"/>
    <w:link w:val="17"/>
    <w:qFormat/>
    <w:uiPriority w:val="0"/>
    <w:rPr>
      <w:kern w:val="2"/>
      <w:sz w:val="21"/>
    </w:rPr>
  </w:style>
  <w:style w:type="character" w:customStyle="1" w:styleId="68">
    <w:name w:val="font31"/>
    <w:basedOn w:val="43"/>
    <w:qFormat/>
    <w:uiPriority w:val="0"/>
    <w:rPr>
      <w:rFonts w:hint="default" w:ascii="Times New Roman" w:hAnsi="Times New Roman" w:cs="Times New Roman"/>
      <w:color w:val="000000"/>
      <w:sz w:val="21"/>
      <w:szCs w:val="21"/>
      <w:u w:val="none"/>
    </w:rPr>
  </w:style>
  <w:style w:type="character" w:customStyle="1" w:styleId="69">
    <w:name w:val="标题 2 字符"/>
    <w:link w:val="7"/>
    <w:qFormat/>
    <w:uiPriority w:val="0"/>
    <w:rPr>
      <w:b/>
      <w:kern w:val="2"/>
      <w:sz w:val="32"/>
    </w:rPr>
  </w:style>
  <w:style w:type="character" w:customStyle="1" w:styleId="70">
    <w:name w:val="普通文字 Char Char1"/>
    <w:qFormat/>
    <w:uiPriority w:val="0"/>
    <w:rPr>
      <w:rFonts w:ascii="宋体" w:hAnsi="Courier New" w:eastAsia="宋体"/>
      <w:kern w:val="2"/>
      <w:sz w:val="21"/>
      <w:lang w:val="en-US" w:eastAsia="zh-CN" w:bidi="ar-SA"/>
    </w:rPr>
  </w:style>
  <w:style w:type="character" w:customStyle="1" w:styleId="71">
    <w:name w:val="纯文本 字符"/>
    <w:link w:val="21"/>
    <w:qFormat/>
    <w:uiPriority w:val="0"/>
    <w:rPr>
      <w:rFonts w:ascii="宋体" w:hAnsi="Courier New" w:eastAsia="宋体"/>
      <w:kern w:val="2"/>
      <w:sz w:val="21"/>
      <w:lang w:val="en-US" w:eastAsia="zh-CN" w:bidi="ar-SA"/>
    </w:rPr>
  </w:style>
  <w:style w:type="character" w:customStyle="1" w:styleId="72">
    <w:name w:val="表格第一行 Char Char"/>
    <w:link w:val="73"/>
    <w:qFormat/>
    <w:uiPriority w:val="0"/>
    <w:rPr>
      <w:b/>
      <w:szCs w:val="21"/>
    </w:rPr>
  </w:style>
  <w:style w:type="paragraph" w:customStyle="1" w:styleId="73">
    <w:name w:val="表格第一行"/>
    <w:basedOn w:val="1"/>
    <w:link w:val="72"/>
    <w:qFormat/>
    <w:uiPriority w:val="0"/>
    <w:pPr>
      <w:widowControl/>
      <w:adjustRightInd w:val="0"/>
      <w:snapToGrid w:val="0"/>
      <w:spacing w:before="156" w:after="156"/>
      <w:jc w:val="center"/>
      <w:textAlignment w:val="baseline"/>
    </w:pPr>
    <w:rPr>
      <w:b/>
      <w:kern w:val="0"/>
      <w:sz w:val="20"/>
      <w:szCs w:val="21"/>
    </w:rPr>
  </w:style>
  <w:style w:type="character" w:customStyle="1" w:styleId="74">
    <w:name w:val="font61"/>
    <w:qFormat/>
    <w:uiPriority w:val="0"/>
    <w:rPr>
      <w:rFonts w:hint="default" w:ascii="Times New Roman" w:hAnsi="Times New Roman" w:cs="Times New Roman"/>
      <w:color w:val="000000"/>
      <w:sz w:val="20"/>
      <w:szCs w:val="20"/>
      <w:u w:val="none"/>
    </w:rPr>
  </w:style>
  <w:style w:type="character" w:customStyle="1" w:styleId="75">
    <w:name w:val="批注文字 字符"/>
    <w:link w:val="16"/>
    <w:qFormat/>
    <w:uiPriority w:val="0"/>
    <w:rPr>
      <w:kern w:val="2"/>
      <w:sz w:val="21"/>
    </w:rPr>
  </w:style>
  <w:style w:type="character" w:customStyle="1" w:styleId="76">
    <w:name w:val="正文缩进 字符"/>
    <w:link w:val="9"/>
    <w:qFormat/>
    <w:uiPriority w:val="0"/>
    <w:rPr>
      <w:rFonts w:eastAsia="黑体"/>
      <w:kern w:val="2"/>
      <w:sz w:val="24"/>
      <w:szCs w:val="21"/>
      <w:lang w:bidi="ar-SA"/>
    </w:rPr>
  </w:style>
  <w:style w:type="character" w:customStyle="1" w:styleId="77">
    <w:name w:val="三级 Char Char"/>
    <w:link w:val="78"/>
    <w:qFormat/>
    <w:locked/>
    <w:uiPriority w:val="0"/>
    <w:rPr>
      <w:b/>
      <w:kern w:val="2"/>
      <w:sz w:val="24"/>
    </w:rPr>
  </w:style>
  <w:style w:type="paragraph" w:customStyle="1" w:styleId="78">
    <w:name w:val="三级"/>
    <w:basedOn w:val="1"/>
    <w:link w:val="77"/>
    <w:qFormat/>
    <w:uiPriority w:val="0"/>
    <w:pPr>
      <w:tabs>
        <w:tab w:val="left" w:pos="567"/>
      </w:tabs>
      <w:spacing w:beforeLines="50" w:afterLines="50" w:line="360" w:lineRule="auto"/>
      <w:ind w:left="720" w:hanging="720"/>
      <w:outlineLvl w:val="2"/>
    </w:pPr>
    <w:rPr>
      <w:b/>
      <w:sz w:val="24"/>
    </w:rPr>
  </w:style>
  <w:style w:type="character" w:customStyle="1" w:styleId="79">
    <w:name w:val="表格文字 Char"/>
    <w:link w:val="80"/>
    <w:qFormat/>
    <w:uiPriority w:val="0"/>
    <w:rPr>
      <w:rFonts w:eastAsia="宋体"/>
      <w:kern w:val="2"/>
      <w:sz w:val="21"/>
      <w:lang w:val="en-US" w:eastAsia="zh-CN" w:bidi="ar-SA"/>
    </w:rPr>
  </w:style>
  <w:style w:type="paragraph" w:customStyle="1" w:styleId="80">
    <w:name w:val="表格文字"/>
    <w:basedOn w:val="1"/>
    <w:link w:val="79"/>
    <w:qFormat/>
    <w:uiPriority w:val="0"/>
    <w:pPr>
      <w:adjustRightInd w:val="0"/>
      <w:snapToGrid w:val="0"/>
      <w:jc w:val="center"/>
      <w:textAlignment w:val="center"/>
    </w:pPr>
  </w:style>
  <w:style w:type="character" w:customStyle="1" w:styleId="81">
    <w:name w:val="中气表头 Char"/>
    <w:link w:val="82"/>
    <w:qFormat/>
    <w:uiPriority w:val="0"/>
    <w:rPr>
      <w:rFonts w:eastAsia="黑体"/>
      <w:b/>
      <w:kern w:val="2"/>
      <w:sz w:val="21"/>
      <w:szCs w:val="21"/>
    </w:rPr>
  </w:style>
  <w:style w:type="paragraph" w:customStyle="1" w:styleId="82">
    <w:name w:val="中气表头"/>
    <w:basedOn w:val="1"/>
    <w:link w:val="81"/>
    <w:qFormat/>
    <w:uiPriority w:val="0"/>
    <w:pPr>
      <w:jc w:val="center"/>
    </w:pPr>
    <w:rPr>
      <w:rFonts w:eastAsia="黑体"/>
      <w:b/>
      <w:szCs w:val="21"/>
    </w:rPr>
  </w:style>
  <w:style w:type="character" w:customStyle="1" w:styleId="83">
    <w:name w:val="hover69"/>
    <w:basedOn w:val="43"/>
    <w:qFormat/>
    <w:uiPriority w:val="0"/>
  </w:style>
  <w:style w:type="character" w:customStyle="1" w:styleId="84">
    <w:name w:val="content1"/>
    <w:qFormat/>
    <w:uiPriority w:val="0"/>
    <w:rPr>
      <w:color w:val="000000"/>
      <w:sz w:val="20"/>
      <w:szCs w:val="20"/>
    </w:rPr>
  </w:style>
  <w:style w:type="character" w:customStyle="1" w:styleId="85">
    <w:name w:val="表格标题 Char"/>
    <w:link w:val="86"/>
    <w:qFormat/>
    <w:uiPriority w:val="0"/>
    <w:rPr>
      <w:rFonts w:eastAsia="黑体"/>
      <w:kern w:val="2"/>
      <w:sz w:val="24"/>
    </w:rPr>
  </w:style>
  <w:style w:type="paragraph" w:customStyle="1" w:styleId="86">
    <w:name w:val="表格标题"/>
    <w:basedOn w:val="5"/>
    <w:link w:val="85"/>
    <w:qFormat/>
    <w:uiPriority w:val="0"/>
    <w:pPr>
      <w:spacing w:before="0" w:beforeLines="0"/>
      <w:ind w:firstLine="0" w:firstLineChars="0"/>
      <w:jc w:val="center"/>
    </w:pPr>
    <w:rPr>
      <w:rFonts w:eastAsia="黑体"/>
    </w:rPr>
  </w:style>
  <w:style w:type="character" w:customStyle="1" w:styleId="87">
    <w:name w:val="批注主题 字符"/>
    <w:link w:val="38"/>
    <w:qFormat/>
    <w:uiPriority w:val="0"/>
    <w:rPr>
      <w:b/>
      <w:bCs/>
      <w:kern w:val="2"/>
      <w:sz w:val="21"/>
    </w:rPr>
  </w:style>
  <w:style w:type="character" w:customStyle="1" w:styleId="88">
    <w:name w:val="apple-converted-space"/>
    <w:basedOn w:val="43"/>
    <w:qFormat/>
    <w:uiPriority w:val="0"/>
  </w:style>
  <w:style w:type="character" w:customStyle="1" w:styleId="89">
    <w:name w:val="ca-21"/>
    <w:basedOn w:val="43"/>
    <w:qFormat/>
    <w:uiPriority w:val="0"/>
  </w:style>
  <w:style w:type="character" w:customStyle="1" w:styleId="90">
    <w:name w:val="批注框文本 字符"/>
    <w:link w:val="25"/>
    <w:qFormat/>
    <w:uiPriority w:val="0"/>
    <w:rPr>
      <w:kern w:val="2"/>
      <w:sz w:val="18"/>
      <w:szCs w:val="18"/>
    </w:rPr>
  </w:style>
  <w:style w:type="character" w:customStyle="1" w:styleId="91">
    <w:name w:val="标题3 Char"/>
    <w:qFormat/>
    <w:locked/>
    <w:uiPriority w:val="0"/>
    <w:rPr>
      <w:rFonts w:ascii="Times New Roman" w:hAnsi="Times New Roman" w:eastAsia="宋体" w:cs="Times New Roman"/>
      <w:kern w:val="2"/>
      <w:sz w:val="32"/>
      <w:szCs w:val="32"/>
    </w:rPr>
  </w:style>
  <w:style w:type="character" w:customStyle="1" w:styleId="92">
    <w:name w:val="表文字 Char"/>
    <w:qFormat/>
    <w:uiPriority w:val="0"/>
    <w:rPr>
      <w:rFonts w:eastAsia="宋体"/>
      <w:sz w:val="24"/>
      <w:lang w:val="en-US" w:eastAsia="zh-CN"/>
    </w:rPr>
  </w:style>
  <w:style w:type="character" w:customStyle="1" w:styleId="93">
    <w:name w:val="Default Char"/>
    <w:link w:val="2"/>
    <w:qFormat/>
    <w:uiPriority w:val="0"/>
    <w:rPr>
      <w:rFonts w:ascii="宋体"/>
      <w:color w:val="000000"/>
      <w:sz w:val="24"/>
      <w:szCs w:val="24"/>
      <w:lang w:val="en-US" w:eastAsia="zh-CN" w:bidi="ar-SA"/>
    </w:rPr>
  </w:style>
  <w:style w:type="character" w:customStyle="1" w:styleId="94">
    <w:name w:val="hover70"/>
    <w:qFormat/>
    <w:uiPriority w:val="0"/>
    <w:rPr>
      <w:color w:val="000000"/>
      <w:shd w:val="clear" w:color="auto" w:fill="FFFFFF"/>
    </w:rPr>
  </w:style>
  <w:style w:type="character" w:customStyle="1" w:styleId="95">
    <w:name w:val="金光华文本正文 Char Char"/>
    <w:link w:val="96"/>
    <w:qFormat/>
    <w:uiPriority w:val="0"/>
    <w:rPr>
      <w:rFonts w:ascii="宋体" w:hAnsi="宋体"/>
      <w:sz w:val="24"/>
      <w:szCs w:val="24"/>
    </w:rPr>
  </w:style>
  <w:style w:type="paragraph" w:customStyle="1" w:styleId="96">
    <w:name w:val="金光华文本正文"/>
    <w:basedOn w:val="1"/>
    <w:link w:val="95"/>
    <w:qFormat/>
    <w:uiPriority w:val="0"/>
    <w:pPr>
      <w:widowControl/>
      <w:tabs>
        <w:tab w:val="left" w:pos="6840"/>
      </w:tabs>
      <w:spacing w:line="360" w:lineRule="auto"/>
      <w:ind w:firstLine="510"/>
      <w:jc w:val="left"/>
    </w:pPr>
    <w:rPr>
      <w:rFonts w:ascii="宋体" w:hAnsi="宋体"/>
      <w:kern w:val="0"/>
      <w:sz w:val="24"/>
      <w:szCs w:val="24"/>
    </w:rPr>
  </w:style>
  <w:style w:type="character" w:customStyle="1" w:styleId="97">
    <w:name w:val="标题 1 字符"/>
    <w:link w:val="3"/>
    <w:qFormat/>
    <w:uiPriority w:val="0"/>
    <w:rPr>
      <w:rFonts w:eastAsia="黑体"/>
      <w:b/>
      <w:kern w:val="44"/>
      <w:sz w:val="32"/>
    </w:rPr>
  </w:style>
  <w:style w:type="character" w:customStyle="1" w:styleId="98">
    <w:name w:val="标准正文 Char"/>
    <w:link w:val="99"/>
    <w:qFormat/>
    <w:uiPriority w:val="0"/>
    <w:rPr>
      <w:rFonts w:eastAsia="宋体"/>
      <w:bCs/>
      <w:kern w:val="2"/>
      <w:sz w:val="24"/>
      <w:lang w:val="en-US" w:eastAsia="zh-CN" w:bidi="ar-SA"/>
    </w:rPr>
  </w:style>
  <w:style w:type="paragraph" w:customStyle="1" w:styleId="99">
    <w:name w:val="标准正文"/>
    <w:basedOn w:val="1"/>
    <w:link w:val="98"/>
    <w:qFormat/>
    <w:uiPriority w:val="0"/>
    <w:pPr>
      <w:spacing w:line="540" w:lineRule="exact"/>
      <w:ind w:firstLine="480" w:firstLineChars="200"/>
    </w:pPr>
    <w:rPr>
      <w:bCs/>
      <w:sz w:val="24"/>
    </w:rPr>
  </w:style>
  <w:style w:type="character" w:customStyle="1" w:styleId="100">
    <w:name w:val="表格文字 Char Char"/>
    <w:qFormat/>
    <w:uiPriority w:val="0"/>
    <w:rPr>
      <w:position w:val="-10"/>
    </w:rPr>
  </w:style>
  <w:style w:type="character" w:customStyle="1" w:styleId="101">
    <w:name w:val="样式 文本正文 + 首行缩进:  2 字符 Char Char"/>
    <w:link w:val="102"/>
    <w:qFormat/>
    <w:uiPriority w:val="0"/>
    <w:rPr>
      <w:rFonts w:ascii="宋体"/>
      <w:spacing w:val="4"/>
      <w:kern w:val="2"/>
      <w:sz w:val="24"/>
      <w:szCs w:val="24"/>
      <w:lang w:val="zh-CN"/>
    </w:rPr>
  </w:style>
  <w:style w:type="paragraph" w:customStyle="1" w:styleId="102">
    <w:name w:val="样式 文本正文 + 首行缩进:  2 字符"/>
    <w:basedOn w:val="1"/>
    <w:link w:val="101"/>
    <w:qFormat/>
    <w:uiPriority w:val="0"/>
    <w:pPr>
      <w:widowControl/>
      <w:adjustRightInd w:val="0"/>
      <w:snapToGrid w:val="0"/>
      <w:spacing w:line="360" w:lineRule="auto"/>
      <w:ind w:firstLine="480" w:firstLineChars="200"/>
      <w:jc w:val="left"/>
    </w:pPr>
    <w:rPr>
      <w:rFonts w:ascii="宋体"/>
      <w:spacing w:val="4"/>
      <w:sz w:val="24"/>
      <w:szCs w:val="24"/>
      <w:lang w:val="zh-CN"/>
    </w:rPr>
  </w:style>
  <w:style w:type="character" w:customStyle="1" w:styleId="103">
    <w:name w:val="font11"/>
    <w:basedOn w:val="43"/>
    <w:qFormat/>
    <w:uiPriority w:val="0"/>
    <w:rPr>
      <w:rFonts w:ascii="font-weight : 400" w:hAnsi="font-weight : 400" w:eastAsia="font-weight : 400" w:cs="font-weight : 400"/>
      <w:color w:val="000000"/>
      <w:sz w:val="22"/>
      <w:szCs w:val="22"/>
      <w:u w:val="none"/>
      <w:vertAlign w:val="superscript"/>
    </w:rPr>
  </w:style>
  <w:style w:type="character" w:customStyle="1" w:styleId="104">
    <w:name w:val="正文首行缩进 字符"/>
    <w:link w:val="4"/>
    <w:qFormat/>
    <w:uiPriority w:val="0"/>
    <w:rPr>
      <w:kern w:val="2"/>
      <w:sz w:val="24"/>
    </w:rPr>
  </w:style>
  <w:style w:type="character" w:customStyle="1" w:styleId="105">
    <w:name w:val="hover68"/>
    <w:basedOn w:val="43"/>
    <w:qFormat/>
    <w:uiPriority w:val="0"/>
  </w:style>
  <w:style w:type="character" w:customStyle="1" w:styleId="106">
    <w:name w:val="页脚 字符"/>
    <w:link w:val="26"/>
    <w:qFormat/>
    <w:uiPriority w:val="99"/>
    <w:rPr>
      <w:kern w:val="2"/>
      <w:sz w:val="18"/>
    </w:rPr>
  </w:style>
  <w:style w:type="character" w:customStyle="1" w:styleId="107">
    <w:name w:val="font01"/>
    <w:basedOn w:val="43"/>
    <w:qFormat/>
    <w:uiPriority w:val="0"/>
    <w:rPr>
      <w:rFonts w:hint="default" w:ascii="Times New Roman" w:hAnsi="Times New Roman" w:cs="Times New Roman"/>
      <w:b/>
      <w:color w:val="000000"/>
      <w:sz w:val="21"/>
      <w:szCs w:val="21"/>
      <w:u w:val="none"/>
    </w:rPr>
  </w:style>
  <w:style w:type="character" w:customStyle="1" w:styleId="108">
    <w:name w:val="font21"/>
    <w:basedOn w:val="43"/>
    <w:qFormat/>
    <w:uiPriority w:val="0"/>
    <w:rPr>
      <w:rFonts w:hint="default" w:ascii="font-weight : 400" w:hAnsi="font-weight : 400" w:eastAsia="font-weight : 400" w:cs="font-weight : 400"/>
      <w:color w:val="000000"/>
      <w:sz w:val="22"/>
      <w:szCs w:val="22"/>
      <w:u w:val="none"/>
    </w:rPr>
  </w:style>
  <w:style w:type="character" w:customStyle="1" w:styleId="109">
    <w:name w:val="报告文本 Char"/>
    <w:link w:val="110"/>
    <w:qFormat/>
    <w:uiPriority w:val="0"/>
    <w:rPr>
      <w:sz w:val="24"/>
      <w:szCs w:val="24"/>
    </w:rPr>
  </w:style>
  <w:style w:type="paragraph" w:customStyle="1" w:styleId="110">
    <w:name w:val="报告文本"/>
    <w:basedOn w:val="1"/>
    <w:link w:val="109"/>
    <w:qFormat/>
    <w:uiPriority w:val="0"/>
    <w:pPr>
      <w:widowControl/>
      <w:spacing w:line="360" w:lineRule="auto"/>
      <w:ind w:firstLine="200" w:firstLineChars="200"/>
      <w:jc w:val="left"/>
    </w:pPr>
    <w:rPr>
      <w:kern w:val="0"/>
      <w:sz w:val="24"/>
      <w:szCs w:val="24"/>
    </w:rPr>
  </w:style>
  <w:style w:type="character" w:customStyle="1" w:styleId="111">
    <w:name w:val="Char Char4"/>
    <w:qFormat/>
    <w:uiPriority w:val="0"/>
    <w:rPr>
      <w:rFonts w:ascii="Times New Roman" w:hAnsi="Times New Roman" w:eastAsia="宋体" w:cs="Times New Roman"/>
      <w:kern w:val="2"/>
      <w:sz w:val="28"/>
      <w:szCs w:val="20"/>
      <w:lang w:val="en-US" w:eastAsia="zh-CN" w:bidi="ar-SA"/>
    </w:rPr>
  </w:style>
  <w:style w:type="character" w:customStyle="1" w:styleId="112">
    <w:name w:val="文章正文样式 Char"/>
    <w:link w:val="113"/>
    <w:qFormat/>
    <w:uiPriority w:val="0"/>
    <w:rPr>
      <w:rFonts w:ascii="宋体" w:hAnsi="宋体" w:eastAsia="宋体" w:cs="宋体"/>
      <w:kern w:val="2"/>
      <w:sz w:val="24"/>
      <w:lang w:val="en-US" w:eastAsia="zh-CN" w:bidi="ar-SA"/>
    </w:rPr>
  </w:style>
  <w:style w:type="paragraph" w:customStyle="1" w:styleId="113">
    <w:name w:val="文章正文样式"/>
    <w:basedOn w:val="1"/>
    <w:link w:val="112"/>
    <w:qFormat/>
    <w:uiPriority w:val="0"/>
    <w:pPr>
      <w:spacing w:line="520" w:lineRule="exact"/>
      <w:ind w:firstLine="480" w:firstLineChars="200"/>
      <w:jc w:val="left"/>
    </w:pPr>
    <w:rPr>
      <w:rFonts w:ascii="宋体" w:hAnsi="宋体" w:cs="宋体"/>
      <w:sz w:val="24"/>
    </w:rPr>
  </w:style>
  <w:style w:type="character" w:customStyle="1" w:styleId="114">
    <w:name w:val="宗兴正文 Char Char"/>
    <w:link w:val="115"/>
    <w:qFormat/>
    <w:uiPriority w:val="0"/>
    <w:rPr>
      <w:kern w:val="2"/>
      <w:sz w:val="24"/>
      <w:szCs w:val="24"/>
    </w:rPr>
  </w:style>
  <w:style w:type="paragraph" w:customStyle="1" w:styleId="115">
    <w:name w:val="宗兴正文"/>
    <w:basedOn w:val="1"/>
    <w:link w:val="114"/>
    <w:qFormat/>
    <w:uiPriority w:val="0"/>
    <w:pPr>
      <w:widowControl/>
      <w:spacing w:before="93" w:after="93" w:line="360" w:lineRule="auto"/>
      <w:ind w:firstLine="480" w:firstLineChars="200"/>
      <w:jc w:val="left"/>
    </w:pPr>
    <w:rPr>
      <w:sz w:val="24"/>
      <w:szCs w:val="24"/>
    </w:rPr>
  </w:style>
  <w:style w:type="character" w:customStyle="1" w:styleId="116">
    <w:name w:val="标题 4 字符"/>
    <w:link w:val="10"/>
    <w:qFormat/>
    <w:uiPriority w:val="0"/>
    <w:rPr>
      <w:rFonts w:ascii="Cambria" w:hAnsi="Cambria"/>
      <w:b/>
      <w:bCs/>
      <w:sz w:val="28"/>
      <w:szCs w:val="28"/>
    </w:rPr>
  </w:style>
  <w:style w:type="character" w:customStyle="1" w:styleId="117">
    <w:name w:val="标题 3 字符"/>
    <w:link w:val="8"/>
    <w:qFormat/>
    <w:uiPriority w:val="0"/>
    <w:rPr>
      <w:b/>
      <w:bCs/>
      <w:kern w:val="2"/>
      <w:sz w:val="32"/>
      <w:szCs w:val="32"/>
    </w:rPr>
  </w:style>
  <w:style w:type="character" w:customStyle="1" w:styleId="118">
    <w:name w:val="font41"/>
    <w:basedOn w:val="43"/>
    <w:qFormat/>
    <w:uiPriority w:val="0"/>
    <w:rPr>
      <w:rFonts w:hint="eastAsia" w:ascii="宋体" w:hAnsi="宋体" w:eastAsia="宋体" w:cs="宋体"/>
      <w:color w:val="000000"/>
      <w:sz w:val="21"/>
      <w:szCs w:val="21"/>
      <w:u w:val="none"/>
    </w:rPr>
  </w:style>
  <w:style w:type="paragraph" w:customStyle="1" w:styleId="119">
    <w:name w:val="样式1"/>
    <w:basedOn w:val="1"/>
    <w:qFormat/>
    <w:uiPriority w:val="0"/>
    <w:pPr>
      <w:tabs>
        <w:tab w:val="left" w:pos="8820"/>
      </w:tabs>
    </w:pPr>
    <w:rPr>
      <w:sz w:val="30"/>
    </w:rPr>
  </w:style>
  <w:style w:type="paragraph" w:customStyle="1" w:styleId="120">
    <w:name w:val="CM78"/>
    <w:basedOn w:val="2"/>
    <w:next w:val="2"/>
    <w:qFormat/>
    <w:uiPriority w:val="0"/>
    <w:pPr>
      <w:spacing w:after="173"/>
    </w:pPr>
    <w:rPr>
      <w:rFonts w:hAnsi="Calibri"/>
      <w:color w:val="auto"/>
    </w:rPr>
  </w:style>
  <w:style w:type="paragraph" w:customStyle="1" w:styleId="121">
    <w:name w:val="CM27"/>
    <w:basedOn w:val="2"/>
    <w:next w:val="2"/>
    <w:qFormat/>
    <w:uiPriority w:val="0"/>
    <w:pPr>
      <w:spacing w:line="436" w:lineRule="atLeast"/>
    </w:pPr>
    <w:rPr>
      <w:rFonts w:hAnsi="Calibri"/>
      <w:color w:val="auto"/>
    </w:rPr>
  </w:style>
  <w:style w:type="paragraph" w:customStyle="1" w:styleId="122">
    <w:name w:val="表格1"/>
    <w:basedOn w:val="1"/>
    <w:qFormat/>
    <w:uiPriority w:val="0"/>
    <w:pPr>
      <w:spacing w:line="20" w:lineRule="atLeast"/>
      <w:jc w:val="center"/>
      <w:textAlignment w:val="baseline"/>
    </w:pPr>
    <w:rPr>
      <w:rFonts w:ascii="CG Times (W1)" w:hAnsi="CG Times (W1)"/>
      <w:spacing w:val="-20"/>
      <w:kern w:val="0"/>
    </w:rPr>
  </w:style>
  <w:style w:type="paragraph" w:customStyle="1" w:styleId="123">
    <w:name w:val="CM13"/>
    <w:basedOn w:val="2"/>
    <w:next w:val="2"/>
    <w:qFormat/>
    <w:uiPriority w:val="0"/>
    <w:pPr>
      <w:spacing w:line="466" w:lineRule="atLeast"/>
    </w:pPr>
    <w:rPr>
      <w:rFonts w:hAnsi="Calibri"/>
      <w:color w:val="auto"/>
    </w:rPr>
  </w:style>
  <w:style w:type="paragraph" w:customStyle="1" w:styleId="124">
    <w:name w:val="表文字"/>
    <w:basedOn w:val="1"/>
    <w:qFormat/>
    <w:uiPriority w:val="0"/>
    <w:pPr>
      <w:overflowPunct w:val="0"/>
      <w:autoSpaceDE w:val="0"/>
      <w:autoSpaceDN w:val="0"/>
      <w:adjustRightInd w:val="0"/>
      <w:spacing w:line="240" w:lineRule="atLeast"/>
      <w:textAlignment w:val="baseline"/>
    </w:pPr>
    <w:rPr>
      <w:sz w:val="24"/>
    </w:rPr>
  </w:style>
  <w:style w:type="paragraph" w:customStyle="1" w:styleId="125">
    <w:name w:val="正文01"/>
    <w:basedOn w:val="1"/>
    <w:qFormat/>
    <w:uiPriority w:val="0"/>
    <w:pPr>
      <w:adjustRightInd w:val="0"/>
      <w:spacing w:line="360" w:lineRule="auto"/>
      <w:ind w:firstLine="360" w:firstLineChars="150"/>
      <w:textAlignment w:val="baseline"/>
    </w:pPr>
    <w:rPr>
      <w:bCs/>
      <w:sz w:val="24"/>
      <w:szCs w:val="24"/>
    </w:rPr>
  </w:style>
  <w:style w:type="paragraph" w:customStyle="1" w:styleId="126">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7">
    <w:name w:val="CM14"/>
    <w:basedOn w:val="2"/>
    <w:next w:val="2"/>
    <w:qFormat/>
    <w:uiPriority w:val="0"/>
    <w:pPr>
      <w:spacing w:line="468" w:lineRule="atLeast"/>
    </w:pPr>
    <w:rPr>
      <w:rFonts w:hAnsi="Calibri"/>
      <w:color w:val="auto"/>
    </w:rPr>
  </w:style>
  <w:style w:type="paragraph" w:customStyle="1" w:styleId="128">
    <w:name w:val="简单回函地址"/>
    <w:basedOn w:val="1"/>
    <w:qFormat/>
    <w:uiPriority w:val="0"/>
    <w:rPr>
      <w:rFonts w:ascii="宋体" w:hAnsi="宋体"/>
      <w:sz w:val="24"/>
      <w:szCs w:val="32"/>
    </w:rPr>
  </w:style>
  <w:style w:type="paragraph" w:customStyle="1" w:styleId="129">
    <w:name w:val="表体"/>
    <w:basedOn w:val="1"/>
    <w:qFormat/>
    <w:uiPriority w:val="0"/>
    <w:pPr>
      <w:spacing w:before="40" w:after="40"/>
      <w:jc w:val="center"/>
    </w:pPr>
    <w:rPr>
      <w:color w:val="000080"/>
    </w:rPr>
  </w:style>
  <w:style w:type="paragraph" w:customStyle="1" w:styleId="130">
    <w:name w:val="CM50"/>
    <w:basedOn w:val="2"/>
    <w:next w:val="2"/>
    <w:qFormat/>
    <w:uiPriority w:val="0"/>
    <w:pPr>
      <w:spacing w:line="443" w:lineRule="atLeast"/>
    </w:pPr>
    <w:rPr>
      <w:rFonts w:hAnsi="Calibri"/>
      <w:color w:val="auto"/>
    </w:rPr>
  </w:style>
  <w:style w:type="paragraph" w:customStyle="1" w:styleId="131">
    <w:name w:val="正文样式1"/>
    <w:basedOn w:val="1"/>
    <w:qFormat/>
    <w:uiPriority w:val="0"/>
    <w:pPr>
      <w:adjustRightInd w:val="0"/>
      <w:spacing w:line="360" w:lineRule="auto"/>
      <w:ind w:firstLine="510"/>
      <w:textAlignment w:val="baseline"/>
    </w:pPr>
    <w:rPr>
      <w:spacing w:val="8"/>
      <w:kern w:val="0"/>
      <w:sz w:val="24"/>
    </w:rPr>
  </w:style>
  <w:style w:type="paragraph" w:customStyle="1" w:styleId="132">
    <w:name w:val="样式 小四 首行缩进:  0.85 厘米 行距: 1.5 倍行距"/>
    <w:basedOn w:val="1"/>
    <w:qFormat/>
    <w:uiPriority w:val="0"/>
    <w:pPr>
      <w:spacing w:line="360" w:lineRule="auto"/>
      <w:ind w:firstLine="482"/>
    </w:pPr>
    <w:rPr>
      <w:sz w:val="24"/>
      <w:szCs w:val="24"/>
    </w:rPr>
  </w:style>
  <w:style w:type="paragraph" w:customStyle="1" w:styleId="133">
    <w:name w:val="表字居中O"/>
    <w:next w:val="1"/>
    <w:qFormat/>
    <w:uiPriority w:val="0"/>
    <w:pPr>
      <w:widowControl w:val="0"/>
      <w:adjustRightInd w:val="0"/>
      <w:jc w:val="both"/>
      <w:textAlignment w:val="baseline"/>
    </w:pPr>
    <w:rPr>
      <w:rFonts w:ascii="Times New Roman" w:hAnsi="Times New Roman" w:eastAsia="宋体" w:cs="Times New Roman"/>
      <w:spacing w:val="-4"/>
      <w:sz w:val="21"/>
      <w:szCs w:val="21"/>
      <w:lang w:val="en-US" w:eastAsia="zh-CN" w:bidi="ar-SA"/>
    </w:rPr>
  </w:style>
  <w:style w:type="paragraph" w:customStyle="1" w:styleId="134">
    <w:name w:val="金光华表头"/>
    <w:basedOn w:val="1"/>
    <w:qFormat/>
    <w:uiPriority w:val="0"/>
    <w:pPr>
      <w:widowControl/>
      <w:spacing w:line="360" w:lineRule="auto"/>
      <w:ind w:firstLine="794"/>
      <w:jc w:val="left"/>
    </w:pPr>
    <w:rPr>
      <w:rFonts w:ascii="宋体" w:hAnsi="宋体" w:cs="宋体"/>
      <w:kern w:val="0"/>
      <w:sz w:val="24"/>
      <w:szCs w:val="24"/>
    </w:rPr>
  </w:style>
  <w:style w:type="paragraph" w:customStyle="1" w:styleId="135">
    <w:name w:val="xl22"/>
    <w:basedOn w:val="1"/>
    <w:qFormat/>
    <w:uiPriority w:val="0"/>
    <w:pPr>
      <w:widowControl/>
      <w:spacing w:before="100" w:after="100"/>
      <w:jc w:val="center"/>
    </w:pPr>
    <w:rPr>
      <w:kern w:val="0"/>
      <w:sz w:val="24"/>
      <w:szCs w:val="24"/>
    </w:rPr>
  </w:style>
  <w:style w:type="paragraph" w:customStyle="1" w:styleId="136">
    <w:name w:val="表头文字"/>
    <w:basedOn w:val="1"/>
    <w:next w:val="4"/>
    <w:qFormat/>
    <w:uiPriority w:val="0"/>
    <w:pPr>
      <w:adjustRightInd w:val="0"/>
      <w:snapToGrid w:val="0"/>
      <w:spacing w:before="156" w:beforeLines="50" w:line="360" w:lineRule="auto"/>
      <w:jc w:val="left"/>
    </w:pPr>
    <w:rPr>
      <w:rFonts w:eastAsia="黑体"/>
      <w:sz w:val="24"/>
    </w:rPr>
  </w:style>
  <w:style w:type="paragraph" w:customStyle="1" w:styleId="137">
    <w:name w:val="CM48"/>
    <w:basedOn w:val="2"/>
    <w:next w:val="2"/>
    <w:qFormat/>
    <w:uiPriority w:val="0"/>
    <w:pPr>
      <w:spacing w:line="440" w:lineRule="atLeast"/>
    </w:pPr>
    <w:rPr>
      <w:rFonts w:hAnsi="Calibri"/>
      <w:color w:val="auto"/>
    </w:rPr>
  </w:style>
  <w:style w:type="paragraph" w:customStyle="1" w:styleId="138">
    <w:name w:val="Char"/>
    <w:basedOn w:val="1"/>
    <w:qFormat/>
    <w:uiPriority w:val="0"/>
    <w:rPr>
      <w:szCs w:val="21"/>
    </w:rPr>
  </w:style>
  <w:style w:type="paragraph" w:customStyle="1" w:styleId="139">
    <w:name w:val="中文报告书样式"/>
    <w:basedOn w:val="1"/>
    <w:qFormat/>
    <w:uiPriority w:val="0"/>
    <w:pPr>
      <w:adjustRightInd w:val="0"/>
      <w:spacing w:line="480" w:lineRule="atLeast"/>
      <w:ind w:firstLine="482"/>
      <w:textAlignment w:val="baseline"/>
    </w:pPr>
    <w:rPr>
      <w:kern w:val="24"/>
      <w:sz w:val="24"/>
      <w:szCs w:val="24"/>
    </w:rPr>
  </w:style>
  <w:style w:type="paragraph" w:customStyle="1" w:styleId="140">
    <w:name w:val="表格内容"/>
    <w:basedOn w:val="1"/>
    <w:qFormat/>
    <w:uiPriority w:val="99"/>
    <w:pPr>
      <w:spacing w:line="240" w:lineRule="atLeast"/>
      <w:jc w:val="center"/>
    </w:pPr>
    <w:rPr>
      <w:szCs w:val="24"/>
    </w:rPr>
  </w:style>
  <w:style w:type="paragraph" w:customStyle="1" w:styleId="141">
    <w:name w:val="3"/>
    <w:basedOn w:val="1"/>
    <w:qFormat/>
    <w:uiPriority w:val="0"/>
  </w:style>
  <w:style w:type="paragraph" w:customStyle="1" w:styleId="142">
    <w:name w:val="样式 首行缩进:  1 厘米 行距: 固定值 25 磅"/>
    <w:basedOn w:val="1"/>
    <w:qFormat/>
    <w:uiPriority w:val="0"/>
    <w:pPr>
      <w:adjustRightInd w:val="0"/>
      <w:spacing w:line="360" w:lineRule="auto"/>
      <w:ind w:firstLine="200" w:firstLineChars="200"/>
      <w:jc w:val="left"/>
      <w:textAlignment w:val="baseline"/>
    </w:pPr>
    <w:rPr>
      <w:rFonts w:ascii="宋体" w:cs="宋体"/>
      <w:snapToGrid w:val="0"/>
      <w:kern w:val="24"/>
      <w:sz w:val="24"/>
      <w:szCs w:val="24"/>
    </w:rPr>
  </w:style>
  <w:style w:type="paragraph" w:customStyle="1" w:styleId="143">
    <w:name w:val="表文"/>
    <w:basedOn w:val="1"/>
    <w:qFormat/>
    <w:uiPriority w:val="0"/>
    <w:pPr>
      <w:tabs>
        <w:tab w:val="left" w:pos="1021"/>
      </w:tabs>
      <w:jc w:val="center"/>
    </w:pPr>
    <w:rPr>
      <w:kern w:val="0"/>
      <w:position w:val="-24"/>
      <w:szCs w:val="21"/>
    </w:rPr>
  </w:style>
  <w:style w:type="paragraph" w:customStyle="1" w:styleId="144">
    <w:name w:val="CM26"/>
    <w:basedOn w:val="2"/>
    <w:next w:val="2"/>
    <w:qFormat/>
    <w:uiPriority w:val="0"/>
    <w:pPr>
      <w:spacing w:line="468" w:lineRule="atLeast"/>
    </w:pPr>
    <w:rPr>
      <w:rFonts w:hAnsi="Calibri"/>
      <w:color w:val="auto"/>
    </w:rPr>
  </w:style>
  <w:style w:type="paragraph" w:customStyle="1" w:styleId="145">
    <w:name w:val="表格"/>
    <w:basedOn w:val="1"/>
    <w:qFormat/>
    <w:uiPriority w:val="0"/>
    <w:pPr>
      <w:jc w:val="center"/>
    </w:pPr>
    <w:rPr>
      <w:sz w:val="24"/>
    </w:rPr>
  </w:style>
  <w:style w:type="paragraph" w:customStyle="1" w:styleId="146">
    <w:name w:val="reader-word-layer reader-word-s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表格文字2"/>
    <w:basedOn w:val="1"/>
    <w:qFormat/>
    <w:uiPriority w:val="0"/>
    <w:pPr>
      <w:tabs>
        <w:tab w:val="left" w:pos="277"/>
        <w:tab w:val="left" w:pos="600"/>
        <w:tab w:val="left" w:pos="780"/>
        <w:tab w:val="left" w:pos="2517"/>
      </w:tabs>
      <w:adjustRightInd w:val="0"/>
      <w:jc w:val="center"/>
      <w:textAlignment w:val="baseline"/>
    </w:pPr>
    <w:rPr>
      <w:kern w:val="0"/>
      <w:szCs w:val="21"/>
    </w:rPr>
  </w:style>
  <w:style w:type="paragraph" w:customStyle="1" w:styleId="148">
    <w:name w:val="样式8"/>
    <w:basedOn w:val="1"/>
    <w:qFormat/>
    <w:uiPriority w:val="0"/>
    <w:pPr>
      <w:widowControl/>
      <w:adjustRightInd w:val="0"/>
      <w:snapToGrid w:val="0"/>
      <w:spacing w:before="156" w:beforeLines="50" w:line="288" w:lineRule="auto"/>
      <w:jc w:val="center"/>
    </w:pPr>
    <w:rPr>
      <w:rFonts w:ascii="宋体" w:hAnsi="宋体" w:cs="宋体"/>
      <w:b/>
      <w:kern w:val="0"/>
    </w:rPr>
  </w:style>
  <w:style w:type="paragraph" w:customStyle="1" w:styleId="149">
    <w:name w:val="表格正文"/>
    <w:basedOn w:val="122"/>
    <w:qFormat/>
    <w:uiPriority w:val="0"/>
    <w:pPr>
      <w:spacing w:line="240" w:lineRule="auto"/>
    </w:pPr>
  </w:style>
  <w:style w:type="paragraph" w:customStyle="1" w:styleId="150">
    <w:name w:val="样式 样式 (符号) 宋体 小四 行距: 1.5 倍行距 + 首行缩进:  2 字符"/>
    <w:basedOn w:val="1"/>
    <w:qFormat/>
    <w:uiPriority w:val="0"/>
    <w:pPr>
      <w:spacing w:line="360" w:lineRule="auto"/>
      <w:ind w:firstLine="456" w:firstLineChars="200"/>
    </w:pPr>
    <w:rPr>
      <w:rFonts w:hAnsi="宋体" w:cs="宋体"/>
      <w:sz w:val="24"/>
    </w:rPr>
  </w:style>
  <w:style w:type="paragraph" w:customStyle="1" w:styleId="151">
    <w:name w:val="表头"/>
    <w:basedOn w:val="9"/>
    <w:next w:val="1"/>
    <w:qFormat/>
    <w:uiPriority w:val="0"/>
    <w:pPr>
      <w:tabs>
        <w:tab w:val="left" w:pos="720"/>
        <w:tab w:val="left" w:pos="2040"/>
        <w:tab w:val="left" w:pos="6902"/>
      </w:tabs>
    </w:pPr>
  </w:style>
  <w:style w:type="paragraph" w:customStyle="1" w:styleId="152">
    <w:name w:val="Char Char2"/>
    <w:basedOn w:val="1"/>
    <w:qFormat/>
    <w:uiPriority w:val="0"/>
    <w:pPr>
      <w:spacing w:line="360" w:lineRule="auto"/>
      <w:ind w:firstLine="200" w:firstLineChars="200"/>
    </w:pPr>
    <w:rPr>
      <w:rFonts w:ascii="宋体" w:hAnsi="宋体" w:cs="宋体"/>
      <w:sz w:val="24"/>
      <w:szCs w:val="21"/>
    </w:rPr>
  </w:style>
  <w:style w:type="paragraph" w:customStyle="1" w:styleId="153">
    <w:name w:val="CM74"/>
    <w:basedOn w:val="2"/>
    <w:next w:val="2"/>
    <w:qFormat/>
    <w:uiPriority w:val="0"/>
    <w:pPr>
      <w:spacing w:after="98"/>
    </w:pPr>
    <w:rPr>
      <w:rFonts w:hAnsi="Calibri"/>
      <w:color w:val="auto"/>
    </w:rPr>
  </w:style>
  <w:style w:type="paragraph" w:customStyle="1" w:styleId="154">
    <w:name w:val="样式 四号 加粗 段前: 6 磅 段后: 5 磅 行距: 固定值 23 磅"/>
    <w:basedOn w:val="10"/>
    <w:next w:val="1"/>
    <w:qFormat/>
    <w:uiPriority w:val="0"/>
    <w:pPr>
      <w:keepNext w:val="0"/>
      <w:keepLines w:val="0"/>
      <w:adjustRightInd/>
      <w:snapToGrid/>
      <w:spacing w:before="0" w:after="0" w:line="360" w:lineRule="auto"/>
      <w:ind w:firstLine="482" w:firstLineChars="200"/>
      <w:outlineLvl w:val="9"/>
    </w:pPr>
    <w:rPr>
      <w:rFonts w:ascii="Times New Roman" w:hAnsi="Times New Roman"/>
      <w:bCs w:val="0"/>
      <w:sz w:val="24"/>
      <w:szCs w:val="24"/>
    </w:rPr>
  </w:style>
  <w:style w:type="paragraph" w:customStyle="1" w:styleId="155">
    <w:name w:val="表格 23"/>
    <w:basedOn w:val="1"/>
    <w:qFormat/>
    <w:uiPriority w:val="0"/>
    <w:pPr>
      <w:autoSpaceDE w:val="0"/>
      <w:autoSpaceDN w:val="0"/>
      <w:adjustRightInd w:val="0"/>
      <w:jc w:val="center"/>
    </w:pPr>
    <w:rPr>
      <w:rFonts w:eastAsia="仿宋体"/>
      <w:kern w:val="0"/>
    </w:rPr>
  </w:style>
  <w:style w:type="paragraph" w:customStyle="1" w:styleId="156">
    <w:name w:val="表头 Char"/>
    <w:basedOn w:val="1"/>
    <w:qFormat/>
    <w:uiPriority w:val="0"/>
    <w:pPr>
      <w:tabs>
        <w:tab w:val="left" w:pos="1021"/>
      </w:tabs>
      <w:spacing w:line="360" w:lineRule="auto"/>
      <w:jc w:val="center"/>
    </w:pPr>
    <w:rPr>
      <w:rFonts w:ascii="宋体" w:hAnsi="宋体"/>
      <w:b/>
      <w:bCs/>
      <w:kern w:val="24"/>
      <w:sz w:val="24"/>
      <w:szCs w:val="24"/>
    </w:rPr>
  </w:style>
  <w:style w:type="paragraph" w:customStyle="1" w:styleId="157">
    <w:name w:val="三级标题"/>
    <w:basedOn w:val="1"/>
    <w:next w:val="39"/>
    <w:qFormat/>
    <w:uiPriority w:val="0"/>
    <w:pPr>
      <w:adjustRightInd w:val="0"/>
      <w:snapToGrid w:val="0"/>
      <w:spacing w:line="360" w:lineRule="exact"/>
      <w:jc w:val="center"/>
    </w:pPr>
    <w:rPr>
      <w:bCs/>
      <w:sz w:val="24"/>
    </w:rPr>
  </w:style>
  <w:style w:type="paragraph" w:customStyle="1" w:styleId="158">
    <w:name w:val="默认段落字体 Para Char Char Char Char"/>
    <w:basedOn w:val="1"/>
    <w:qFormat/>
    <w:uiPriority w:val="0"/>
    <w:rPr>
      <w:sz w:val="24"/>
      <w:szCs w:val="24"/>
    </w:rPr>
  </w:style>
  <w:style w:type="paragraph" w:customStyle="1" w:styleId="159">
    <w:name w:val="zhang正文"/>
    <w:basedOn w:val="17"/>
    <w:qFormat/>
    <w:uiPriority w:val="0"/>
    <w:pPr>
      <w:autoSpaceDE w:val="0"/>
      <w:autoSpaceDN w:val="0"/>
      <w:adjustRightInd w:val="0"/>
      <w:snapToGrid w:val="0"/>
      <w:spacing w:after="0" w:line="360" w:lineRule="auto"/>
      <w:ind w:left="0" w:leftChars="0" w:firstLine="539"/>
      <w:textAlignment w:val="baseline"/>
    </w:pPr>
    <w:rPr>
      <w:rFonts w:eastAsia="楷体_GB2312"/>
      <w:kern w:val="0"/>
      <w:sz w:val="28"/>
    </w:rPr>
  </w:style>
  <w:style w:type="paragraph" w:customStyle="1" w:styleId="160">
    <w:name w:val="Char Char Char Char Char"/>
    <w:basedOn w:val="1"/>
    <w:next w:val="1"/>
    <w:semiHidden/>
    <w:qFormat/>
    <w:uiPriority w:val="0"/>
    <w:pPr>
      <w:spacing w:line="336" w:lineRule="auto"/>
      <w:ind w:firstLine="200" w:firstLineChars="200"/>
    </w:pPr>
    <w:rPr>
      <w:rFonts w:ascii="宋体" w:hAnsi="宋体" w:eastAsia="汉鼎简书宋" w:cs="宋体"/>
      <w:sz w:val="24"/>
      <w:szCs w:val="24"/>
    </w:rPr>
  </w:style>
  <w:style w:type="paragraph" w:customStyle="1" w:styleId="161">
    <w:name w:val="样式3"/>
    <w:basedOn w:val="1"/>
    <w:qFormat/>
    <w:uiPriority w:val="0"/>
    <w:pPr>
      <w:autoSpaceDE w:val="0"/>
      <w:autoSpaceDN w:val="0"/>
      <w:snapToGrid w:val="0"/>
      <w:spacing w:before="120" w:line="460" w:lineRule="atLeast"/>
      <w:jc w:val="center"/>
    </w:pPr>
    <w:rPr>
      <w:rFonts w:eastAsia="黑体"/>
      <w:sz w:val="28"/>
      <w:szCs w:val="24"/>
    </w:rPr>
  </w:style>
  <w:style w:type="paragraph" w:customStyle="1" w:styleId="162">
    <w:name w:val="CM6"/>
    <w:basedOn w:val="2"/>
    <w:next w:val="2"/>
    <w:qFormat/>
    <w:uiPriority w:val="0"/>
    <w:pPr>
      <w:spacing w:line="466" w:lineRule="atLeast"/>
    </w:pPr>
    <w:rPr>
      <w:rFonts w:hAnsi="Calibri"/>
      <w:color w:val="auto"/>
    </w:rPr>
  </w:style>
  <w:style w:type="paragraph" w:customStyle="1" w:styleId="163">
    <w:name w:val="CM61"/>
    <w:basedOn w:val="2"/>
    <w:next w:val="2"/>
    <w:qFormat/>
    <w:uiPriority w:val="0"/>
    <w:pPr>
      <w:spacing w:line="468" w:lineRule="atLeast"/>
    </w:pPr>
    <w:rPr>
      <w:rFonts w:hAnsi="Calibri"/>
      <w:color w:val="auto"/>
    </w:rPr>
  </w:style>
  <w:style w:type="paragraph" w:customStyle="1" w:styleId="164">
    <w:name w:val="段落 Char Char Char"/>
    <w:basedOn w:val="1"/>
    <w:qFormat/>
    <w:uiPriority w:val="0"/>
    <w:pPr>
      <w:tabs>
        <w:tab w:val="left" w:pos="1021"/>
      </w:tabs>
      <w:spacing w:line="360" w:lineRule="auto"/>
      <w:ind w:firstLine="480" w:firstLineChars="200"/>
    </w:pPr>
    <w:rPr>
      <w:bCs/>
      <w:sz w:val="24"/>
    </w:rPr>
  </w:style>
  <w:style w:type="paragraph" w:customStyle="1" w:styleId="165">
    <w:name w:val="报告书正文"/>
    <w:basedOn w:val="1"/>
    <w:link w:val="177"/>
    <w:qFormat/>
    <w:uiPriority w:val="0"/>
    <w:pPr>
      <w:adjustRightInd w:val="0"/>
      <w:spacing w:line="360" w:lineRule="auto"/>
      <w:ind w:firstLine="200" w:firstLineChars="200"/>
      <w:textAlignment w:val="baseline"/>
    </w:pPr>
    <w:rPr>
      <w:kern w:val="0"/>
      <w:sz w:val="24"/>
    </w:rPr>
  </w:style>
  <w:style w:type="paragraph" w:customStyle="1" w:styleId="166">
    <w:name w:val="Char1"/>
    <w:basedOn w:val="1"/>
    <w:qFormat/>
    <w:uiPriority w:val="0"/>
    <w:pPr>
      <w:snapToGrid w:val="0"/>
      <w:spacing w:line="360" w:lineRule="auto"/>
      <w:ind w:firstLine="529" w:firstLineChars="200"/>
    </w:pPr>
    <w:rPr>
      <w:szCs w:val="24"/>
    </w:rPr>
  </w:style>
  <w:style w:type="paragraph" w:styleId="167">
    <w:name w:val="List Paragraph"/>
    <w:basedOn w:val="1"/>
    <w:qFormat/>
    <w:uiPriority w:val="99"/>
    <w:pPr>
      <w:ind w:firstLine="420" w:firstLineChars="200"/>
    </w:pPr>
    <w:rPr>
      <w:szCs w:val="24"/>
    </w:rPr>
  </w:style>
  <w:style w:type="paragraph" w:customStyle="1" w:styleId="168">
    <w:name w:val="_Style 24"/>
    <w:basedOn w:val="1"/>
    <w:next w:val="1"/>
    <w:qFormat/>
    <w:uiPriority w:val="0"/>
    <w:pPr>
      <w:spacing w:line="360" w:lineRule="auto"/>
      <w:ind w:firstLine="200" w:firstLineChars="200"/>
    </w:pPr>
    <w:rPr>
      <w:sz w:val="24"/>
    </w:rPr>
  </w:style>
  <w:style w:type="paragraph" w:customStyle="1" w:styleId="169">
    <w:name w:val="p0"/>
    <w:basedOn w:val="1"/>
    <w:qFormat/>
    <w:uiPriority w:val="0"/>
    <w:pPr>
      <w:widowControl/>
    </w:pPr>
    <w:rPr>
      <w:kern w:val="0"/>
      <w:szCs w:val="21"/>
    </w:rPr>
  </w:style>
  <w:style w:type="paragraph" w:customStyle="1" w:styleId="170">
    <w:name w:val="样式 小四 行距: 1.5 倍行距 首行缩进:  2 字符1"/>
    <w:basedOn w:val="1"/>
    <w:qFormat/>
    <w:uiPriority w:val="0"/>
    <w:pPr>
      <w:spacing w:line="360" w:lineRule="auto"/>
      <w:ind w:firstLine="480" w:firstLineChars="200"/>
    </w:pPr>
    <w:rPr>
      <w:rFonts w:cs="宋体"/>
      <w:sz w:val="24"/>
      <w:szCs w:val="21"/>
    </w:rPr>
  </w:style>
  <w:style w:type="paragraph" w:customStyle="1" w:styleId="171">
    <w:name w:val="永环表内格式"/>
    <w:basedOn w:val="1"/>
    <w:qFormat/>
    <w:uiPriority w:val="0"/>
    <w:pPr>
      <w:spacing w:line="360" w:lineRule="exact"/>
      <w:jc w:val="center"/>
    </w:pPr>
    <w:rPr>
      <w:szCs w:val="21"/>
    </w:rPr>
  </w:style>
  <w:style w:type="paragraph" w:customStyle="1" w:styleId="172">
    <w:name w:val="永环图标标题格式"/>
    <w:basedOn w:val="1"/>
    <w:qFormat/>
    <w:uiPriority w:val="0"/>
    <w:pPr>
      <w:spacing w:before="20" w:beforeLines="20" w:after="20" w:afterLines="20" w:line="560" w:lineRule="exact"/>
      <w:jc w:val="center"/>
    </w:pPr>
    <w:rPr>
      <w:rFonts w:eastAsia="黑体"/>
      <w:bCs/>
      <w:sz w:val="24"/>
      <w:szCs w:val="24"/>
    </w:rPr>
  </w:style>
  <w:style w:type="paragraph" w:customStyle="1" w:styleId="173">
    <w:name w:val="永环正文格式"/>
    <w:basedOn w:val="1"/>
    <w:qFormat/>
    <w:uiPriority w:val="0"/>
    <w:pPr>
      <w:spacing w:line="540" w:lineRule="exact"/>
      <w:ind w:firstLine="200" w:firstLineChars="200"/>
    </w:pPr>
    <w:rPr>
      <w:sz w:val="24"/>
      <w:szCs w:val="21"/>
    </w:rPr>
  </w:style>
  <w:style w:type="paragraph" w:customStyle="1" w:styleId="17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75">
    <w:name w:val="样式 行距: 1.5 倍行距"/>
    <w:basedOn w:val="1"/>
    <w:qFormat/>
    <w:uiPriority w:val="0"/>
    <w:pPr>
      <w:spacing w:line="360" w:lineRule="auto"/>
      <w:ind w:firstLine="480" w:firstLineChars="200"/>
    </w:pPr>
    <w:rPr>
      <w:rFonts w:eastAsia="仿宋_GB2312" w:cs="宋体"/>
      <w:kern w:val="0"/>
      <w:sz w:val="24"/>
    </w:rPr>
  </w:style>
  <w:style w:type="paragraph" w:customStyle="1" w:styleId="176">
    <w:name w:val="Char1 Char Char1 Char"/>
    <w:basedOn w:val="1"/>
    <w:qFormat/>
    <w:uiPriority w:val="0"/>
    <w:rPr>
      <w:sz w:val="24"/>
      <w:szCs w:val="24"/>
    </w:rPr>
  </w:style>
  <w:style w:type="character" w:customStyle="1" w:styleId="177">
    <w:name w:val="报告书正文 Char"/>
    <w:link w:val="165"/>
    <w:qFormat/>
    <w:uiPriority w:val="0"/>
    <w:rPr>
      <w:sz w:val="24"/>
    </w:rPr>
  </w:style>
  <w:style w:type="paragraph" w:customStyle="1" w:styleId="178">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9">
    <w:name w:val="样式 行距: 固定值 24 磅 首行缩进:  2 字符"/>
    <w:basedOn w:val="1"/>
    <w:qFormat/>
    <w:uiPriority w:val="0"/>
    <w:pPr>
      <w:spacing w:line="480" w:lineRule="exact"/>
      <w:ind w:firstLine="480" w:firstLineChars="200"/>
    </w:pPr>
    <w:rPr>
      <w:rFonts w:cs="宋体"/>
      <w:sz w:val="24"/>
    </w:rPr>
  </w:style>
  <w:style w:type="paragraph" w:customStyle="1" w:styleId="180">
    <w:name w:val="列出段落8"/>
    <w:basedOn w:val="1"/>
    <w:qFormat/>
    <w:uiPriority w:val="0"/>
    <w:pPr>
      <w:ind w:firstLine="420" w:firstLineChars="200"/>
    </w:pPr>
    <w:rPr>
      <w:rFonts w:ascii="Calibri" w:hAnsi="Calibri"/>
      <w:szCs w:val="22"/>
    </w:rPr>
  </w:style>
  <w:style w:type="paragraph" w:customStyle="1" w:styleId="18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82">
    <w:name w:val="报告正文-连续目录"/>
    <w:basedOn w:val="1"/>
    <w:qFormat/>
    <w:uiPriority w:val="0"/>
    <w:pPr>
      <w:spacing w:line="440" w:lineRule="exact"/>
      <w:ind w:firstLine="200" w:firstLineChars="200"/>
    </w:pPr>
    <w:rPr>
      <w:rFonts w:ascii="Arial" w:hAnsi="Arial"/>
      <w:snapToGrid w:val="0"/>
      <w:kern w:val="0"/>
      <w:sz w:val="24"/>
      <w:szCs w:val="24"/>
    </w:rPr>
  </w:style>
  <w:style w:type="character" w:customStyle="1" w:styleId="183">
    <w:name w:val="纯文本 Char1"/>
    <w:qFormat/>
    <w:uiPriority w:val="0"/>
    <w:rPr>
      <w:rFonts w:ascii="宋体" w:hAnsi="Courier New" w:eastAsia="宋体" w:cs="Courier New"/>
      <w:szCs w:val="21"/>
    </w:rPr>
  </w:style>
  <w:style w:type="paragraph" w:customStyle="1" w:styleId="184">
    <w:name w:val="标题 41"/>
    <w:basedOn w:val="1"/>
    <w:qFormat/>
    <w:uiPriority w:val="1"/>
    <w:pPr>
      <w:autoSpaceDE w:val="0"/>
      <w:autoSpaceDN w:val="0"/>
      <w:ind w:left="1017"/>
      <w:jc w:val="left"/>
      <w:outlineLvl w:val="4"/>
    </w:pPr>
    <w:rPr>
      <w:rFonts w:ascii="宋体" w:hAnsi="宋体" w:cs="宋体"/>
      <w:b/>
      <w:bCs/>
      <w:kern w:val="0"/>
      <w:sz w:val="24"/>
      <w:szCs w:val="24"/>
      <w:lang w:eastAsia="en-US"/>
    </w:rPr>
  </w:style>
  <w:style w:type="paragraph" w:customStyle="1" w:styleId="185">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86">
    <w:name w:val="表字体"/>
    <w:basedOn w:val="1"/>
    <w:next w:val="1"/>
    <w:qFormat/>
    <w:uiPriority w:val="0"/>
    <w:pPr>
      <w:jc w:val="center"/>
    </w:pPr>
    <w:rPr>
      <w:rFonts w:ascii="Times New Roman" w:hAnsi="Times New Roman" w:eastAsia="宋体"/>
    </w:rPr>
  </w:style>
  <w:style w:type="paragraph" w:customStyle="1" w:styleId="187">
    <w:name w:val="1标题"/>
    <w:basedOn w:val="1"/>
    <w:qFormat/>
    <w:uiPriority w:val="0"/>
    <w:pPr>
      <w:spacing w:line="360" w:lineRule="auto"/>
      <w:ind w:firstLine="723" w:firstLineChars="200"/>
    </w:pPr>
    <w:rPr>
      <w:rFonts w:ascii="Times New Roman" w:hAnsi="Times New Roman" w:eastAsia="宋体"/>
      <w:b/>
      <w:sz w:val="24"/>
    </w:rPr>
  </w:style>
  <w:style w:type="paragraph" w:customStyle="1" w:styleId="188">
    <w:name w:val="表标题"/>
    <w:basedOn w:val="1"/>
    <w:qFormat/>
    <w:uiPriority w:val="0"/>
    <w:pPr>
      <w:jc w:val="center"/>
    </w:pPr>
    <w:rPr>
      <w:rFonts w:ascii="Times New Roman" w:hAnsi="Times New Roman" w:eastAsia="宋体"/>
      <w:b/>
    </w:rPr>
  </w:style>
  <w:style w:type="paragraph" w:customStyle="1" w:styleId="189">
    <w:name w:val="段落1"/>
    <w:basedOn w:val="1"/>
    <w:qFormat/>
    <w:uiPriority w:val="0"/>
    <w:pPr>
      <w:adjustRightInd w:val="0"/>
      <w:spacing w:line="440" w:lineRule="exact"/>
      <w:ind w:firstLine="200" w:firstLineChars="200"/>
    </w:pPr>
    <w:rPr>
      <w:rFonts w:ascii="Calibri" w:hAnsi="Calibri" w:eastAsia="宋体" w:cs="Times New Roman"/>
      <w:spacing w:val="8"/>
      <w:sz w:val="28"/>
    </w:rPr>
  </w:style>
  <w:style w:type="paragraph" w:customStyle="1" w:styleId="190">
    <w:name w:val="表1-1"/>
    <w:basedOn w:val="1"/>
    <w:qFormat/>
    <w:uiPriority w:val="0"/>
    <w:pPr>
      <w:spacing w:line="240" w:lineRule="auto"/>
      <w:jc w:val="center"/>
    </w:pPr>
    <w:rPr>
      <w:rFonts w:ascii="Times New Roman" w:hAnsi="Times New Roman" w:eastAsia="宋体"/>
      <w:b/>
      <w:kern w:val="0"/>
      <w:sz w:val="21"/>
      <w:szCs w:val="20"/>
    </w:rPr>
  </w:style>
  <w:style w:type="paragraph" w:customStyle="1" w:styleId="191">
    <w:name w:val="样式 正文文本缩进 2 + Times New Roman 首行缩进:  2 字符"/>
    <w:basedOn w:val="24"/>
    <w:qFormat/>
    <w:uiPriority w:val="0"/>
    <w:pPr>
      <w:widowControl/>
      <w:spacing w:after="0" w:line="360" w:lineRule="auto"/>
      <w:ind w:left="0" w:leftChars="0" w:firstLine="480" w:firstLineChars="200"/>
    </w:pPr>
    <w:rPr>
      <w:rFonts w:cs="宋体"/>
      <w:kern w:val="0"/>
      <w:sz w:val="24"/>
      <w:szCs w:val="20"/>
    </w:rPr>
  </w:style>
  <w:style w:type="paragraph" w:customStyle="1" w:styleId="192">
    <w:name w:val="正文001"/>
    <w:basedOn w:val="1"/>
    <w:qFormat/>
    <w:uiPriority w:val="0"/>
    <w:pPr>
      <w:spacing w:before="60" w:line="420" w:lineRule="exact"/>
      <w:ind w:firstLine="482"/>
    </w:pPr>
    <w:rPr>
      <w:sz w:val="24"/>
      <w:szCs w:val="20"/>
    </w:rPr>
  </w:style>
  <w:style w:type="paragraph" w:customStyle="1" w:styleId="193">
    <w:name w:val="备注"/>
    <w:basedOn w:val="1"/>
    <w:qFormat/>
    <w:uiPriority w:val="0"/>
    <w:pPr>
      <w:spacing w:line="240" w:lineRule="auto"/>
      <w:ind w:firstLine="723" w:firstLineChars="200"/>
    </w:pPr>
    <w:rPr>
      <w:rFonts w:ascii="Times New Roman" w:hAnsi="Times New Roman" w:eastAsia="宋体"/>
      <w:b/>
      <w:sz w:val="21"/>
      <w:szCs w:val="21"/>
    </w:rPr>
  </w:style>
  <w:style w:type="paragraph" w:customStyle="1" w:styleId="194">
    <w:name w:val="正文内容"/>
    <w:basedOn w:val="1"/>
    <w:qFormat/>
    <w:uiPriority w:val="0"/>
    <w:pPr>
      <w:spacing w:line="360" w:lineRule="auto"/>
      <w:ind w:firstLine="200" w:firstLineChars="200"/>
    </w:pPr>
    <w:rPr>
      <w:kern w:val="0"/>
      <w:sz w:val="24"/>
    </w:rPr>
  </w:style>
  <w:style w:type="paragraph" w:customStyle="1" w:styleId="195">
    <w:name w:val="环评正文"/>
    <w:basedOn w:val="1"/>
    <w:qFormat/>
    <w:uiPriority w:val="0"/>
    <w:pPr>
      <w:spacing w:line="360" w:lineRule="auto"/>
      <w:ind w:firstLine="480" w:firstLineChars="200"/>
    </w:pPr>
    <w:rPr>
      <w:sz w:val="24"/>
      <w:szCs w:val="21"/>
    </w:rPr>
  </w:style>
  <w:style w:type="character" w:customStyle="1" w:styleId="196">
    <w:name w:val="hj-easyread-speakerprocesser-position-action-icon"/>
    <w:basedOn w:val="43"/>
    <w:uiPriority w:val="0"/>
  </w:style>
  <w:style w:type="character" w:customStyle="1" w:styleId="197">
    <w:name w:val="dropselect_box"/>
    <w:basedOn w:val="43"/>
    <w:uiPriority w:val="0"/>
  </w:style>
  <w:style w:type="character" w:customStyle="1" w:styleId="198">
    <w:name w:val="dropselect_box1"/>
    <w:basedOn w:val="43"/>
    <w:uiPriority w:val="0"/>
    <w:rPr>
      <w:bdr w:val="single" w:color="E2E2E2" w:sz="6" w:space="0"/>
    </w:rPr>
  </w:style>
  <w:style w:type="character" w:customStyle="1" w:styleId="199">
    <w:name w:val="u-close"/>
    <w:basedOn w:val="43"/>
    <w:uiPriority w:val="0"/>
  </w:style>
  <w:style w:type="character" w:customStyle="1" w:styleId="200">
    <w:name w:val="photo"/>
    <w:basedOn w:val="43"/>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4B223-AC68-4AEF-A9E0-371EE7A0DD5F}">
  <ds:schemaRefs/>
</ds:datastoreItem>
</file>

<file path=docProps/app.xml><?xml version="1.0" encoding="utf-8"?>
<Properties xmlns="http://schemas.openxmlformats.org/officeDocument/2006/extended-properties" xmlns:vt="http://schemas.openxmlformats.org/officeDocument/2006/docPropsVTypes">
  <Template>Normal</Template>
  <Company>微软系统</Company>
  <Pages>99</Pages>
  <Words>38038</Words>
  <Characters>43990</Characters>
  <Lines>279</Lines>
  <Paragraphs>78</Paragraphs>
  <TotalTime>7</TotalTime>
  <ScaleCrop>false</ScaleCrop>
  <LinksUpToDate>false</LinksUpToDate>
  <CharactersWithSpaces>47160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2018-11-01T10:26:00Z</dcterms:created>
  <dc:creator>微软用户</dc:creator>
  <cp:lastModifiedBy>浮生若梦</cp:lastModifiedBy>
  <cp:lastPrinted>2020-08-11T06:34:00Z</cp:lastPrinted>
  <dcterms:modified xsi:type="dcterms:W3CDTF">2020-08-25T09:30:30Z</dcterms:modified>
  <dc:title>建设项目环境影响报告表</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