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56" w:beforeLines="50" w:line="480" w:lineRule="auto"/>
        <w:jc w:val="center"/>
        <w:rPr>
          <w:rFonts w:hint="default" w:ascii="Times New Roman" w:hAnsi="Times New Roman" w:cs="Times New Roman"/>
          <w:b/>
          <w:color w:val="auto"/>
          <w:sz w:val="72"/>
          <w:szCs w:val="72"/>
          <w:u w:val="none" w:color="auto"/>
        </w:rPr>
      </w:pPr>
    </w:p>
    <w:p>
      <w:pPr>
        <w:spacing w:before="156" w:beforeLines="50" w:line="480" w:lineRule="auto"/>
        <w:jc w:val="center"/>
        <w:rPr>
          <w:rFonts w:hint="default" w:ascii="Times New Roman" w:hAnsi="Times New Roman" w:cs="Times New Roman"/>
          <w:b/>
          <w:color w:val="auto"/>
          <w:sz w:val="72"/>
          <w:szCs w:val="72"/>
          <w:u w:val="none" w:color="auto"/>
        </w:rPr>
      </w:pPr>
      <w:r>
        <w:rPr>
          <w:rFonts w:hint="default" w:ascii="Times New Roman" w:hAnsi="Times New Roman" w:cs="Times New Roman"/>
          <w:b/>
          <w:color w:val="auto"/>
          <w:sz w:val="72"/>
          <w:szCs w:val="72"/>
          <w:u w:val="none" w:color="auto"/>
        </w:rPr>
        <w:t>建设项目环境影响报告表</w:t>
      </w:r>
    </w:p>
    <w:p>
      <w:pPr>
        <w:jc w:val="center"/>
        <w:rPr>
          <w:rFonts w:hint="default" w:ascii="Times New Roman" w:hAnsi="Times New Roman" w:eastAsia="宋体" w:cs="Times New Roman"/>
          <w:color w:val="auto"/>
          <w:sz w:val="32"/>
          <w:szCs w:val="32"/>
          <w:u w:val="none" w:color="auto"/>
          <w:lang w:eastAsia="zh-CN"/>
        </w:rPr>
      </w:pPr>
      <w:r>
        <w:rPr>
          <w:rFonts w:hint="default" w:ascii="Times New Roman" w:hAnsi="Times New Roman" w:cs="Times New Roman"/>
          <w:color w:val="auto"/>
          <w:sz w:val="32"/>
          <w:szCs w:val="32"/>
          <w:u w:val="none" w:color="auto"/>
          <w:lang w:eastAsia="zh-CN"/>
        </w:rPr>
        <w:t>（</w:t>
      </w:r>
      <w:r>
        <w:rPr>
          <w:rFonts w:hint="eastAsia" w:cs="Times New Roman"/>
          <w:color w:val="auto"/>
          <w:sz w:val="32"/>
          <w:szCs w:val="32"/>
          <w:u w:val="none" w:color="auto"/>
          <w:lang w:eastAsia="zh-CN"/>
        </w:rPr>
        <w:t>报批</w:t>
      </w:r>
      <w:r>
        <w:rPr>
          <w:rFonts w:hint="default" w:ascii="Times New Roman" w:hAnsi="Times New Roman" w:cs="Times New Roman"/>
          <w:color w:val="auto"/>
          <w:sz w:val="32"/>
          <w:szCs w:val="32"/>
          <w:u w:val="none" w:color="auto"/>
          <w:lang w:eastAsia="zh-CN"/>
        </w:rPr>
        <w:t>稿）</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pStyle w:val="15"/>
        <w:rPr>
          <w:rFonts w:hint="default"/>
          <w:color w:val="auto"/>
          <w:u w:val="none" w:color="auto"/>
        </w:rPr>
      </w:pPr>
    </w:p>
    <w:p>
      <w:pPr>
        <w:rPr>
          <w:rFonts w:hint="default" w:ascii="Times New Roman" w:hAnsi="Times New Roman" w:cs="Times New Roman"/>
          <w:color w:val="auto"/>
          <w:sz w:val="44"/>
          <w:szCs w:val="44"/>
          <w:u w:val="none" w:color="auto"/>
        </w:rPr>
      </w:pPr>
    </w:p>
    <w:p>
      <w:pPr>
        <w:adjustRightInd w:val="0"/>
        <w:spacing w:line="720" w:lineRule="auto"/>
        <w:ind w:firstLine="321" w:firstLineChars="100"/>
        <w:rPr>
          <w:rFonts w:hint="default" w:ascii="Times New Roman" w:hAnsi="Times New Roman" w:cs="Times New Roman"/>
          <w:b/>
          <w:color w:val="auto"/>
          <w:sz w:val="32"/>
          <w:u w:val="single" w:color="auto"/>
        </w:rPr>
      </w:pPr>
      <w:r>
        <w:rPr>
          <w:rFonts w:hint="default" w:ascii="Times New Roman" w:hAnsi="Times New Roman" w:cs="Times New Roman"/>
          <w:b/>
          <w:color w:val="auto"/>
          <w:sz w:val="32"/>
          <w:u w:val="single" w:color="auto"/>
        </w:rPr>
        <w:t>项目名称：</w:t>
      </w:r>
      <w:r>
        <w:rPr>
          <w:rFonts w:hint="eastAsia" w:cs="Times New Roman"/>
          <w:b/>
          <w:bCs/>
          <w:color w:val="auto"/>
          <w:spacing w:val="-8"/>
          <w:sz w:val="32"/>
          <w:u w:val="single" w:color="auto"/>
          <w:lang w:eastAsia="zh-CN"/>
        </w:rPr>
        <w:t>“文星”节能变压器产品革新及技术改造项目</w:t>
      </w:r>
      <w:r>
        <w:rPr>
          <w:rFonts w:hint="default" w:ascii="Times New Roman" w:hAnsi="Times New Roman" w:cs="Times New Roman"/>
          <w:color w:val="auto"/>
          <w:sz w:val="32"/>
          <w:szCs w:val="32"/>
          <w:u w:val="single" w:color="auto"/>
        </w:rPr>
        <w:t xml:space="preserve">  </w:t>
      </w:r>
    </w:p>
    <w:p>
      <w:pPr>
        <w:adjustRightInd w:val="0"/>
        <w:spacing w:line="360" w:lineRule="auto"/>
        <w:rPr>
          <w:rFonts w:hint="default" w:ascii="Times New Roman" w:hAnsi="Times New Roman" w:cs="Times New Roman"/>
          <w:color w:val="auto"/>
          <w:sz w:val="32"/>
          <w:u w:val="single" w:color="auto"/>
        </w:rPr>
      </w:pPr>
      <w:r>
        <w:rPr>
          <w:rFonts w:hint="default" w:ascii="Times New Roman" w:hAnsi="Times New Roman" w:cs="Times New Roman"/>
          <w:b/>
          <w:color w:val="auto"/>
          <w:sz w:val="32"/>
          <w:u w:val="single" w:color="auto"/>
        </w:rPr>
        <w:t>建设单位：</w:t>
      </w:r>
      <w:r>
        <w:rPr>
          <w:rFonts w:hint="default" w:ascii="Times New Roman" w:hAnsi="Times New Roman" w:cs="Times New Roman"/>
          <w:color w:val="auto"/>
          <w:spacing w:val="-8"/>
          <w:sz w:val="32"/>
          <w:u w:val="single" w:color="auto"/>
        </w:rPr>
        <w:t xml:space="preserve"> </w:t>
      </w:r>
      <w:r>
        <w:rPr>
          <w:rFonts w:hint="eastAsia" w:cs="Times New Roman"/>
          <w:color w:val="auto"/>
          <w:spacing w:val="-8"/>
          <w:sz w:val="32"/>
          <w:u w:val="single" w:color="auto"/>
          <w:lang w:val="en-US" w:eastAsia="zh-CN"/>
        </w:rPr>
        <w:t xml:space="preserve">  </w:t>
      </w:r>
      <w:r>
        <w:rPr>
          <w:rFonts w:hint="eastAsia" w:cs="Times New Roman"/>
          <w:b/>
          <w:color w:val="auto"/>
          <w:sz w:val="32"/>
          <w:szCs w:val="22"/>
          <w:u w:val="single" w:color="auto"/>
          <w:lang w:eastAsia="zh-CN"/>
        </w:rPr>
        <w:t>湖南湘变电气有限责任公司</w:t>
      </w:r>
      <w:r>
        <w:rPr>
          <w:rFonts w:hint="eastAsia" w:ascii="Times New Roman" w:hAnsi="Times New Roman" w:cs="Times New Roman"/>
          <w:b/>
          <w:color w:val="auto"/>
          <w:sz w:val="32"/>
          <w:szCs w:val="22"/>
          <w:u w:val="single" w:color="auto"/>
          <w:lang w:val="en-US" w:eastAsia="zh-CN"/>
        </w:rPr>
        <w:t xml:space="preserve">  </w:t>
      </w:r>
      <w:r>
        <w:rPr>
          <w:rFonts w:hint="eastAsia" w:cs="Times New Roman"/>
          <w:color w:val="auto"/>
          <w:spacing w:val="-8"/>
          <w:sz w:val="32"/>
          <w:u w:val="single" w:color="auto"/>
          <w:lang w:val="en-US" w:eastAsia="zh-CN"/>
        </w:rPr>
        <w:t xml:space="preserve">   </w:t>
      </w:r>
      <w:r>
        <w:rPr>
          <w:rFonts w:hint="default" w:ascii="Times New Roman" w:hAnsi="Times New Roman" w:cs="Times New Roman"/>
          <w:color w:val="auto"/>
          <w:sz w:val="32"/>
          <w:szCs w:val="32"/>
          <w:u w:val="single" w:color="auto"/>
        </w:rPr>
        <w:t xml:space="preserve"> </w:t>
      </w:r>
      <w:r>
        <w:rPr>
          <w:rFonts w:hint="default" w:ascii="Times New Roman" w:hAnsi="Times New Roman" w:cs="Times New Roman"/>
          <w:color w:val="auto"/>
          <w:spacing w:val="-8"/>
          <w:sz w:val="32"/>
          <w:u w:val="single" w:color="auto"/>
        </w:rPr>
        <w:t>（盖章）</w:t>
      </w: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rPr>
          <w:rFonts w:hint="default" w:ascii="Times New Roman" w:hAnsi="Times New Roman" w:cs="Times New Roman"/>
          <w:color w:val="auto"/>
          <w:sz w:val="44"/>
          <w:szCs w:val="44"/>
          <w:u w:val="none" w:color="auto"/>
        </w:rPr>
      </w:pPr>
    </w:p>
    <w:p>
      <w:pPr>
        <w:bidi w:val="0"/>
        <w:jc w:val="center"/>
        <w:rPr>
          <w:rFonts w:hint="eastAsia" w:eastAsia="宋体"/>
          <w:b/>
          <w:bCs/>
          <w:color w:val="auto"/>
          <w:sz w:val="32"/>
          <w:szCs w:val="28"/>
          <w:u w:val="none" w:color="auto"/>
          <w:lang w:val="en-US" w:eastAsia="zh-CN"/>
        </w:rPr>
      </w:pPr>
      <w:r>
        <w:rPr>
          <w:rFonts w:hint="eastAsia"/>
          <w:b/>
          <w:bCs/>
          <w:color w:val="auto"/>
          <w:sz w:val="32"/>
          <w:szCs w:val="28"/>
          <w:u w:val="none" w:color="auto"/>
          <w:lang w:val="en-US" w:eastAsia="zh-CN"/>
        </w:rPr>
        <w:t>北京国环益达环保技术有限公司</w:t>
      </w:r>
    </w:p>
    <w:p>
      <w:pPr>
        <w:spacing w:before="240" w:beforeLines="100" w:after="240" w:afterLines="100"/>
        <w:jc w:val="center"/>
        <w:rPr>
          <w:b/>
          <w:bCs/>
          <w:color w:val="auto"/>
          <w:sz w:val="36"/>
          <w:szCs w:val="24"/>
          <w:u w:val="none" w:color="auto"/>
        </w:rPr>
      </w:pPr>
      <w:r>
        <w:rPr>
          <w:rFonts w:hint="eastAsia" w:ascii="Times New Roman" w:hAnsi="Times New Roman" w:cs="Times New Roman"/>
          <w:b/>
          <w:bCs/>
          <w:color w:val="auto"/>
          <w:sz w:val="30"/>
          <w:szCs w:val="30"/>
          <w:u w:val="none" w:color="auto"/>
          <w:lang w:val="en-US" w:eastAsia="zh-CN"/>
        </w:rPr>
        <w:t xml:space="preserve">  </w:t>
      </w:r>
      <w:r>
        <w:rPr>
          <w:rFonts w:hint="default" w:ascii="Times New Roman" w:hAnsi="Times New Roman" w:cs="Times New Roman"/>
          <w:b/>
          <w:bCs/>
          <w:color w:val="auto"/>
          <w:sz w:val="30"/>
          <w:szCs w:val="30"/>
          <w:u w:val="none" w:color="auto"/>
        </w:rPr>
        <w:t>编制日期：201</w:t>
      </w:r>
      <w:r>
        <w:rPr>
          <w:rFonts w:hint="eastAsia" w:cs="Times New Roman"/>
          <w:b/>
          <w:bCs/>
          <w:color w:val="auto"/>
          <w:sz w:val="30"/>
          <w:szCs w:val="30"/>
          <w:u w:val="none" w:color="auto"/>
          <w:lang w:val="en-US" w:eastAsia="zh-CN"/>
        </w:rPr>
        <w:t>9</w:t>
      </w:r>
      <w:r>
        <w:rPr>
          <w:rFonts w:hint="default" w:ascii="Times New Roman" w:hAnsi="Times New Roman" w:cs="Times New Roman"/>
          <w:b/>
          <w:bCs/>
          <w:color w:val="auto"/>
          <w:sz w:val="30"/>
          <w:szCs w:val="30"/>
          <w:u w:val="none" w:color="auto"/>
        </w:rPr>
        <w:t>年</w:t>
      </w:r>
      <w:r>
        <w:rPr>
          <w:rFonts w:hint="eastAsia" w:cs="Times New Roman"/>
          <w:b/>
          <w:bCs/>
          <w:color w:val="auto"/>
          <w:sz w:val="30"/>
          <w:szCs w:val="30"/>
          <w:u w:val="none" w:color="auto"/>
          <w:lang w:val="en-US" w:eastAsia="zh-CN"/>
        </w:rPr>
        <w:t>11</w:t>
      </w:r>
      <w:r>
        <w:rPr>
          <w:rFonts w:hint="default" w:ascii="Times New Roman" w:hAnsi="Times New Roman" w:cs="Times New Roman"/>
          <w:b/>
          <w:bCs/>
          <w:color w:val="auto"/>
          <w:sz w:val="30"/>
          <w:szCs w:val="30"/>
          <w:u w:val="none" w:color="auto"/>
        </w:rPr>
        <w:t>月</w:t>
      </w:r>
    </w:p>
    <w:p>
      <w:pPr>
        <w:spacing w:before="240" w:beforeLines="100" w:after="240" w:afterLines="100" w:line="360" w:lineRule="auto"/>
        <w:jc w:val="center"/>
        <w:rPr>
          <w:b/>
          <w:bCs/>
          <w:color w:val="auto"/>
          <w:sz w:val="36"/>
          <w:szCs w:val="24"/>
          <w:u w:val="none" w:color="auto"/>
        </w:rPr>
      </w:pPr>
    </w:p>
    <w:p>
      <w:pPr>
        <w:pStyle w:val="56"/>
        <w:ind w:left="0" w:leftChars="0" w:firstLine="0" w:firstLineChars="0"/>
        <w:jc w:val="center"/>
        <w:rPr>
          <w:rFonts w:hint="eastAsia"/>
          <w:b/>
          <w:bCs/>
          <w:color w:val="auto"/>
          <w:sz w:val="36"/>
          <w:szCs w:val="24"/>
          <w:u w:val="none" w:color="auto"/>
          <w:lang w:eastAsia="zh-CN"/>
        </w:rPr>
      </w:pPr>
      <w:r>
        <w:rPr>
          <w:rFonts w:hint="eastAsia"/>
          <w:b/>
          <w:bCs/>
          <w:color w:val="auto"/>
          <w:sz w:val="36"/>
          <w:szCs w:val="24"/>
          <w:u w:val="none" w:color="auto"/>
          <w:lang w:eastAsia="zh-CN"/>
        </w:rPr>
        <w:t>专家意见修改清单</w:t>
      </w:r>
    </w:p>
    <w:p>
      <w:pPr>
        <w:pStyle w:val="56"/>
        <w:ind w:left="0" w:leftChars="0" w:firstLine="0" w:firstLineChars="0"/>
        <w:jc w:val="center"/>
        <w:rPr>
          <w:rFonts w:hint="eastAsia"/>
          <w:b/>
          <w:bCs/>
          <w:color w:val="auto"/>
          <w:sz w:val="36"/>
          <w:szCs w:val="24"/>
          <w:u w:val="none" w:color="auto"/>
          <w:lang w:eastAsia="zh-CN"/>
        </w:rPr>
      </w:pPr>
    </w:p>
    <w:tbl>
      <w:tblPr>
        <w:tblStyle w:val="41"/>
        <w:tblW w:w="9068" w:type="dxa"/>
        <w:tblInd w:w="-20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5155"/>
        <w:gridCol w:w="2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4"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eastAsia"/>
                <w:b/>
                <w:bCs/>
                <w:color w:val="auto"/>
                <w:sz w:val="28"/>
                <w:szCs w:val="28"/>
                <w:u w:val="none" w:color="auto"/>
                <w:vertAlign w:val="baseline"/>
                <w:lang w:eastAsia="zh-CN"/>
              </w:rPr>
            </w:pPr>
            <w:r>
              <w:rPr>
                <w:rFonts w:hint="eastAsia"/>
                <w:b/>
                <w:bCs/>
                <w:color w:val="auto"/>
                <w:sz w:val="28"/>
                <w:szCs w:val="28"/>
                <w:u w:val="none" w:color="auto"/>
                <w:vertAlign w:val="baseline"/>
                <w:lang w:eastAsia="zh-CN"/>
              </w:rPr>
              <w:t>序号</w:t>
            </w:r>
          </w:p>
        </w:tc>
        <w:tc>
          <w:tcPr>
            <w:tcW w:w="5155"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eastAsia"/>
                <w:b/>
                <w:bCs/>
                <w:color w:val="auto"/>
                <w:sz w:val="28"/>
                <w:szCs w:val="28"/>
                <w:u w:val="none" w:color="auto"/>
                <w:vertAlign w:val="baseline"/>
                <w:lang w:eastAsia="zh-CN"/>
              </w:rPr>
            </w:pPr>
            <w:r>
              <w:rPr>
                <w:rFonts w:hint="eastAsia"/>
                <w:b/>
                <w:bCs/>
                <w:color w:val="auto"/>
                <w:sz w:val="28"/>
                <w:szCs w:val="28"/>
                <w:u w:val="none" w:color="auto"/>
                <w:vertAlign w:val="baseline"/>
                <w:lang w:eastAsia="zh-CN"/>
              </w:rPr>
              <w:t>专家意见</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eastAsia"/>
                <w:b/>
                <w:bCs/>
                <w:color w:val="auto"/>
                <w:sz w:val="28"/>
                <w:szCs w:val="28"/>
                <w:u w:val="none" w:color="auto"/>
                <w:vertAlign w:val="baseline"/>
                <w:lang w:eastAsia="zh-CN"/>
              </w:rPr>
            </w:pPr>
            <w:r>
              <w:rPr>
                <w:rFonts w:hint="eastAsia"/>
                <w:b/>
                <w:bCs/>
                <w:color w:val="auto"/>
                <w:sz w:val="28"/>
                <w:szCs w:val="28"/>
                <w:u w:val="none" w:color="auto"/>
                <w:vertAlign w:val="baseline"/>
                <w:lang w:eastAsia="zh-CN"/>
              </w:rPr>
              <w:t>修改情况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2"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1</w:t>
            </w:r>
          </w:p>
        </w:tc>
        <w:tc>
          <w:tcPr>
            <w:tcW w:w="515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both"/>
              <w:textAlignment w:val="auto"/>
              <w:rPr>
                <w:rFonts w:hint="eastAsia"/>
                <w:b w:val="0"/>
                <w:bCs/>
                <w:color w:val="auto"/>
                <w:sz w:val="24"/>
                <w:szCs w:val="24"/>
                <w:u w:val="none" w:color="auto"/>
                <w:vertAlign w:val="baseline"/>
                <w:lang w:eastAsia="zh-CN"/>
              </w:rPr>
            </w:pPr>
            <w:r>
              <w:rPr>
                <w:rFonts w:hint="eastAsia"/>
                <w:b w:val="0"/>
                <w:bCs/>
                <w:sz w:val="24"/>
                <w:szCs w:val="24"/>
              </w:rPr>
              <w:t>完善项目由来及本项目建设内容，进一步强化改扩建前后项目平面布局及功能调整情况；核实项目主要原辅材料用量，明确变压器油、油漆等主要成分、理化及毒理性质、储存方式及最大储存量。</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已完善且核实，具体详见</w:t>
            </w:r>
            <w:r>
              <w:rPr>
                <w:rFonts w:hint="default" w:ascii="Times New Roman" w:hAnsi="Times New Roman" w:cs="Times New Roman"/>
                <w:b w:val="0"/>
                <w:bCs w:val="0"/>
                <w:color w:val="auto"/>
                <w:sz w:val="24"/>
                <w:szCs w:val="24"/>
                <w:u w:val="none" w:color="auto"/>
                <w:vertAlign w:val="baseline"/>
                <w:lang w:val="en-US" w:eastAsia="zh-CN"/>
              </w:rPr>
              <w:t>P1-3、6-8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0"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2</w:t>
            </w:r>
          </w:p>
        </w:tc>
        <w:tc>
          <w:tcPr>
            <w:tcW w:w="515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both"/>
              <w:textAlignment w:val="auto"/>
              <w:rPr>
                <w:rFonts w:hint="eastAsia"/>
                <w:b w:val="0"/>
                <w:bCs/>
                <w:color w:val="auto"/>
                <w:sz w:val="24"/>
                <w:szCs w:val="24"/>
                <w:u w:val="none" w:color="auto"/>
                <w:vertAlign w:val="baseline"/>
                <w:lang w:eastAsia="zh-CN"/>
              </w:rPr>
            </w:pPr>
            <w:r>
              <w:rPr>
                <w:rFonts w:hint="eastAsia"/>
                <w:b w:val="0"/>
                <w:bCs/>
                <w:sz w:val="24"/>
                <w:szCs w:val="24"/>
              </w:rPr>
              <w:t>完善现有项目环保设施建设和运行情况说明，明确污染源监测期间的工况，完善现有项目存在的环境问题及“以新带老”措施。</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已完善，具体详见</w:t>
            </w:r>
            <w:r>
              <w:rPr>
                <w:rFonts w:hint="default" w:ascii="Times New Roman" w:hAnsi="Times New Roman" w:cs="Times New Roman"/>
                <w:b w:val="0"/>
                <w:bCs w:val="0"/>
                <w:color w:val="auto"/>
                <w:sz w:val="24"/>
                <w:szCs w:val="24"/>
                <w:u w:val="none" w:color="auto"/>
                <w:vertAlign w:val="baseline"/>
                <w:lang w:val="en-US" w:eastAsia="zh-CN"/>
              </w:rPr>
              <w:t>P</w:t>
            </w:r>
            <w:r>
              <w:rPr>
                <w:rFonts w:hint="eastAsia" w:ascii="Times New Roman" w:cs="Times New Roman"/>
                <w:b w:val="0"/>
                <w:bCs w:val="0"/>
                <w:color w:val="auto"/>
                <w:sz w:val="24"/>
                <w:szCs w:val="24"/>
                <w:u w:val="none" w:color="auto"/>
                <w:vertAlign w:val="baseline"/>
                <w:lang w:val="en-US" w:eastAsia="zh-CN"/>
              </w:rPr>
              <w:t>13、17-18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5"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3</w:t>
            </w:r>
          </w:p>
        </w:tc>
        <w:tc>
          <w:tcPr>
            <w:tcW w:w="515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both"/>
              <w:textAlignment w:val="auto"/>
              <w:rPr>
                <w:rFonts w:hint="eastAsia"/>
                <w:b w:val="0"/>
                <w:bCs/>
                <w:color w:val="auto"/>
                <w:sz w:val="24"/>
                <w:szCs w:val="24"/>
                <w:u w:val="none" w:color="auto"/>
                <w:vertAlign w:val="baseline"/>
                <w:lang w:eastAsia="zh-CN"/>
              </w:rPr>
            </w:pPr>
            <w:r>
              <w:rPr>
                <w:rFonts w:hint="eastAsia"/>
                <w:b w:val="0"/>
                <w:bCs/>
                <w:sz w:val="24"/>
                <w:szCs w:val="24"/>
              </w:rPr>
              <w:t>根据各要素评价范围，完善项目环境保护目标及其规模；</w:t>
            </w:r>
            <w:r>
              <w:rPr>
                <w:b w:val="0"/>
                <w:bCs/>
                <w:sz w:val="24"/>
                <w:szCs w:val="24"/>
              </w:rPr>
              <w:t>根据校核</w:t>
            </w:r>
            <w:r>
              <w:rPr>
                <w:rFonts w:hint="eastAsia"/>
                <w:b w:val="0"/>
                <w:bCs/>
                <w:sz w:val="24"/>
                <w:szCs w:val="24"/>
              </w:rPr>
              <w:t>的</w:t>
            </w:r>
            <w:r>
              <w:rPr>
                <w:b w:val="0"/>
                <w:bCs/>
                <w:sz w:val="24"/>
                <w:szCs w:val="24"/>
              </w:rPr>
              <w:t>土壤和地下水评价等级</w:t>
            </w:r>
            <w:r>
              <w:rPr>
                <w:rFonts w:hint="eastAsia"/>
                <w:b w:val="0"/>
                <w:bCs/>
                <w:sz w:val="24"/>
                <w:szCs w:val="24"/>
              </w:rPr>
              <w:t>，相应</w:t>
            </w:r>
            <w:r>
              <w:rPr>
                <w:b w:val="0"/>
                <w:bCs/>
                <w:sz w:val="24"/>
                <w:szCs w:val="24"/>
              </w:rPr>
              <w:t>完善地下水和土壤环境质量现状监测</w:t>
            </w:r>
            <w:r>
              <w:rPr>
                <w:rFonts w:hint="eastAsia"/>
                <w:b w:val="0"/>
                <w:bCs/>
                <w:sz w:val="24"/>
                <w:szCs w:val="24"/>
              </w:rPr>
              <w:t>。</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已完善且核实，具体详见</w:t>
            </w:r>
            <w:r>
              <w:rPr>
                <w:rFonts w:hint="default" w:ascii="Times New Roman" w:hAnsi="Times New Roman" w:cs="Times New Roman"/>
                <w:b w:val="0"/>
                <w:bCs w:val="0"/>
                <w:color w:val="auto"/>
                <w:sz w:val="24"/>
                <w:szCs w:val="24"/>
                <w:u w:val="none" w:color="auto"/>
                <w:vertAlign w:val="baseline"/>
                <w:lang w:val="en-US" w:eastAsia="zh-CN"/>
              </w:rPr>
              <w:t>P</w:t>
            </w:r>
            <w:r>
              <w:rPr>
                <w:rFonts w:hint="eastAsia" w:ascii="Times New Roman" w:cs="Times New Roman"/>
                <w:b w:val="0"/>
                <w:bCs w:val="0"/>
                <w:color w:val="auto"/>
                <w:sz w:val="24"/>
                <w:szCs w:val="24"/>
                <w:u w:val="none" w:color="auto"/>
                <w:vertAlign w:val="baseline"/>
                <w:lang w:val="en-US" w:eastAsia="zh-CN"/>
              </w:rPr>
              <w:t>25-27、60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2"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4</w:t>
            </w:r>
          </w:p>
        </w:tc>
        <w:tc>
          <w:tcPr>
            <w:tcW w:w="515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both"/>
              <w:textAlignment w:val="auto"/>
              <w:rPr>
                <w:rFonts w:hint="eastAsia"/>
                <w:b w:val="0"/>
                <w:bCs/>
                <w:color w:val="auto"/>
                <w:sz w:val="24"/>
                <w:szCs w:val="24"/>
                <w:u w:val="none" w:color="auto"/>
                <w:vertAlign w:val="baseline"/>
                <w:lang w:eastAsia="zh-CN"/>
              </w:rPr>
            </w:pPr>
            <w:r>
              <w:rPr>
                <w:rFonts w:hint="eastAsia"/>
                <w:b w:val="0"/>
                <w:bCs/>
                <w:sz w:val="24"/>
                <w:szCs w:val="24"/>
              </w:rPr>
              <w:t>进一步校核项目生产工艺及产排污节点，明确有无除油和清洗工艺。</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已完善且核实，具体详见</w:t>
            </w:r>
            <w:r>
              <w:rPr>
                <w:rFonts w:hint="default" w:ascii="Times New Roman" w:hAnsi="Times New Roman" w:cs="Times New Roman"/>
                <w:b w:val="0"/>
                <w:bCs w:val="0"/>
                <w:color w:val="auto"/>
                <w:sz w:val="24"/>
                <w:szCs w:val="24"/>
                <w:u w:val="none" w:color="auto"/>
                <w:vertAlign w:val="baseline"/>
                <w:lang w:val="en-US" w:eastAsia="zh-CN"/>
              </w:rPr>
              <w:t>P</w:t>
            </w:r>
            <w:r>
              <w:rPr>
                <w:rFonts w:hint="eastAsia" w:ascii="Times New Roman" w:cs="Times New Roman"/>
                <w:b w:val="0"/>
                <w:bCs w:val="0"/>
                <w:color w:val="auto"/>
                <w:sz w:val="24"/>
                <w:szCs w:val="24"/>
                <w:u w:val="none" w:color="auto"/>
                <w:vertAlign w:val="baseline"/>
                <w:lang w:val="en-US" w:eastAsia="zh-CN"/>
              </w:rPr>
              <w:t>31-34、项目购买已处理好的构件，故无除油和清洗工艺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9"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5</w:t>
            </w:r>
          </w:p>
        </w:tc>
        <w:tc>
          <w:tcPr>
            <w:tcW w:w="515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both"/>
              <w:textAlignment w:val="auto"/>
              <w:rPr>
                <w:rFonts w:hint="eastAsia"/>
                <w:b w:val="0"/>
                <w:bCs/>
                <w:color w:val="auto"/>
                <w:sz w:val="24"/>
                <w:szCs w:val="24"/>
                <w:u w:val="none" w:color="auto"/>
                <w:vertAlign w:val="baseline"/>
                <w:lang w:eastAsia="zh-CN"/>
              </w:rPr>
            </w:pPr>
            <w:r>
              <w:rPr>
                <w:rFonts w:hint="eastAsia"/>
                <w:b w:val="0"/>
                <w:bCs/>
                <w:sz w:val="24"/>
                <w:szCs w:val="24"/>
              </w:rPr>
              <w:t>结合改扩建后项目平面布置情况，进一步核实项目喷漆、喷粉等废气污染源，校核各部分废气收集效率及废气风量和废气排放方式，强化改扩建后利用现有喷漆废气处理设施的可行性和可靠性分析。</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w:t>
            </w:r>
            <w:r>
              <w:rPr>
                <w:rFonts w:hint="eastAsia" w:ascii="Times New Roman" w:cs="Times New Roman"/>
                <w:b w:val="0"/>
                <w:bCs w:val="0"/>
                <w:color w:val="auto"/>
                <w:sz w:val="24"/>
                <w:szCs w:val="24"/>
                <w:u w:val="none" w:color="auto"/>
                <w:vertAlign w:val="baseline"/>
                <w:lang w:eastAsia="zh-CN"/>
              </w:rPr>
              <w:t>强化</w:t>
            </w:r>
            <w:r>
              <w:rPr>
                <w:rFonts w:hint="default" w:ascii="Times New Roman" w:hAnsi="Times New Roman" w:cs="Times New Roman"/>
                <w:b w:val="0"/>
                <w:bCs w:val="0"/>
                <w:color w:val="auto"/>
                <w:sz w:val="24"/>
                <w:szCs w:val="24"/>
                <w:u w:val="none" w:color="auto"/>
                <w:vertAlign w:val="baseline"/>
                <w:lang w:eastAsia="zh-CN"/>
              </w:rPr>
              <w:t>且核实，具体详见</w:t>
            </w:r>
            <w:r>
              <w:rPr>
                <w:rFonts w:hint="default" w:ascii="Times New Roman" w:hAnsi="Times New Roman" w:cs="Times New Roman"/>
                <w:b w:val="0"/>
                <w:bCs w:val="0"/>
                <w:color w:val="auto"/>
                <w:sz w:val="24"/>
                <w:szCs w:val="24"/>
                <w:u w:val="none" w:color="auto"/>
                <w:vertAlign w:val="baseline"/>
                <w:lang w:val="en-US" w:eastAsia="zh-CN"/>
              </w:rPr>
              <w:t>P</w:t>
            </w:r>
            <w:r>
              <w:rPr>
                <w:rFonts w:hint="eastAsia" w:ascii="Times New Roman" w:cs="Times New Roman"/>
                <w:b w:val="0"/>
                <w:bCs w:val="0"/>
                <w:color w:val="auto"/>
                <w:sz w:val="24"/>
                <w:szCs w:val="24"/>
                <w:u w:val="none" w:color="auto"/>
                <w:vertAlign w:val="baseline"/>
                <w:lang w:val="en-US" w:eastAsia="zh-CN"/>
              </w:rPr>
              <w:t>36-40、54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7"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val="en-US" w:eastAsia="zh-CN"/>
              </w:rPr>
              <w:t>6</w:t>
            </w:r>
          </w:p>
        </w:tc>
        <w:tc>
          <w:tcPr>
            <w:tcW w:w="5155" w:type="dxa"/>
            <w:tcBorders>
              <w:tl2br w:val="nil"/>
              <w:tr2bl w:val="nil"/>
            </w:tcBorders>
            <w:vAlign w:val="center"/>
          </w:tcPr>
          <w:p>
            <w:pPr>
              <w:keepNext w:val="0"/>
              <w:keepLines w:val="0"/>
              <w:pageBreakBefore w:val="0"/>
              <w:widowControl/>
              <w:numPr>
                <w:ilvl w:val="0"/>
                <w:numId w:val="0"/>
              </w:numPr>
              <w:tabs>
                <w:tab w:val="left" w:pos="993"/>
              </w:tabs>
              <w:kinsoku/>
              <w:wordWrap/>
              <w:overflowPunct/>
              <w:topLinePunct w:val="0"/>
              <w:autoSpaceDE w:val="0"/>
              <w:autoSpaceDN w:val="0"/>
              <w:bidi w:val="0"/>
              <w:adjustRightInd/>
              <w:snapToGrid/>
              <w:spacing w:line="360" w:lineRule="auto"/>
              <w:jc w:val="both"/>
              <w:textAlignment w:val="auto"/>
              <w:rPr>
                <w:rFonts w:hint="eastAsia"/>
                <w:b w:val="0"/>
                <w:bCs/>
                <w:color w:val="auto"/>
                <w:sz w:val="24"/>
                <w:szCs w:val="24"/>
                <w:u w:val="none" w:color="auto"/>
                <w:vertAlign w:val="baseline"/>
                <w:lang w:eastAsia="zh-CN"/>
              </w:rPr>
            </w:pPr>
            <w:r>
              <w:rPr>
                <w:rFonts w:hint="eastAsia"/>
                <w:b w:val="0"/>
                <w:bCs/>
                <w:sz w:val="24"/>
                <w:szCs w:val="24"/>
              </w:rPr>
              <w:t>校核磷化废液、废活性炭、漆渣等各类固废的数量、属性、贮存量及处理处置要求，完善危险废物暂存间建设要求；强化变压器油、磷化废液泄漏等环境风险防范措施。</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已完善且核实</w:t>
            </w:r>
            <w:r>
              <w:rPr>
                <w:rFonts w:hint="eastAsia" w:ascii="Times New Roman" w:cs="Times New Roman"/>
                <w:b w:val="0"/>
                <w:bCs w:val="0"/>
                <w:color w:val="auto"/>
                <w:sz w:val="24"/>
                <w:szCs w:val="24"/>
                <w:u w:val="none" w:color="auto"/>
                <w:vertAlign w:val="baseline"/>
                <w:lang w:eastAsia="zh-CN"/>
              </w:rPr>
              <w:t>，项目现取消了表面处理工艺，直接购买已经处理好的构建，故无磷化废液，</w:t>
            </w:r>
            <w:r>
              <w:rPr>
                <w:rFonts w:hint="default" w:ascii="Times New Roman" w:hAnsi="Times New Roman" w:cs="Times New Roman"/>
                <w:b w:val="0"/>
                <w:bCs w:val="0"/>
                <w:color w:val="auto"/>
                <w:sz w:val="24"/>
                <w:szCs w:val="24"/>
                <w:u w:val="none" w:color="auto"/>
                <w:vertAlign w:val="baseline"/>
                <w:lang w:eastAsia="zh-CN"/>
              </w:rPr>
              <w:t>具体详见</w:t>
            </w:r>
            <w:r>
              <w:rPr>
                <w:rFonts w:hint="default" w:ascii="Times New Roman" w:hAnsi="Times New Roman" w:cs="Times New Roman"/>
                <w:b w:val="0"/>
                <w:bCs w:val="0"/>
                <w:color w:val="auto"/>
                <w:sz w:val="24"/>
                <w:szCs w:val="24"/>
                <w:u w:val="none" w:color="auto"/>
                <w:vertAlign w:val="baseline"/>
                <w:lang w:val="en-US" w:eastAsia="zh-CN"/>
              </w:rPr>
              <w:t>P</w:t>
            </w:r>
            <w:r>
              <w:rPr>
                <w:rFonts w:hint="eastAsia" w:ascii="Times New Roman" w:cs="Times New Roman"/>
                <w:b w:val="0"/>
                <w:bCs w:val="0"/>
                <w:color w:val="auto"/>
                <w:sz w:val="24"/>
                <w:szCs w:val="24"/>
                <w:u w:val="none" w:color="auto"/>
                <w:vertAlign w:val="baseline"/>
                <w:lang w:val="en-US" w:eastAsia="zh-CN"/>
              </w:rPr>
              <w:t>40-41、60、63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1023"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val="0"/>
                <w:bCs w:val="0"/>
                <w:color w:val="auto"/>
                <w:sz w:val="24"/>
                <w:szCs w:val="24"/>
                <w:u w:val="none" w:color="auto"/>
                <w:vertAlign w:val="baseline"/>
                <w:lang w:val="en-US" w:eastAsia="zh-CN"/>
              </w:rPr>
            </w:pPr>
            <w:r>
              <w:rPr>
                <w:rFonts w:hint="eastAsia" w:ascii="Times New Roman" w:cs="Times New Roman"/>
                <w:b w:val="0"/>
                <w:bCs w:val="0"/>
                <w:color w:val="auto"/>
                <w:sz w:val="24"/>
                <w:szCs w:val="24"/>
                <w:u w:val="none" w:color="auto"/>
                <w:vertAlign w:val="baseline"/>
                <w:lang w:val="en-US" w:eastAsia="zh-CN"/>
              </w:rPr>
              <w:t>7</w:t>
            </w:r>
          </w:p>
        </w:tc>
        <w:tc>
          <w:tcPr>
            <w:tcW w:w="5155" w:type="dxa"/>
            <w:tcBorders>
              <w:tl2br w:val="nil"/>
              <w:tr2bl w:val="nil"/>
            </w:tcBorders>
            <w:vAlign w:val="center"/>
          </w:tcPr>
          <w:p>
            <w:pPr>
              <w:keepNext w:val="0"/>
              <w:keepLines w:val="0"/>
              <w:pageBreakBefore w:val="0"/>
              <w:widowControl/>
              <w:kinsoku/>
              <w:wordWrap/>
              <w:overflowPunct/>
              <w:topLinePunct w:val="0"/>
              <w:autoSpaceDE w:val="0"/>
              <w:autoSpaceDN w:val="0"/>
              <w:bidi w:val="0"/>
              <w:adjustRightInd/>
              <w:snapToGrid/>
              <w:spacing w:line="360" w:lineRule="auto"/>
              <w:ind w:firstLine="0" w:firstLineChars="0"/>
              <w:jc w:val="both"/>
              <w:textAlignment w:val="auto"/>
              <w:rPr>
                <w:rFonts w:hint="eastAsia"/>
                <w:b w:val="0"/>
                <w:bCs/>
                <w:sz w:val="24"/>
                <w:szCs w:val="24"/>
              </w:rPr>
            </w:pPr>
            <w:r>
              <w:rPr>
                <w:rFonts w:hint="eastAsia"/>
                <w:b w:val="0"/>
                <w:bCs/>
                <w:sz w:val="24"/>
                <w:szCs w:val="24"/>
              </w:rPr>
              <w:t>校核改扩建前后“三本账”，完善项目竣工环保验收一览表及改扩建前后的平面布置图</w:t>
            </w:r>
          </w:p>
        </w:tc>
        <w:tc>
          <w:tcPr>
            <w:tcW w:w="2890" w:type="dxa"/>
            <w:tcBorders>
              <w:tl2br w:val="nil"/>
              <w:tr2bl w:val="nil"/>
            </w:tcBorders>
            <w:vAlign w:val="center"/>
          </w:tcPr>
          <w:p>
            <w:pPr>
              <w:pStyle w:val="56"/>
              <w:keepNext w:val="0"/>
              <w:keepLines w:val="0"/>
              <w:pageBreakBefore w:val="0"/>
              <w:widowControl/>
              <w:kinsoku/>
              <w:wordWrap/>
              <w:overflowPunct/>
              <w:topLinePunct w:val="0"/>
              <w:autoSpaceDE w:val="0"/>
              <w:autoSpaceDN w:val="0"/>
              <w:bidi w:val="0"/>
              <w:adjustRightInd/>
              <w:snapToGrid/>
              <w:spacing w:line="360" w:lineRule="auto"/>
              <w:ind w:firstLine="0" w:firstLineChars="0"/>
              <w:jc w:val="center"/>
              <w:textAlignment w:val="auto"/>
              <w:rPr>
                <w:rFonts w:hint="default"/>
                <w:b w:val="0"/>
                <w:bCs w:val="0"/>
                <w:color w:val="auto"/>
                <w:sz w:val="24"/>
                <w:szCs w:val="24"/>
                <w:u w:val="none" w:color="auto"/>
                <w:vertAlign w:val="baseline"/>
                <w:lang w:val="en-US" w:eastAsia="zh-CN"/>
              </w:rPr>
            </w:pPr>
            <w:r>
              <w:rPr>
                <w:rFonts w:hint="default" w:ascii="Times New Roman" w:hAnsi="Times New Roman" w:cs="Times New Roman"/>
                <w:b w:val="0"/>
                <w:bCs w:val="0"/>
                <w:color w:val="auto"/>
                <w:sz w:val="24"/>
                <w:szCs w:val="24"/>
                <w:u w:val="none" w:color="auto"/>
                <w:vertAlign w:val="baseline"/>
                <w:lang w:eastAsia="zh-CN"/>
              </w:rPr>
              <w:t>已完善且核实，具体详见</w:t>
            </w:r>
            <w:r>
              <w:rPr>
                <w:rFonts w:hint="default" w:ascii="Times New Roman" w:hAnsi="Times New Roman" w:cs="Times New Roman"/>
                <w:b w:val="0"/>
                <w:bCs w:val="0"/>
                <w:color w:val="auto"/>
                <w:sz w:val="24"/>
                <w:szCs w:val="24"/>
                <w:u w:val="none" w:color="auto"/>
                <w:vertAlign w:val="baseline"/>
                <w:lang w:val="en-US" w:eastAsia="zh-CN"/>
              </w:rPr>
              <w:t>P</w:t>
            </w:r>
            <w:r>
              <w:rPr>
                <w:rFonts w:hint="eastAsia" w:ascii="Times New Roman" w:cs="Times New Roman"/>
                <w:b w:val="0"/>
                <w:bCs w:val="0"/>
                <w:color w:val="auto"/>
                <w:sz w:val="24"/>
                <w:szCs w:val="24"/>
                <w:u w:val="none" w:color="auto"/>
                <w:vertAlign w:val="baseline"/>
                <w:lang w:val="en-US" w:eastAsia="zh-CN"/>
              </w:rPr>
              <w:t>70-74、108-109</w:t>
            </w:r>
          </w:p>
        </w:tc>
      </w:tr>
    </w:tbl>
    <w:p>
      <w:pPr>
        <w:bidi w:val="0"/>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spacing w:before="240" w:beforeLines="100" w:after="240" w:afterLines="100" w:line="360" w:lineRule="auto"/>
        <w:jc w:val="center"/>
        <w:rPr>
          <w:b/>
          <w:bCs/>
          <w:color w:val="auto"/>
          <w:sz w:val="36"/>
          <w:szCs w:val="24"/>
          <w:u w:val="none" w:color="auto"/>
        </w:rPr>
      </w:pPr>
      <w:r>
        <w:rPr>
          <w:b/>
          <w:bCs/>
          <w:color w:val="auto"/>
          <w:sz w:val="36"/>
          <w:szCs w:val="24"/>
          <w:u w:val="none" w:color="auto"/>
        </w:rPr>
        <w:t>《建设项目环境影响报告表》编制说明</w:t>
      </w:r>
    </w:p>
    <w:p>
      <w:pPr>
        <w:spacing w:line="360" w:lineRule="auto"/>
        <w:ind w:right="-29" w:rightChars="-14" w:firstLine="560" w:firstLineChars="200"/>
        <w:rPr>
          <w:color w:val="auto"/>
          <w:sz w:val="28"/>
          <w:szCs w:val="28"/>
          <w:u w:val="none" w:color="auto"/>
        </w:rPr>
      </w:pPr>
      <w:r>
        <w:rPr>
          <w:color w:val="auto"/>
          <w:sz w:val="28"/>
          <w:szCs w:val="28"/>
          <w:u w:val="none" w:color="auto"/>
        </w:rPr>
        <w:t>《建设项目环境影响报告表》由具有从事环境影响评价工作资质的单位编制。</w:t>
      </w:r>
    </w:p>
    <w:p>
      <w:pPr>
        <w:spacing w:line="360" w:lineRule="auto"/>
        <w:ind w:right="-29" w:rightChars="-14" w:firstLine="560" w:firstLineChars="200"/>
        <w:rPr>
          <w:color w:val="auto"/>
          <w:sz w:val="28"/>
          <w:szCs w:val="28"/>
          <w:u w:val="none" w:color="auto"/>
        </w:rPr>
      </w:pPr>
      <w:r>
        <w:rPr>
          <w:color w:val="auto"/>
          <w:sz w:val="28"/>
          <w:szCs w:val="28"/>
          <w:u w:val="none" w:color="auto"/>
        </w:rPr>
        <w:t>1.项目名称——指项目立项批复时的名称，应不超过30个字（两个英文字段作一个汉字）。</w:t>
      </w:r>
    </w:p>
    <w:p>
      <w:pPr>
        <w:spacing w:line="360" w:lineRule="auto"/>
        <w:ind w:right="-29" w:rightChars="-14" w:firstLine="560" w:firstLineChars="200"/>
        <w:rPr>
          <w:color w:val="auto"/>
          <w:sz w:val="28"/>
          <w:szCs w:val="28"/>
          <w:u w:val="none" w:color="auto"/>
        </w:rPr>
      </w:pPr>
      <w:r>
        <w:rPr>
          <w:color w:val="auto"/>
          <w:sz w:val="28"/>
          <w:szCs w:val="28"/>
          <w:u w:val="none" w:color="auto"/>
        </w:rPr>
        <w:t>2.建设地点——指项目所在地详细地址，公路、铁路应填写起止地点。</w:t>
      </w:r>
    </w:p>
    <w:p>
      <w:pPr>
        <w:tabs>
          <w:tab w:val="center" w:pos="4167"/>
        </w:tabs>
        <w:spacing w:line="360" w:lineRule="auto"/>
        <w:ind w:right="-29" w:rightChars="-14" w:firstLine="560" w:firstLineChars="200"/>
        <w:rPr>
          <w:color w:val="auto"/>
          <w:sz w:val="28"/>
          <w:szCs w:val="28"/>
          <w:u w:val="none" w:color="auto"/>
        </w:rPr>
      </w:pPr>
      <w:r>
        <w:rPr>
          <w:color w:val="auto"/>
          <w:sz w:val="28"/>
          <w:szCs w:val="28"/>
          <w:u w:val="none" w:color="auto"/>
        </w:rPr>
        <w:t>3.行业类别——按国标填写。</w:t>
      </w:r>
      <w:r>
        <w:rPr>
          <w:rFonts w:hint="eastAsia"/>
          <w:color w:val="auto"/>
          <w:sz w:val="28"/>
          <w:szCs w:val="28"/>
          <w:u w:val="none" w:color="auto"/>
        </w:rPr>
        <w:tab/>
      </w:r>
    </w:p>
    <w:p>
      <w:pPr>
        <w:spacing w:line="360" w:lineRule="auto"/>
        <w:ind w:right="-29" w:rightChars="-14" w:firstLine="560" w:firstLineChars="200"/>
        <w:rPr>
          <w:color w:val="auto"/>
          <w:sz w:val="28"/>
          <w:szCs w:val="28"/>
          <w:u w:val="none" w:color="auto"/>
        </w:rPr>
      </w:pPr>
      <w:r>
        <w:rPr>
          <w:color w:val="auto"/>
          <w:sz w:val="28"/>
          <w:szCs w:val="28"/>
          <w:u w:val="none" w:color="auto"/>
        </w:rPr>
        <w:t>4.总投资——指项目投资总额。</w:t>
      </w:r>
    </w:p>
    <w:p>
      <w:pPr>
        <w:spacing w:line="360" w:lineRule="auto"/>
        <w:ind w:right="-29" w:rightChars="-14" w:firstLine="560" w:firstLineChars="200"/>
        <w:rPr>
          <w:color w:val="auto"/>
          <w:sz w:val="28"/>
          <w:szCs w:val="28"/>
          <w:u w:val="none" w:color="auto"/>
        </w:rPr>
      </w:pPr>
      <w:r>
        <w:rPr>
          <w:color w:val="auto"/>
          <w:sz w:val="28"/>
          <w:szCs w:val="28"/>
          <w:u w:val="none" w:color="auto"/>
        </w:rPr>
        <w:t>5.主要环境保护目标——指项目区周围一定范围内集中居民住宅区、学校、医院、保护文物、风景名胜区、水源地和生态敏感点等，应尽可能给出保护目标、性质、规模和距厂界距离等。</w:t>
      </w:r>
    </w:p>
    <w:p>
      <w:pPr>
        <w:spacing w:line="360" w:lineRule="auto"/>
        <w:ind w:right="-29" w:rightChars="-14" w:firstLine="560" w:firstLineChars="200"/>
        <w:rPr>
          <w:color w:val="auto"/>
          <w:sz w:val="28"/>
          <w:szCs w:val="28"/>
          <w:u w:val="none" w:color="auto"/>
        </w:rPr>
      </w:pPr>
      <w:r>
        <w:rPr>
          <w:color w:val="auto"/>
          <w:sz w:val="28"/>
          <w:szCs w:val="28"/>
          <w:u w:val="none" w:color="auto"/>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360" w:lineRule="auto"/>
        <w:ind w:right="-29" w:rightChars="-14" w:firstLine="560" w:firstLineChars="200"/>
        <w:rPr>
          <w:color w:val="auto"/>
          <w:sz w:val="28"/>
          <w:szCs w:val="28"/>
          <w:u w:val="none" w:color="auto"/>
        </w:rPr>
      </w:pPr>
      <w:r>
        <w:rPr>
          <w:color w:val="auto"/>
          <w:sz w:val="28"/>
          <w:szCs w:val="28"/>
          <w:u w:val="none" w:color="auto"/>
        </w:rPr>
        <w:t>7.预审意见——由行业主管部门填写答复意见，无主管部门项目，可不填。</w:t>
      </w:r>
    </w:p>
    <w:p>
      <w:pPr>
        <w:spacing w:line="360" w:lineRule="auto"/>
        <w:ind w:right="-29" w:rightChars="-14" w:firstLine="560" w:firstLineChars="200"/>
        <w:rPr>
          <w:color w:val="auto"/>
          <w:sz w:val="28"/>
          <w:szCs w:val="28"/>
          <w:u w:val="none" w:color="auto"/>
        </w:rPr>
      </w:pPr>
      <w:r>
        <w:rPr>
          <w:color w:val="auto"/>
          <w:sz w:val="28"/>
          <w:szCs w:val="28"/>
          <w:u w:val="none" w:color="auto"/>
        </w:rPr>
        <w:t>8.审批意见——由负责审批该项目的环境保护行政主管部门批复。</w:t>
      </w:r>
    </w:p>
    <w:p>
      <w:pPr>
        <w:spacing w:line="360" w:lineRule="auto"/>
        <w:ind w:right="-29" w:rightChars="-14" w:firstLine="560" w:firstLineChars="200"/>
        <w:rPr>
          <w:color w:val="auto"/>
          <w:sz w:val="28"/>
          <w:szCs w:val="28"/>
          <w:u w:val="none" w:color="auto"/>
        </w:rPr>
      </w:pPr>
    </w:p>
    <w:p>
      <w:pPr>
        <w:spacing w:line="400" w:lineRule="exact"/>
        <w:rPr>
          <w:rFonts w:ascii="宋体" w:hAnsi="宋体"/>
          <w:b/>
          <w:color w:val="auto"/>
          <w:sz w:val="36"/>
          <w:szCs w:val="36"/>
          <w:u w:val="none" w:color="auto"/>
        </w:rPr>
        <w:sectPr>
          <w:footerReference r:id="rId3" w:type="default"/>
          <w:pgSz w:w="11907" w:h="16840"/>
          <w:pgMar w:top="1984" w:right="1984" w:bottom="1984" w:left="1588" w:header="454" w:footer="964" w:gutter="0"/>
          <w:pgBorders>
            <w:top w:val="none" w:sz="0" w:space="0"/>
            <w:left w:val="none" w:sz="0" w:space="0"/>
            <w:bottom w:val="none" w:sz="0" w:space="0"/>
            <w:right w:val="none" w:sz="0" w:space="0"/>
          </w:pgBorders>
          <w:pgNumType w:start="1"/>
          <w:cols w:space="720" w:num="1"/>
          <w:titlePg/>
          <w:docGrid w:linePitch="380" w:charSpace="0"/>
        </w:sectPr>
      </w:pPr>
    </w:p>
    <w:p>
      <w:pPr>
        <w:pStyle w:val="34"/>
        <w:rPr>
          <w:color w:val="auto"/>
          <w:u w:val="none" w:color="auto"/>
        </w:rPr>
      </w:pPr>
    </w:p>
    <w:p>
      <w:pPr>
        <w:spacing w:line="400" w:lineRule="exact"/>
        <w:jc w:val="center"/>
        <w:rPr>
          <w:rFonts w:hint="default" w:ascii="Times New Roman" w:hAnsi="Times New Roman" w:eastAsia="宋体" w:cs="Times New Roman"/>
          <w:b/>
          <w:color w:val="auto"/>
          <w:sz w:val="36"/>
          <w:szCs w:val="36"/>
          <w:u w:val="none" w:color="auto"/>
        </w:rPr>
      </w:pPr>
      <w:r>
        <w:rPr>
          <w:rFonts w:hint="default" w:ascii="Times New Roman" w:hAnsi="Times New Roman" w:eastAsia="宋体" w:cs="Times New Roman"/>
          <w:b/>
          <w:color w:val="auto"/>
          <w:sz w:val="36"/>
          <w:szCs w:val="36"/>
          <w:u w:val="none" w:color="auto"/>
        </w:rPr>
        <w:t>目   录</w:t>
      </w:r>
    </w:p>
    <w:p>
      <w:pPr>
        <w:bidi w:val="0"/>
        <w:rPr>
          <w:rFonts w:hint="default"/>
        </w:rPr>
      </w:pP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 w:val="24"/>
          <w:szCs w:val="24"/>
          <w:u w:val="none" w:color="auto"/>
        </w:rPr>
        <w:fldChar w:fldCharType="begin"/>
      </w:r>
      <w:r>
        <w:rPr>
          <w:rFonts w:hint="default" w:ascii="Times New Roman" w:hAnsi="Times New Roman" w:eastAsia="宋体" w:cs="Times New Roman"/>
          <w:color w:val="auto"/>
          <w:sz w:val="24"/>
          <w:szCs w:val="24"/>
          <w:u w:val="none" w:color="auto"/>
        </w:rPr>
        <w:instrText xml:space="preserve">TOC \o "1-1" \h \u </w:instrText>
      </w:r>
      <w:r>
        <w:rPr>
          <w:rFonts w:hint="default" w:ascii="Times New Roman" w:hAnsi="Times New Roman" w:eastAsia="宋体" w:cs="Times New Roman"/>
          <w:color w:val="auto"/>
          <w:sz w:val="24"/>
          <w:szCs w:val="24"/>
          <w:u w:val="none" w:color="auto"/>
        </w:rPr>
        <w:fldChar w:fldCharType="separate"/>
      </w: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_Toc23494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一、建设项目基本情况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_Toc23494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_Toc10693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二、建设项目所在地自然环境社会环境简况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_Toc10693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19</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_Toc24291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三、环境质量状况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_Toc24291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23</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_Toc15014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四、</w:t>
      </w:r>
      <w:r>
        <w:rPr>
          <w:rFonts w:hint="default" w:ascii="Times New Roman" w:hAnsi="Times New Roman" w:eastAsia="宋体" w:cs="Times New Roman"/>
          <w:color w:val="auto"/>
          <w:u w:val="none" w:color="auto"/>
        </w:rPr>
        <w:t>评价适用标准</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_Toc15014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28</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_Toc27829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五、建设项目工程分析</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_Toc27829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31</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_Toc8822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六、项目主要污染物产生及预计排放情况</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_Toc8822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42</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_Toc2458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七、环境影响分析</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_Toc2458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44</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_Toc22283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szCs w:val="32"/>
          <w:u w:val="none" w:color="auto"/>
        </w:rPr>
        <w:t>八、建设项目拟采取的防治措施及</w:t>
      </w:r>
      <w:r>
        <w:rPr>
          <w:rFonts w:hint="default" w:ascii="Times New Roman" w:hAnsi="Times New Roman" w:eastAsia="宋体" w:cs="Times New Roman"/>
          <w:color w:val="auto"/>
          <w:u w:val="none" w:color="auto"/>
        </w:rPr>
        <w:t>预期治理效果</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_Toc22283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75</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pStyle w:val="28"/>
        <w:tabs>
          <w:tab w:val="right" w:leader="dot" w:pos="8901"/>
          <w:tab w:val="clear" w:pos="8891"/>
        </w:tabs>
        <w:rPr>
          <w:rFonts w:hint="default" w:ascii="Times New Roman" w:hAnsi="Times New Roman" w:eastAsia="宋体" w:cs="Times New Roman"/>
          <w:color w:val="auto"/>
          <w:u w:val="none" w:color="auto"/>
        </w:rPr>
      </w:pPr>
      <w:r>
        <w:rPr>
          <w:rFonts w:hint="default" w:ascii="Times New Roman" w:hAnsi="Times New Roman" w:eastAsia="宋体" w:cs="Times New Roman"/>
          <w:color w:val="auto"/>
          <w:szCs w:val="24"/>
          <w:u w:val="none" w:color="auto"/>
        </w:rPr>
        <w:fldChar w:fldCharType="begin"/>
      </w:r>
      <w:r>
        <w:rPr>
          <w:rFonts w:hint="default" w:ascii="Times New Roman" w:hAnsi="Times New Roman" w:eastAsia="宋体" w:cs="Times New Roman"/>
          <w:color w:val="auto"/>
          <w:szCs w:val="24"/>
          <w:u w:val="none" w:color="auto"/>
        </w:rPr>
        <w:instrText xml:space="preserve"> HYPERLINK \l _Toc22256 </w:instrText>
      </w:r>
      <w:r>
        <w:rPr>
          <w:rFonts w:hint="default" w:ascii="Times New Roman" w:hAnsi="Times New Roman" w:eastAsia="宋体" w:cs="Times New Roman"/>
          <w:color w:val="auto"/>
          <w:szCs w:val="24"/>
          <w:u w:val="none" w:color="auto"/>
        </w:rPr>
        <w:fldChar w:fldCharType="separate"/>
      </w:r>
      <w:r>
        <w:rPr>
          <w:rFonts w:hint="default" w:ascii="Times New Roman" w:hAnsi="Times New Roman" w:eastAsia="宋体" w:cs="Times New Roman"/>
          <w:color w:val="auto"/>
          <w:u w:val="none" w:color="auto"/>
        </w:rPr>
        <w:t>九、结论与建议</w:t>
      </w:r>
      <w:r>
        <w:rPr>
          <w:rFonts w:hint="default" w:ascii="Times New Roman" w:hAnsi="Times New Roman" w:eastAsia="宋体" w:cs="Times New Roman"/>
          <w:color w:val="auto"/>
          <w:u w:val="none" w:color="auto"/>
        </w:rPr>
        <w:tab/>
      </w:r>
      <w:r>
        <w:rPr>
          <w:rFonts w:hint="default" w:ascii="Times New Roman" w:hAnsi="Times New Roman" w:eastAsia="宋体" w:cs="Times New Roman"/>
          <w:color w:val="auto"/>
          <w:u w:val="none" w:color="auto"/>
        </w:rPr>
        <w:fldChar w:fldCharType="begin"/>
      </w:r>
      <w:r>
        <w:rPr>
          <w:rFonts w:hint="default" w:ascii="Times New Roman" w:hAnsi="Times New Roman" w:eastAsia="宋体" w:cs="Times New Roman"/>
          <w:color w:val="auto"/>
          <w:u w:val="none" w:color="auto"/>
        </w:rPr>
        <w:instrText xml:space="preserve"> PAGEREF _Toc22256 </w:instrText>
      </w:r>
      <w:r>
        <w:rPr>
          <w:rFonts w:hint="default" w:ascii="Times New Roman" w:hAnsi="Times New Roman" w:eastAsia="宋体" w:cs="Times New Roman"/>
          <w:color w:val="auto"/>
          <w:u w:val="none" w:color="auto"/>
        </w:rPr>
        <w:fldChar w:fldCharType="separate"/>
      </w:r>
      <w:r>
        <w:rPr>
          <w:rFonts w:hint="default" w:ascii="Times New Roman" w:hAnsi="Times New Roman" w:eastAsia="宋体" w:cs="Times New Roman"/>
          <w:color w:val="auto"/>
          <w:u w:val="none" w:color="auto"/>
        </w:rPr>
        <w:t>77</w:t>
      </w:r>
      <w:r>
        <w:rPr>
          <w:rFonts w:hint="default" w:ascii="Times New Roman" w:hAnsi="Times New Roman" w:eastAsia="宋体" w:cs="Times New Roman"/>
          <w:color w:val="auto"/>
          <w:u w:val="none" w:color="auto"/>
        </w:rPr>
        <w:fldChar w:fldCharType="end"/>
      </w:r>
      <w:r>
        <w:rPr>
          <w:rFonts w:hint="default" w:ascii="Times New Roman" w:hAnsi="Times New Roman" w:eastAsia="宋体" w:cs="Times New Roman"/>
          <w:color w:val="auto"/>
          <w:szCs w:val="24"/>
          <w:u w:val="none" w:color="auto"/>
        </w:rPr>
        <w:fldChar w:fldCharType="end"/>
      </w:r>
    </w:p>
    <w:p>
      <w:pPr>
        <w:spacing w:line="360" w:lineRule="auto"/>
        <w:rPr>
          <w:rFonts w:hint="default" w:ascii="Times New Roman" w:hAnsi="Times New Roman" w:cs="Times New Roman"/>
          <w:b/>
          <w:bCs/>
          <w:color w:val="auto"/>
          <w:sz w:val="28"/>
          <w:szCs w:val="28"/>
          <w:u w:val="none" w:color="auto"/>
        </w:rPr>
      </w:pPr>
      <w:r>
        <w:rPr>
          <w:rFonts w:hint="default" w:ascii="Times New Roman" w:hAnsi="Times New Roman" w:eastAsia="宋体" w:cs="Times New Roman"/>
          <w:color w:val="auto"/>
          <w:szCs w:val="24"/>
          <w:u w:val="none" w:color="auto"/>
        </w:rPr>
        <w:fldChar w:fldCharType="end"/>
      </w:r>
      <w:r>
        <w:rPr>
          <w:rFonts w:hint="default" w:ascii="Times New Roman" w:hAnsi="Times New Roman" w:cs="Times New Roman"/>
          <w:b/>
          <w:bCs/>
          <w:color w:val="auto"/>
          <w:sz w:val="28"/>
          <w:szCs w:val="28"/>
          <w:u w:val="none" w:color="auto"/>
        </w:rPr>
        <w:t>附件</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附件2  </w:t>
      </w:r>
      <w:r>
        <w:rPr>
          <w:rFonts w:hint="default" w:ascii="Times New Roman" w:hAnsi="Times New Roman" w:cs="Times New Roman"/>
          <w:color w:val="auto"/>
          <w:sz w:val="24"/>
          <w:szCs w:val="24"/>
          <w:u w:val="none" w:color="auto"/>
          <w:lang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 xml:space="preserve">附件3  </w:t>
      </w:r>
      <w:r>
        <w:rPr>
          <w:rFonts w:hint="eastAsia" w:cs="Times New Roman"/>
          <w:color w:val="auto"/>
          <w:sz w:val="24"/>
          <w:szCs w:val="24"/>
          <w:u w:val="none" w:color="auto"/>
          <w:lang w:eastAsia="zh-CN"/>
        </w:rPr>
        <w:t>国土证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附件</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eastAsia="zh-CN"/>
        </w:rPr>
        <w:t>项目备案批复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原环评批复及验收批复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原项目危险废物处理合同</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附件7  环评监测</w:t>
      </w:r>
      <w:r>
        <w:rPr>
          <w:rFonts w:hint="eastAsia" w:ascii="Times New Roman" w:hAnsi="Times New Roman" w:cs="Times New Roman"/>
          <w:color w:val="auto"/>
          <w:sz w:val="24"/>
          <w:szCs w:val="24"/>
          <w:u w:val="none" w:color="auto"/>
          <w:lang w:val="en-US" w:eastAsia="zh-CN"/>
        </w:rPr>
        <w:t>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附件8  扩建环保手续申请报告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附件9 专家意见及专家签到表</w:t>
      </w:r>
    </w:p>
    <w:p>
      <w:pPr>
        <w:keepNext w:val="0"/>
        <w:keepLines w:val="0"/>
        <w:pageBreakBefore w:val="0"/>
        <w:widowControl w:val="0"/>
        <w:kinsoku/>
        <w:wordWrap/>
        <w:overflowPunct/>
        <w:topLinePunct w:val="0"/>
        <w:autoSpaceDE/>
        <w:autoSpaceDN/>
        <w:bidi w:val="0"/>
        <w:adjustRightInd/>
        <w:snapToGrid/>
        <w:spacing w:line="351" w:lineRule="auto"/>
        <w:textAlignment w:val="auto"/>
        <w:rPr>
          <w:rFonts w:hint="default" w:ascii="Times New Roman" w:hAnsi="Times New Roman" w:cs="Times New Roman"/>
          <w:b/>
          <w:bCs/>
          <w:color w:val="auto"/>
          <w:sz w:val="28"/>
          <w:szCs w:val="28"/>
          <w:u w:val="none" w:color="auto"/>
        </w:rPr>
      </w:pPr>
      <w:r>
        <w:rPr>
          <w:rFonts w:hint="default" w:ascii="Times New Roman" w:hAnsi="Times New Roman" w:cs="Times New Roman"/>
          <w:b/>
          <w:bCs/>
          <w:color w:val="auto"/>
          <w:sz w:val="28"/>
          <w:szCs w:val="28"/>
          <w:u w:val="none" w:color="auto"/>
        </w:rPr>
        <w:t>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eastAsia="zh-CN"/>
        </w:rPr>
        <w:t>扩建前</w:t>
      </w:r>
      <w:r>
        <w:rPr>
          <w:rFonts w:hint="default" w:ascii="Times New Roman" w:hAnsi="Times New Roman" w:cs="Times New Roman"/>
          <w:color w:val="auto"/>
          <w:sz w:val="24"/>
          <w:szCs w:val="24"/>
          <w:u w:val="none" w:color="auto"/>
        </w:rPr>
        <w:t>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附图</w:t>
      </w:r>
      <w:r>
        <w:rPr>
          <w:rFonts w:hint="eastAsia" w:cs="Times New Roman"/>
          <w:color w:val="auto"/>
          <w:sz w:val="24"/>
          <w:szCs w:val="24"/>
          <w:u w:val="none" w:color="auto"/>
          <w:lang w:val="en-US" w:eastAsia="zh-CN"/>
        </w:rPr>
        <w:t>2-2 扩建后平面布置图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w:t>
      </w:r>
      <w:r>
        <w:rPr>
          <w:rFonts w:hint="eastAsia" w:cs="Times New Roman"/>
          <w:color w:val="auto"/>
          <w:sz w:val="24"/>
          <w:szCs w:val="24"/>
          <w:u w:val="none" w:color="auto"/>
          <w:lang w:eastAsia="zh-CN"/>
        </w:rPr>
        <w:t>、废气、废水</w:t>
      </w:r>
      <w:r>
        <w:rPr>
          <w:rFonts w:hint="default" w:ascii="Times New Roman" w:hAnsi="Times New Roman" w:cs="Times New Roman"/>
          <w:color w:val="auto"/>
          <w:sz w:val="24"/>
          <w:szCs w:val="24"/>
          <w:u w:val="none" w:color="auto"/>
        </w:rPr>
        <w:t>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adjustRightInd w:val="0"/>
        <w:snapToGrid w:val="0"/>
        <w:spacing w:line="360" w:lineRule="auto"/>
        <w:rPr>
          <w:color w:val="auto"/>
          <w:sz w:val="24"/>
          <w:szCs w:val="24"/>
          <w:u w:val="none" w:color="auto"/>
        </w:rPr>
        <w:sectPr>
          <w:footerReference r:id="rId5" w:type="first"/>
          <w:footerReference r:id="rId4" w:type="default"/>
          <w:pgSz w:w="11907" w:h="16840"/>
          <w:pgMar w:top="1418" w:right="1418" w:bottom="1418" w:left="1588" w:header="454" w:footer="964" w:gutter="0"/>
          <w:pgBorders>
            <w:top w:val="none" w:sz="0" w:space="0"/>
            <w:left w:val="none" w:sz="0" w:space="0"/>
            <w:bottom w:val="none" w:sz="0" w:space="0"/>
            <w:right w:val="none" w:sz="0" w:space="0"/>
          </w:pgBorders>
          <w:pgNumType w:start="1"/>
          <w:cols w:space="720" w:num="1"/>
          <w:docGrid w:linePitch="380" w:charSpace="0"/>
        </w:sectPr>
      </w:pPr>
    </w:p>
    <w:p>
      <w:pPr>
        <w:pStyle w:val="3"/>
        <w:spacing w:before="120" w:line="240" w:lineRule="auto"/>
        <w:rPr>
          <w:color w:val="auto"/>
          <w:u w:val="none" w:color="auto"/>
        </w:rPr>
      </w:pPr>
      <w:bookmarkStart w:id="0" w:name="_Toc23494"/>
      <w:r>
        <w:rPr>
          <w:rFonts w:hint="eastAsia"/>
          <w:color w:val="auto"/>
          <w:u w:val="none" w:color="auto"/>
        </w:rPr>
        <w:t>一、</w:t>
      </w:r>
      <w:r>
        <w:rPr>
          <w:color w:val="auto"/>
          <w:u w:val="none" w:color="auto"/>
        </w:rPr>
        <w:t>建设项目基本情况</w:t>
      </w:r>
      <w:bookmarkEnd w:id="0"/>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85" w:type="dxa"/>
          <w:bottom w:w="0" w:type="dxa"/>
          <w:right w:w="85" w:type="dxa"/>
        </w:tblCellMar>
      </w:tblPr>
      <w:tblGrid>
        <w:gridCol w:w="1922"/>
        <w:gridCol w:w="1687"/>
        <w:gridCol w:w="1355"/>
        <w:gridCol w:w="1822"/>
        <w:gridCol w:w="1244"/>
        <w:gridCol w:w="148"/>
        <w:gridCol w:w="1090"/>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38"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项目名称</w:t>
            </w:r>
          </w:p>
        </w:tc>
        <w:tc>
          <w:tcPr>
            <w:tcW w:w="7346" w:type="dxa"/>
            <w:gridSpan w:val="6"/>
            <w:vAlign w:val="center"/>
          </w:tcPr>
          <w:p>
            <w:pPr>
              <w:adjustRightInd w:val="0"/>
              <w:snapToGrid w:val="0"/>
              <w:spacing w:line="360" w:lineRule="auto"/>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szCs w:val="24"/>
                <w:u w:val="none" w:color="auto"/>
                <w:lang w:eastAsia="zh-CN"/>
              </w:rPr>
              <w:t>“文星”节能变压器产品革新及技术改造项目</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2"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建设单位</w:t>
            </w:r>
          </w:p>
        </w:tc>
        <w:tc>
          <w:tcPr>
            <w:tcW w:w="7346" w:type="dxa"/>
            <w:gridSpan w:val="6"/>
            <w:vAlign w:val="center"/>
          </w:tcPr>
          <w:p>
            <w:pPr>
              <w:adjustRightInd w:val="0"/>
              <w:snapToGrid w:val="0"/>
              <w:spacing w:line="360" w:lineRule="auto"/>
              <w:jc w:val="center"/>
              <w:rPr>
                <w:rFonts w:hint="default" w:ascii="Times New Roman" w:hAnsi="Times New Roman" w:eastAsia="宋体" w:cs="Times New Roman"/>
                <w:color w:val="auto"/>
                <w:sz w:val="24"/>
                <w:highlight w:val="yellow"/>
                <w:u w:val="none" w:color="auto"/>
                <w:lang w:eastAsia="zh-CN"/>
              </w:rPr>
            </w:pPr>
            <w:r>
              <w:rPr>
                <w:rFonts w:hint="eastAsia" w:cs="Times New Roman"/>
                <w:color w:val="auto"/>
                <w:sz w:val="24"/>
                <w:u w:val="none" w:color="auto"/>
                <w:lang w:eastAsia="zh-CN"/>
              </w:rPr>
              <w:t>湖南湘变电气有限责任公司</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24"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法人代表</w:t>
            </w:r>
          </w:p>
        </w:tc>
        <w:tc>
          <w:tcPr>
            <w:tcW w:w="3042" w:type="dxa"/>
            <w:gridSpan w:val="2"/>
            <w:vAlign w:val="center"/>
          </w:tcPr>
          <w:p>
            <w:pPr>
              <w:snapToGrid w:val="0"/>
              <w:spacing w:line="360" w:lineRule="auto"/>
              <w:jc w:val="center"/>
              <w:rPr>
                <w:rFonts w:hint="default" w:ascii="Times New Roman" w:hAnsi="Times New Roman" w:eastAsia="宋体" w:cs="Times New Roman"/>
                <w:color w:val="auto"/>
                <w:kern w:val="24"/>
                <w:sz w:val="24"/>
                <w:u w:val="none" w:color="auto"/>
                <w:lang w:eastAsia="zh-CN"/>
              </w:rPr>
            </w:pPr>
            <w:r>
              <w:rPr>
                <w:rFonts w:hint="eastAsia" w:cs="Times New Roman"/>
                <w:color w:val="auto"/>
                <w:kern w:val="24"/>
                <w:sz w:val="24"/>
                <w:u w:val="none" w:color="auto"/>
                <w:lang w:eastAsia="zh-CN"/>
              </w:rPr>
              <w:t>刘泽文</w:t>
            </w:r>
          </w:p>
        </w:tc>
        <w:tc>
          <w:tcPr>
            <w:tcW w:w="18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 系 人</w:t>
            </w:r>
          </w:p>
        </w:tc>
        <w:tc>
          <w:tcPr>
            <w:tcW w:w="2482" w:type="dxa"/>
            <w:gridSpan w:val="3"/>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eastAsia="zh-CN"/>
              </w:rPr>
            </w:pPr>
            <w:r>
              <w:rPr>
                <w:rFonts w:hint="eastAsia" w:cs="Times New Roman"/>
                <w:color w:val="auto"/>
                <w:kern w:val="24"/>
                <w:sz w:val="24"/>
                <w:u w:val="none" w:color="auto"/>
                <w:lang w:eastAsia="zh-CN"/>
              </w:rPr>
              <w:t>王静</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701"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通讯地址</w:t>
            </w:r>
          </w:p>
        </w:tc>
        <w:tc>
          <w:tcPr>
            <w:tcW w:w="7346" w:type="dxa"/>
            <w:gridSpan w:val="6"/>
            <w:vAlign w:val="center"/>
          </w:tcPr>
          <w:p>
            <w:pPr>
              <w:snapToGrid w:val="0"/>
              <w:spacing w:line="360" w:lineRule="auto"/>
              <w:jc w:val="center"/>
              <w:rPr>
                <w:rFonts w:hint="default" w:ascii="Times New Roman" w:hAnsi="Times New Roman" w:eastAsia="宋体" w:cs="Times New Roman"/>
                <w:color w:val="auto"/>
                <w:kern w:val="24"/>
                <w:sz w:val="24"/>
                <w:szCs w:val="24"/>
                <w:u w:val="none" w:color="auto"/>
                <w:lang w:eastAsia="zh-CN"/>
              </w:rPr>
            </w:pPr>
            <w:r>
              <w:rPr>
                <w:rFonts w:hint="eastAsia" w:cs="Times New Roman"/>
                <w:color w:val="auto"/>
                <w:sz w:val="24"/>
                <w:u w:val="none" w:color="auto"/>
                <w:lang w:eastAsia="zh-CN"/>
              </w:rPr>
              <w:t>湖南省湘阴县工业园区健铭路</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597"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联系电话</w:t>
            </w:r>
          </w:p>
        </w:tc>
        <w:tc>
          <w:tcPr>
            <w:tcW w:w="1687" w:type="dxa"/>
            <w:vAlign w:val="center"/>
          </w:tcPr>
          <w:p>
            <w:pPr>
              <w:snapToGrid w:val="0"/>
              <w:spacing w:line="360" w:lineRule="auto"/>
              <w:jc w:val="center"/>
              <w:rPr>
                <w:rFonts w:hint="default" w:ascii="Times New Roman" w:hAnsi="Times New Roman" w:eastAsia="宋体" w:cs="Times New Roman"/>
                <w:color w:val="auto"/>
                <w:kern w:val="0"/>
                <w:sz w:val="24"/>
                <w:u w:val="none" w:color="auto"/>
                <w:lang w:val="en-US" w:eastAsia="zh-CN"/>
              </w:rPr>
            </w:pPr>
            <w:r>
              <w:rPr>
                <w:rFonts w:hint="eastAsia"/>
                <w:color w:val="auto"/>
                <w:sz w:val="24"/>
                <w:u w:val="none" w:color="auto"/>
                <w:lang w:val="en-US" w:eastAsia="zh-CN"/>
              </w:rPr>
              <w:t>15873046069</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传真</w:t>
            </w:r>
          </w:p>
        </w:tc>
        <w:tc>
          <w:tcPr>
            <w:tcW w:w="18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244"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邮政编码</w:t>
            </w:r>
          </w:p>
        </w:tc>
        <w:tc>
          <w:tcPr>
            <w:tcW w:w="1238"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414600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86" w:hRule="atLeast"/>
          <w:jc w:val="center"/>
        </w:trPr>
        <w:tc>
          <w:tcPr>
            <w:tcW w:w="1922"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建设地点</w:t>
            </w:r>
          </w:p>
        </w:tc>
        <w:tc>
          <w:tcPr>
            <w:tcW w:w="7346" w:type="dxa"/>
            <w:gridSpan w:val="6"/>
            <w:vAlign w:val="center"/>
          </w:tcPr>
          <w:p>
            <w:pPr>
              <w:snapToGrid w:val="0"/>
              <w:spacing w:line="360" w:lineRule="auto"/>
              <w:ind w:left="-105" w:leftChars="-50" w:right="-105" w:rightChars="-50"/>
              <w:jc w:val="center"/>
              <w:rPr>
                <w:rFonts w:hint="default" w:ascii="Times New Roman" w:hAnsi="Times New Roman" w:eastAsia="宋体" w:cs="Times New Roman"/>
                <w:color w:val="auto"/>
                <w:sz w:val="24"/>
                <w:szCs w:val="24"/>
                <w:highlight w:val="yellow"/>
                <w:u w:val="none" w:color="auto"/>
                <w:lang w:eastAsia="zh-CN"/>
              </w:rPr>
            </w:pPr>
            <w:r>
              <w:rPr>
                <w:rFonts w:hint="eastAsia" w:cs="Times New Roman"/>
                <w:color w:val="auto"/>
                <w:sz w:val="24"/>
                <w:u w:val="none" w:color="auto"/>
                <w:lang w:eastAsia="zh-CN"/>
              </w:rPr>
              <w:t>湖南省湘阴县工业园区健铭路（湖南湘变电气有限责任公司内）</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656"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立项审批部门</w:t>
            </w:r>
          </w:p>
        </w:tc>
        <w:tc>
          <w:tcPr>
            <w:tcW w:w="3042" w:type="dxa"/>
            <w:gridSpan w:val="2"/>
            <w:vAlign w:val="center"/>
          </w:tcPr>
          <w:p>
            <w:pPr>
              <w:snapToGrid w:val="0"/>
              <w:spacing w:line="360" w:lineRule="auto"/>
              <w:jc w:val="center"/>
              <w:rPr>
                <w:rFonts w:hint="eastAsia" w:ascii="Times New Roman" w:hAnsi="Times New Roman" w:eastAsia="宋体" w:cs="Times New Roman"/>
                <w:color w:val="auto"/>
                <w:spacing w:val="-6"/>
                <w:sz w:val="24"/>
                <w:u w:val="none" w:color="auto"/>
                <w:lang w:eastAsia="zh-CN"/>
              </w:rPr>
            </w:pPr>
            <w:r>
              <w:rPr>
                <w:rFonts w:hint="eastAsia" w:cs="Times New Roman"/>
                <w:color w:val="auto"/>
                <w:spacing w:val="-6"/>
                <w:sz w:val="24"/>
                <w:u w:val="none" w:color="auto"/>
                <w:lang w:eastAsia="zh-CN"/>
              </w:rPr>
              <w:t>湘阴县发展和改革局</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批准文号</w:t>
            </w:r>
          </w:p>
        </w:tc>
        <w:tc>
          <w:tcPr>
            <w:tcW w:w="2482" w:type="dxa"/>
            <w:gridSpan w:val="3"/>
            <w:vAlign w:val="center"/>
          </w:tcPr>
          <w:p>
            <w:pPr>
              <w:snapToGrid w:val="0"/>
              <w:spacing w:line="360" w:lineRule="auto"/>
              <w:jc w:val="center"/>
              <w:rPr>
                <w:rFonts w:hint="eastAsia" w:cs="Times New Roman"/>
                <w:color w:val="auto"/>
                <w:kern w:val="24"/>
                <w:sz w:val="24"/>
                <w:u w:val="none" w:color="auto"/>
                <w:lang w:eastAsia="zh-CN"/>
              </w:rPr>
            </w:pPr>
            <w:r>
              <w:rPr>
                <w:rFonts w:hint="eastAsia" w:cs="Times New Roman"/>
                <w:color w:val="auto"/>
                <w:kern w:val="24"/>
                <w:sz w:val="24"/>
                <w:u w:val="none" w:color="auto"/>
                <w:lang w:eastAsia="zh-CN"/>
              </w:rPr>
              <w:t>湘阴发改审【</w:t>
            </w:r>
            <w:r>
              <w:rPr>
                <w:rFonts w:hint="eastAsia" w:cs="Times New Roman"/>
                <w:color w:val="auto"/>
                <w:kern w:val="24"/>
                <w:sz w:val="24"/>
                <w:u w:val="none" w:color="auto"/>
                <w:lang w:val="en-US" w:eastAsia="zh-CN"/>
              </w:rPr>
              <w:t>2019</w:t>
            </w:r>
            <w:r>
              <w:rPr>
                <w:rFonts w:hint="eastAsia" w:cs="Times New Roman"/>
                <w:color w:val="auto"/>
                <w:kern w:val="24"/>
                <w:sz w:val="24"/>
                <w:u w:val="none" w:color="auto"/>
                <w:lang w:eastAsia="zh-CN"/>
              </w:rPr>
              <w:t>】</w:t>
            </w:r>
          </w:p>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65号</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建设性质</w:t>
            </w:r>
          </w:p>
        </w:tc>
        <w:tc>
          <w:tcPr>
            <w:tcW w:w="3042" w:type="dxa"/>
            <w:gridSpan w:val="2"/>
            <w:vAlign w:val="center"/>
          </w:tcPr>
          <w:p>
            <w:pPr>
              <w:snapToGrid w:val="0"/>
              <w:spacing w:line="360" w:lineRule="auto"/>
              <w:jc w:val="center"/>
              <w:rPr>
                <w:rFonts w:hint="eastAsia" w:ascii="Times New Roman" w:hAnsi="Times New Roman" w:eastAsia="宋体" w:cs="Times New Roman"/>
                <w:color w:val="auto"/>
                <w:spacing w:val="-6"/>
                <w:kern w:val="24"/>
                <w:sz w:val="24"/>
                <w:u w:val="none" w:color="auto"/>
                <w:lang w:eastAsia="zh-CN"/>
              </w:rPr>
            </w:pPr>
            <w:r>
              <w:rPr>
                <w:rFonts w:hint="eastAsia" w:cs="Times New Roman"/>
                <w:color w:val="auto"/>
                <w:sz w:val="24"/>
                <w:u w:val="none" w:color="auto"/>
                <w:lang w:eastAsia="zh-CN"/>
              </w:rPr>
              <w:t>扩建</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行业类别</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及代号</w:t>
            </w:r>
          </w:p>
        </w:tc>
        <w:tc>
          <w:tcPr>
            <w:tcW w:w="2482" w:type="dxa"/>
            <w:gridSpan w:val="3"/>
            <w:vAlign w:val="center"/>
          </w:tcPr>
          <w:p>
            <w:pPr>
              <w:spacing w:line="360" w:lineRule="auto"/>
              <w:jc w:val="center"/>
              <w:rPr>
                <w:rFonts w:hint="default" w:ascii="Times New Roman" w:hAnsi="Times New Roman" w:eastAsia="宋体" w:cs="Times New Roman"/>
                <w:color w:val="auto"/>
                <w:spacing w:val="6"/>
                <w:sz w:val="24"/>
                <w:szCs w:val="24"/>
                <w:u w:val="none" w:color="auto"/>
                <w:lang w:val="en-US" w:eastAsia="zh-CN"/>
              </w:rPr>
            </w:pPr>
            <w:r>
              <w:rPr>
                <w:rFonts w:hint="eastAsia" w:cs="Times New Roman"/>
                <w:color w:val="auto"/>
                <w:spacing w:val="6"/>
                <w:sz w:val="24"/>
                <w:szCs w:val="24"/>
                <w:u w:val="none" w:color="auto"/>
                <w:lang w:val="en-US" w:eastAsia="zh-CN"/>
              </w:rPr>
              <w:t>C392 输配电及控制设备制造</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占地面积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3042" w:type="dxa"/>
            <w:gridSpan w:val="2"/>
            <w:vAlign w:val="center"/>
          </w:tcPr>
          <w:p>
            <w:pPr>
              <w:snapToGrid w:val="0"/>
              <w:spacing w:line="360" w:lineRule="auto"/>
              <w:jc w:val="center"/>
              <w:rPr>
                <w:rFonts w:hint="default" w:ascii="Times New Roman" w:hAnsi="Times New Roman" w:eastAsia="宋体" w:cs="Times New Roman"/>
                <w:color w:val="auto"/>
                <w:spacing w:val="-6"/>
                <w:sz w:val="24"/>
                <w:u w:val="none" w:color="auto"/>
                <w:lang w:val="en-US" w:eastAsia="zh-CN"/>
              </w:rPr>
            </w:pPr>
            <w:r>
              <w:rPr>
                <w:rFonts w:hint="eastAsia" w:cs="Times New Roman"/>
                <w:color w:val="auto"/>
                <w:spacing w:val="-6"/>
                <w:sz w:val="24"/>
                <w:u w:val="none" w:color="auto"/>
                <w:lang w:val="en-US" w:eastAsia="zh-CN"/>
              </w:rPr>
              <w:t>26162.36</w:t>
            </w:r>
          </w:p>
        </w:tc>
        <w:tc>
          <w:tcPr>
            <w:tcW w:w="18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绿化面积</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（平方米）</w:t>
            </w:r>
          </w:p>
        </w:tc>
        <w:tc>
          <w:tcPr>
            <w:tcW w:w="2482" w:type="dxa"/>
            <w:gridSpan w:val="3"/>
            <w:vAlign w:val="center"/>
          </w:tcPr>
          <w:p>
            <w:pPr>
              <w:snapToGrid w:val="0"/>
              <w:spacing w:line="360" w:lineRule="auto"/>
              <w:ind w:left="-105" w:leftChars="-50" w:right="-105" w:rightChars="-50"/>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总投资</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7" w:type="dxa"/>
            <w:vAlign w:val="center"/>
          </w:tcPr>
          <w:p>
            <w:pPr>
              <w:snapToGrid w:val="0"/>
              <w:spacing w:line="360" w:lineRule="auto"/>
              <w:jc w:val="center"/>
              <w:rPr>
                <w:rFonts w:hint="default" w:ascii="Times New Roman" w:hAnsi="Times New Roman" w:eastAsia="宋体" w:cs="Times New Roman"/>
                <w:color w:val="auto"/>
                <w:kern w:val="24"/>
                <w:sz w:val="24"/>
                <w:highlight w:val="yellow"/>
                <w:u w:val="none" w:color="auto"/>
                <w:lang w:val="en-US" w:eastAsia="zh-CN"/>
              </w:rPr>
            </w:pPr>
            <w:r>
              <w:rPr>
                <w:rFonts w:hint="eastAsia" w:cs="Times New Roman"/>
                <w:color w:val="auto"/>
                <w:sz w:val="24"/>
                <w:szCs w:val="24"/>
                <w:u w:val="none" w:color="auto"/>
                <w:lang w:val="en-US" w:eastAsia="zh-CN"/>
              </w:rPr>
              <w:t>2933.67</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其中:环保投资(万元)</w:t>
            </w:r>
          </w:p>
        </w:tc>
        <w:tc>
          <w:tcPr>
            <w:tcW w:w="1822" w:type="dxa"/>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25</w:t>
            </w:r>
          </w:p>
        </w:tc>
        <w:tc>
          <w:tcPr>
            <w:tcW w:w="1392" w:type="dxa"/>
            <w:gridSpan w:val="2"/>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环保投资占总投资比例</w:t>
            </w:r>
          </w:p>
        </w:tc>
        <w:tc>
          <w:tcPr>
            <w:tcW w:w="1090"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eastAsia" w:cs="Times New Roman"/>
                <w:color w:val="auto"/>
                <w:kern w:val="24"/>
                <w:sz w:val="24"/>
                <w:u w:val="none" w:color="auto"/>
                <w:lang w:val="en-US" w:eastAsia="zh-CN"/>
              </w:rPr>
              <w:t>0.852</w:t>
            </w:r>
            <w:r>
              <w:rPr>
                <w:rFonts w:hint="default" w:ascii="Times New Roman" w:hAnsi="Times New Roman" w:cs="Times New Roman"/>
                <w:color w:val="auto"/>
                <w:kern w:val="24"/>
                <w:sz w:val="24"/>
                <w:u w:val="none" w:color="auto"/>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1922" w:type="dxa"/>
            <w:vAlign w:val="center"/>
          </w:tcPr>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评价经费</w:t>
            </w:r>
          </w:p>
          <w:p>
            <w:pPr>
              <w:snapToGrid w:val="0"/>
              <w:spacing w:line="360" w:lineRule="auto"/>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(万元)</w:t>
            </w:r>
          </w:p>
        </w:tc>
        <w:tc>
          <w:tcPr>
            <w:tcW w:w="1687"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kern w:val="24"/>
                <w:sz w:val="24"/>
                <w:u w:val="none" w:color="auto"/>
              </w:rPr>
              <w:t>/</w:t>
            </w:r>
          </w:p>
        </w:tc>
        <w:tc>
          <w:tcPr>
            <w:tcW w:w="1355" w:type="dxa"/>
            <w:vAlign w:val="center"/>
          </w:tcPr>
          <w:p>
            <w:pPr>
              <w:snapToGrid w:val="0"/>
              <w:spacing w:line="360" w:lineRule="auto"/>
              <w:jc w:val="center"/>
              <w:rPr>
                <w:rFonts w:hint="default" w:ascii="Times New Roman" w:hAnsi="Times New Roman" w:cs="Times New Roman"/>
                <w:color w:val="auto"/>
                <w:kern w:val="24"/>
                <w:sz w:val="24"/>
                <w:u w:val="none" w:color="auto"/>
              </w:rPr>
            </w:pPr>
            <w:r>
              <w:rPr>
                <w:rFonts w:hint="default" w:ascii="Times New Roman" w:hAnsi="Times New Roman" w:cs="Times New Roman"/>
                <w:color w:val="auto"/>
                <w:sz w:val="24"/>
                <w:u w:val="none" w:color="auto"/>
              </w:rPr>
              <w:t>投产日期</w:t>
            </w:r>
          </w:p>
        </w:tc>
        <w:tc>
          <w:tcPr>
            <w:tcW w:w="4304" w:type="dxa"/>
            <w:gridSpan w:val="4"/>
            <w:vAlign w:val="center"/>
          </w:tcPr>
          <w:p>
            <w:pPr>
              <w:snapToGrid w:val="0"/>
              <w:spacing w:line="360" w:lineRule="auto"/>
              <w:jc w:val="center"/>
              <w:rPr>
                <w:rFonts w:hint="default" w:ascii="Times New Roman" w:hAnsi="Times New Roman" w:eastAsia="宋体" w:cs="Times New Roman"/>
                <w:color w:val="auto"/>
                <w:kern w:val="24"/>
                <w:sz w:val="24"/>
                <w:u w:val="none" w:color="auto"/>
                <w:lang w:val="en-US" w:eastAsia="zh-CN"/>
              </w:rPr>
            </w:pPr>
            <w:r>
              <w:rPr>
                <w:rFonts w:hint="eastAsia" w:cs="Times New Roman"/>
                <w:color w:val="auto"/>
                <w:kern w:val="24"/>
                <w:sz w:val="24"/>
                <w:u w:val="none" w:color="auto"/>
                <w:lang w:val="en-US" w:eastAsia="zh-CN"/>
              </w:rPr>
              <w:t>2020年2月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454" w:hRule="atLeast"/>
          <w:jc w:val="center"/>
        </w:trPr>
        <w:tc>
          <w:tcPr>
            <w:tcW w:w="9268" w:type="dxa"/>
            <w:gridSpan w:val="7"/>
            <w:vAlign w:val="center"/>
          </w:tcPr>
          <w:p>
            <w:pPr>
              <w:snapToGrid w:val="0"/>
              <w:spacing w:line="360" w:lineRule="auto"/>
              <w:rPr>
                <w:rFonts w:hint="default" w:ascii="Times New Roman" w:hAnsi="Times New Roman" w:cs="Times New Roman"/>
                <w:b/>
                <w:color w:val="auto"/>
                <w:sz w:val="30"/>
                <w:szCs w:val="30"/>
                <w:u w:val="none" w:color="auto"/>
              </w:rPr>
            </w:pPr>
            <w:r>
              <w:rPr>
                <w:rFonts w:hint="default" w:ascii="Times New Roman" w:hAnsi="Times New Roman" w:cs="Times New Roman"/>
                <w:b/>
                <w:color w:val="auto"/>
                <w:sz w:val="30"/>
                <w:szCs w:val="30"/>
                <w:u w:val="none" w:color="auto"/>
              </w:rPr>
              <w:t>工程内容及规模：</w:t>
            </w:r>
          </w:p>
          <w:p>
            <w:pPr>
              <w:pStyle w:val="4"/>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1、项目由来</w:t>
            </w:r>
          </w:p>
          <w:p>
            <w:pPr>
              <w:spacing w:line="500" w:lineRule="exact"/>
              <w:ind w:firstLine="496" w:firstLineChars="200"/>
              <w:rPr>
                <w:rFonts w:hint="eastAsia"/>
                <w:b/>
                <w:bCs/>
                <w:spacing w:val="4"/>
                <w:sz w:val="24"/>
                <w:u w:val="single" w:color="auto"/>
              </w:rPr>
            </w:pPr>
            <w:r>
              <w:rPr>
                <w:rFonts w:hint="eastAsia"/>
                <w:spacing w:val="4"/>
                <w:sz w:val="24"/>
                <w:u w:val="single" w:color="auto"/>
              </w:rPr>
              <w:t xml:space="preserve">改革开放以后，我国在电力变压器的科技攻关、技术引进、消化吸收、科技创新等方面都取得了积极的成效；对掌握各种类型变压器的制造技术，提高产品性能，提高产品质量，缩短产品开发周期，扩大产品产量，增加产品品种都发挥了积极作用。  </w:t>
            </w:r>
          </w:p>
          <w:p>
            <w:pPr>
              <w:spacing w:line="500" w:lineRule="exact"/>
              <w:ind w:firstLine="496" w:firstLineChars="200"/>
              <w:rPr>
                <w:rFonts w:hint="eastAsia"/>
                <w:spacing w:val="4"/>
                <w:sz w:val="24"/>
                <w:u w:val="single" w:color="auto"/>
              </w:rPr>
            </w:pPr>
            <w:r>
              <w:rPr>
                <w:rFonts w:hint="eastAsia"/>
                <w:spacing w:val="4"/>
                <w:sz w:val="24"/>
                <w:u w:val="single" w:color="auto"/>
              </w:rPr>
              <w:t>我国已具备了110kV、220kV、330kV和500kV高压、超高压变压器生产能力。超高压变压器的绝缘介质仍以绝缘油为主，根据电网发展的需要，变压器的生产技术正在不断提高。SF6气体绝缘高压、超高压变压器正在研究开发。</w:t>
            </w:r>
          </w:p>
          <w:p>
            <w:pPr>
              <w:pStyle w:val="168"/>
              <w:ind w:left="0" w:leftChars="0" w:firstLine="0" w:firstLineChars="0"/>
              <w:rPr>
                <w:rFonts w:hint="default" w:ascii="Times New Roman" w:hAnsi="Times New Roman" w:cs="Times New Roman"/>
                <w:color w:val="auto"/>
                <w:szCs w:val="24"/>
                <w:u w:val="single" w:color="auto"/>
              </w:rPr>
            </w:pPr>
          </w:p>
          <w:p>
            <w:pPr>
              <w:pStyle w:val="168"/>
              <w:rPr>
                <w:rFonts w:hint="eastAsia" w:cs="Times New Roman"/>
                <w:color w:val="auto"/>
                <w:u w:val="single" w:color="auto"/>
                <w:lang w:val="en-US" w:eastAsia="zh-CN"/>
              </w:rPr>
            </w:pPr>
            <w:r>
              <w:rPr>
                <w:rFonts w:hint="eastAsia" w:cs="Times New Roman"/>
                <w:color w:val="auto"/>
                <w:u w:val="single" w:color="auto"/>
                <w:lang w:eastAsia="zh-CN"/>
              </w:rPr>
              <w:t>湖南湘变电气有限责任公司年产</w:t>
            </w:r>
            <w:r>
              <w:rPr>
                <w:rFonts w:hint="eastAsia" w:cs="Times New Roman"/>
                <w:color w:val="auto"/>
                <w:u w:val="single" w:color="auto"/>
                <w:lang w:val="en-US" w:eastAsia="zh-CN"/>
              </w:rPr>
              <w:t>1500台180MVA变压器项目于2010年10月完成了环境影响评价报告表的编制，于2010年12月15日由湘阴县环境保护局对其进行了审批，文号：湘环评批【2010】110号，完成建设后，于2013年2月22日完成了项目的验收审批（具体详见附件）。</w:t>
            </w:r>
          </w:p>
          <w:p>
            <w:pPr>
              <w:pStyle w:val="168"/>
              <w:rPr>
                <w:rFonts w:hint="default" w:ascii="Times New Roman" w:hAnsi="Times New Roman" w:eastAsia="宋体" w:cs="Times New Roman"/>
                <w:color w:val="auto"/>
                <w:kern w:val="0"/>
                <w:u w:val="single" w:color="auto"/>
                <w:lang w:val="en-US" w:eastAsia="zh-CN"/>
              </w:rPr>
            </w:pPr>
            <w:r>
              <w:rPr>
                <w:rFonts w:hint="eastAsia" w:cs="Times New Roman"/>
                <w:color w:val="auto"/>
                <w:u w:val="single" w:color="auto"/>
                <w:lang w:val="en-US" w:eastAsia="zh-CN"/>
              </w:rPr>
              <w:t>原项目也生产SH15系列非晶合金变压器，但由于现在技术较比以前进行了更新，故生产的SH15系列非晶合金变压器产品也进行了升级革新，项目原喷漆为油性漆，现技术改造为水性漆，因此</w:t>
            </w:r>
            <w:r>
              <w:rPr>
                <w:rFonts w:hint="eastAsia" w:cs="Times New Roman"/>
                <w:color w:val="auto"/>
                <w:u w:val="single" w:color="auto"/>
                <w:lang w:eastAsia="zh-CN"/>
              </w:rPr>
              <w:t>湖南湘变电气有限责任公司</w:t>
            </w:r>
            <w:r>
              <w:rPr>
                <w:rFonts w:hint="default" w:ascii="Times New Roman" w:hAnsi="Times New Roman" w:cs="Times New Roman"/>
                <w:color w:val="auto"/>
                <w:u w:val="single" w:color="auto"/>
              </w:rPr>
              <w:t>在</w:t>
            </w:r>
            <w:r>
              <w:rPr>
                <w:rFonts w:hint="eastAsia" w:cs="Times New Roman"/>
                <w:color w:val="auto"/>
                <w:u w:val="single" w:color="auto"/>
                <w:lang w:eastAsia="zh-CN"/>
              </w:rPr>
              <w:t>湖南省湘阴县工业园区健铭路（湖南湘变电气有限责任公司内），</w:t>
            </w:r>
            <w:r>
              <w:rPr>
                <w:rFonts w:hint="default" w:ascii="Times New Roman" w:hAnsi="Times New Roman" w:cs="Times New Roman"/>
                <w:color w:val="auto"/>
                <w:u w:val="single" w:color="auto"/>
              </w:rPr>
              <w:t>投资</w:t>
            </w:r>
            <w:r>
              <w:rPr>
                <w:rFonts w:hint="eastAsia" w:cs="Times New Roman"/>
                <w:color w:val="auto"/>
                <w:u w:val="single" w:color="auto"/>
                <w:lang w:val="en-US" w:eastAsia="zh-CN"/>
              </w:rPr>
              <w:t>2933.67万元扩</w:t>
            </w:r>
            <w:r>
              <w:rPr>
                <w:rFonts w:hint="default" w:ascii="Times New Roman" w:hAnsi="Times New Roman" w:cs="Times New Roman"/>
                <w:color w:val="auto"/>
                <w:u w:val="single" w:color="auto"/>
              </w:rPr>
              <w:t>建</w:t>
            </w:r>
            <w:r>
              <w:rPr>
                <w:rFonts w:hint="eastAsia" w:cs="Times New Roman"/>
                <w:color w:val="auto"/>
                <w:szCs w:val="24"/>
                <w:u w:val="single" w:color="auto"/>
                <w:lang w:eastAsia="zh-CN"/>
              </w:rPr>
              <w:t>“文星”节能变压器产品革新及技术改造项目</w:t>
            </w:r>
            <w:r>
              <w:rPr>
                <w:rFonts w:hint="default" w:ascii="Times New Roman" w:hAnsi="Times New Roman" w:cs="Times New Roman"/>
                <w:color w:val="auto"/>
                <w:u w:val="single" w:color="auto"/>
              </w:rPr>
              <w:t>”</w:t>
            </w:r>
            <w:r>
              <w:rPr>
                <w:rFonts w:hint="eastAsia" w:cs="Times New Roman"/>
                <w:color w:val="auto"/>
                <w:u w:val="single" w:color="auto"/>
                <w:lang w:eastAsia="zh-CN"/>
              </w:rPr>
              <w:t>，主要生产</w:t>
            </w:r>
            <w:r>
              <w:rPr>
                <w:rFonts w:hint="eastAsia" w:cs="Times New Roman"/>
                <w:color w:val="auto"/>
                <w:u w:val="single" w:color="auto"/>
                <w:lang w:val="en-US" w:eastAsia="zh-CN"/>
              </w:rPr>
              <w:t>SH15系列非晶合金变压器500台，高压真空环网开关设备300台</w:t>
            </w:r>
            <w:r>
              <w:rPr>
                <w:rFonts w:hint="eastAsia" w:cs="Times New Roman"/>
                <w:color w:val="auto"/>
                <w:kern w:val="0"/>
                <w:u w:val="single" w:color="auto"/>
                <w:lang w:val="en-US" w:eastAsia="zh-CN"/>
              </w:rPr>
              <w:t>。</w:t>
            </w:r>
          </w:p>
          <w:p>
            <w:pPr>
              <w:pStyle w:val="168"/>
              <w:rPr>
                <w:rFonts w:hint="default" w:ascii="Times New Roman" w:hAnsi="Times New Roman" w:cs="Times New Roman"/>
                <w:color w:val="auto"/>
                <w:szCs w:val="24"/>
                <w:u w:val="none" w:color="auto"/>
              </w:rPr>
            </w:pPr>
            <w:r>
              <w:rPr>
                <w:rFonts w:hint="default" w:ascii="Times New Roman" w:hAnsi="Times New Roman" w:cs="Times New Roman"/>
                <w:color w:val="auto"/>
                <w:kern w:val="0"/>
                <w:u w:val="none" w:color="auto"/>
              </w:rPr>
              <w:t>根据《中华人民共和国环境保护法》、《中华人民共和国环境影响评价法》及《建设项目环境保护管理条例》的有关规定，本工程需</w:t>
            </w:r>
            <w:r>
              <w:rPr>
                <w:rFonts w:hint="eastAsia" w:cs="Times New Roman"/>
                <w:color w:val="auto"/>
                <w:kern w:val="0"/>
                <w:u w:val="none" w:color="auto"/>
                <w:lang w:eastAsia="zh-CN"/>
              </w:rPr>
              <w:t>办理</w:t>
            </w:r>
            <w:r>
              <w:rPr>
                <w:rFonts w:hint="default" w:ascii="Times New Roman" w:hAnsi="Times New Roman" w:cs="Times New Roman"/>
                <w:color w:val="auto"/>
                <w:kern w:val="0"/>
                <w:u w:val="none" w:color="auto"/>
              </w:rPr>
              <w:t>环境影响评价。经查询《建设项目环境影响评价分类管理名录》（2018版、生态环境部部令第1号），</w:t>
            </w:r>
            <w:r>
              <w:rPr>
                <w:rFonts w:hint="default" w:ascii="Times New Roman" w:hAnsi="Times New Roman" w:cs="Times New Roman"/>
                <w:color w:val="auto"/>
                <w:szCs w:val="24"/>
                <w:u w:val="none" w:color="auto"/>
              </w:rPr>
              <w:t>项目属于</w:t>
            </w:r>
            <w:r>
              <w:rPr>
                <w:rFonts w:hint="eastAsia" w:cs="Times New Roman"/>
                <w:color w:val="auto"/>
                <w:szCs w:val="24"/>
                <w:u w:val="none" w:color="auto"/>
                <w:lang w:eastAsia="zh-CN"/>
              </w:rPr>
              <w:t>二十七</w:t>
            </w:r>
            <w:r>
              <w:rPr>
                <w:rFonts w:hint="default" w:ascii="Times New Roman" w:hAnsi="Times New Roman" w:cs="Times New Roman"/>
                <w:color w:val="auto"/>
                <w:szCs w:val="24"/>
                <w:u w:val="none" w:color="auto"/>
              </w:rPr>
              <w:t>大类</w:t>
            </w:r>
            <w:r>
              <w:rPr>
                <w:rFonts w:hint="eastAsia" w:cs="Times New Roman"/>
                <w:color w:val="auto"/>
                <w:szCs w:val="24"/>
                <w:u w:val="none" w:color="auto"/>
                <w:lang w:val="en-US" w:eastAsia="zh-CN"/>
              </w:rPr>
              <w:t xml:space="preserve"> </w:t>
            </w:r>
            <w:r>
              <w:rPr>
                <w:rFonts w:hint="eastAsia" w:cs="Times New Roman"/>
                <w:color w:val="auto"/>
                <w:szCs w:val="24"/>
                <w:u w:val="none" w:color="auto"/>
                <w:lang w:eastAsia="zh-CN"/>
              </w:rPr>
              <w:t>电气机械和器材制造业</w:t>
            </w:r>
            <w:r>
              <w:rPr>
                <w:rFonts w:hint="default" w:ascii="Times New Roman" w:hAnsi="Times New Roman" w:cs="Times New Roman"/>
                <w:color w:val="auto"/>
                <w:szCs w:val="24"/>
                <w:u w:val="none" w:color="auto"/>
              </w:rPr>
              <w:t xml:space="preserve">的 </w:t>
            </w:r>
            <w:r>
              <w:rPr>
                <w:rFonts w:hint="eastAsia" w:cs="Times New Roman"/>
                <w:color w:val="auto"/>
                <w:szCs w:val="24"/>
                <w:u w:val="none" w:color="auto"/>
                <w:lang w:val="en-US" w:eastAsia="zh-CN"/>
              </w:rPr>
              <w:t xml:space="preserve">78 </w:t>
            </w:r>
            <w:r>
              <w:rPr>
                <w:rFonts w:hint="eastAsia" w:cs="Times New Roman"/>
                <w:color w:val="auto"/>
                <w:szCs w:val="24"/>
                <w:u w:val="none" w:color="auto"/>
                <w:lang w:eastAsia="zh-CN"/>
              </w:rPr>
              <w:t>电气机械及器材制造</w:t>
            </w:r>
            <w:r>
              <w:rPr>
                <w:rFonts w:hint="default" w:ascii="Times New Roman" w:hAnsi="Times New Roman" w:cs="Times New Roman"/>
                <w:color w:val="auto"/>
                <w:szCs w:val="24"/>
                <w:u w:val="none" w:color="auto"/>
              </w:rPr>
              <w:t>，有电镀或喷漆工艺且年用</w:t>
            </w:r>
            <w:r>
              <w:rPr>
                <w:rFonts w:hint="eastAsia" w:cs="Times New Roman"/>
                <w:color w:val="auto"/>
                <w:szCs w:val="24"/>
                <w:u w:val="none" w:color="auto"/>
                <w:lang w:eastAsia="zh-CN"/>
              </w:rPr>
              <w:t>油漆</w:t>
            </w:r>
            <w:r>
              <w:rPr>
                <w:rFonts w:hint="default" w:ascii="Times New Roman" w:hAnsi="Times New Roman" w:cs="Times New Roman"/>
                <w:color w:val="auto"/>
                <w:szCs w:val="24"/>
                <w:u w:val="none" w:color="auto"/>
              </w:rPr>
              <w:t>量（含稀释剂）10 吨及以上的应编制报告书，其他应编制环境影响评价报告表。</w:t>
            </w:r>
            <w:r>
              <w:rPr>
                <w:rFonts w:hint="eastAsia" w:cs="Times New Roman"/>
                <w:color w:val="auto"/>
                <w:szCs w:val="24"/>
                <w:u w:val="none" w:color="auto"/>
                <w:lang w:eastAsia="zh-CN"/>
              </w:rPr>
              <w:t>本项目</w:t>
            </w:r>
            <w:r>
              <w:rPr>
                <w:rFonts w:hint="default" w:ascii="Times New Roman" w:hAnsi="Times New Roman" w:cs="Times New Roman"/>
                <w:color w:val="auto"/>
                <w:szCs w:val="24"/>
                <w:u w:val="none" w:color="auto"/>
              </w:rPr>
              <w:t>有喷漆工艺且年用</w:t>
            </w:r>
            <w:r>
              <w:rPr>
                <w:rFonts w:hint="eastAsia" w:cs="Times New Roman"/>
                <w:color w:val="auto"/>
                <w:szCs w:val="24"/>
                <w:u w:val="none" w:color="auto"/>
                <w:lang w:eastAsia="zh-CN"/>
              </w:rPr>
              <w:t>油漆</w:t>
            </w:r>
            <w:r>
              <w:rPr>
                <w:rFonts w:hint="default" w:ascii="Times New Roman" w:hAnsi="Times New Roman" w:cs="Times New Roman"/>
                <w:color w:val="auto"/>
                <w:szCs w:val="24"/>
                <w:u w:val="none" w:color="auto"/>
              </w:rPr>
              <w:t>量（含稀释剂）10 吨及以</w:t>
            </w:r>
            <w:r>
              <w:rPr>
                <w:rFonts w:hint="eastAsia" w:cs="Times New Roman"/>
                <w:color w:val="auto"/>
                <w:szCs w:val="24"/>
                <w:u w:val="none" w:color="auto"/>
                <w:lang w:eastAsia="zh-CN"/>
              </w:rPr>
              <w:t>下，故</w:t>
            </w:r>
            <w:r>
              <w:rPr>
                <w:rFonts w:hint="default" w:ascii="Times New Roman" w:hAnsi="Times New Roman" w:cs="Times New Roman"/>
                <w:color w:val="auto"/>
                <w:szCs w:val="24"/>
                <w:u w:val="none" w:color="auto"/>
              </w:rPr>
              <w:t>需编制环境影响评价报告表；为此，</w:t>
            </w:r>
            <w:r>
              <w:rPr>
                <w:rFonts w:hint="eastAsia" w:cs="Times New Roman"/>
                <w:color w:val="auto"/>
                <w:u w:val="none" w:color="auto"/>
                <w:lang w:eastAsia="zh-CN"/>
              </w:rPr>
              <w:t>湖南湘变电气有限责任公司</w:t>
            </w:r>
            <w:r>
              <w:rPr>
                <w:rFonts w:hint="default" w:ascii="Times New Roman" w:hAnsi="Times New Roman" w:cs="Times New Roman"/>
                <w:color w:val="auto"/>
                <w:szCs w:val="24"/>
                <w:u w:val="none" w:color="auto"/>
              </w:rPr>
              <w:t>委托</w:t>
            </w:r>
            <w:r>
              <w:rPr>
                <w:rFonts w:hint="eastAsia" w:cs="Times New Roman"/>
                <w:color w:val="auto"/>
                <w:szCs w:val="24"/>
                <w:u w:val="none" w:color="auto"/>
                <w:lang w:eastAsia="zh-CN"/>
              </w:rPr>
              <w:t>北京国环益达环保技术有限公司</w:t>
            </w:r>
            <w:r>
              <w:rPr>
                <w:rFonts w:hint="default" w:ascii="Times New Roman" w:hAnsi="Times New Roman" w:cs="Times New Roman"/>
                <w:color w:val="auto"/>
                <w:szCs w:val="24"/>
                <w:u w:val="none" w:color="auto"/>
              </w:rPr>
              <w:t>承担了《</w:t>
            </w:r>
            <w:r>
              <w:rPr>
                <w:rFonts w:hint="eastAsia" w:cs="Times New Roman"/>
                <w:color w:val="auto"/>
                <w:szCs w:val="24"/>
                <w:u w:val="none" w:color="auto"/>
                <w:lang w:eastAsia="zh-CN"/>
              </w:rPr>
              <w:t>湖南湘变电气有限责任公司“文星”节能变压器产品革新及技术改造项目</w:t>
            </w:r>
            <w:r>
              <w:rPr>
                <w:rFonts w:hint="default" w:ascii="Times New Roman" w:hAnsi="Times New Roman" w:cs="Times New Roman"/>
                <w:color w:val="auto"/>
                <w:szCs w:val="24"/>
                <w:u w:val="none" w:color="auto"/>
              </w:rPr>
              <w:t>》的环境影响评价工作</w:t>
            </w:r>
            <w:r>
              <w:rPr>
                <w:rFonts w:hint="default" w:ascii="Times New Roman" w:hAnsi="Times New Roman" w:cs="Times New Roman"/>
                <w:color w:val="auto"/>
                <w:u w:val="none" w:color="auto"/>
              </w:rPr>
              <w:t>（委托书见附件1所示）</w:t>
            </w:r>
            <w:r>
              <w:rPr>
                <w:rFonts w:hint="default" w:ascii="Times New Roman" w:hAnsi="Times New Roman" w:cs="Times New Roman"/>
                <w:color w:val="auto"/>
                <w:szCs w:val="24"/>
                <w:u w:val="none" w:color="auto"/>
              </w:rPr>
              <w:t>。接受委托后， 环评技术人员按照技术导则所规定原则、方法、内容和要求，通过现场踏勘，收集资料，走访调查，分析评价，在建设方提供的有关文件资料的基础上，编制了本环境影响报告表。</w:t>
            </w:r>
          </w:p>
          <w:p>
            <w:pPr>
              <w:snapToGrid w:val="0"/>
              <w:spacing w:line="360" w:lineRule="auto"/>
              <w:ind w:right="113" w:firstLine="48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 xml:space="preserve">2. </w:t>
            </w:r>
            <w:r>
              <w:rPr>
                <w:rFonts w:hint="eastAsia" w:cs="Times New Roman"/>
                <w:b/>
                <w:bCs/>
                <w:color w:val="auto"/>
                <w:sz w:val="24"/>
                <w:szCs w:val="24"/>
                <w:u w:val="none" w:color="auto"/>
                <w:lang w:eastAsia="zh-CN"/>
              </w:rPr>
              <w:t>扩建</w:t>
            </w:r>
            <w:r>
              <w:rPr>
                <w:rFonts w:hint="default" w:ascii="Times New Roman" w:hAnsi="Times New Roman" w:cs="Times New Roman"/>
                <w:b/>
                <w:bCs/>
                <w:color w:val="auto"/>
                <w:sz w:val="24"/>
                <w:szCs w:val="24"/>
                <w:u w:val="none" w:color="auto"/>
              </w:rPr>
              <w:t>项目概况</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（1）项目名称：</w:t>
            </w:r>
            <w:r>
              <w:rPr>
                <w:rFonts w:hint="eastAsia" w:cs="Times New Roman"/>
                <w:color w:val="auto"/>
                <w:szCs w:val="24"/>
                <w:u w:val="none" w:color="auto"/>
                <w:lang w:eastAsia="zh-CN"/>
              </w:rPr>
              <w:t>“文星”节能变压器产品革新及技术改造项目</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（2）建设单位：</w:t>
            </w:r>
            <w:r>
              <w:rPr>
                <w:rFonts w:hint="eastAsia" w:cs="Times New Roman"/>
                <w:color w:val="auto"/>
                <w:u w:val="none" w:color="auto"/>
                <w:lang w:eastAsia="zh-CN"/>
              </w:rPr>
              <w:t>湖南湘变电气有限责任公司</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（3）建设地点：</w:t>
            </w:r>
            <w:r>
              <w:rPr>
                <w:rFonts w:hint="eastAsia" w:cs="Times New Roman"/>
                <w:color w:val="auto"/>
                <w:u w:val="none" w:color="auto"/>
                <w:lang w:eastAsia="zh-CN"/>
              </w:rPr>
              <w:t>湖南省湘阴县工业园区健铭路（湖南湘变电气有限责任公司内）</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（中心地理坐标：</w:t>
            </w:r>
            <w:r>
              <w:rPr>
                <w:rFonts w:hint="default" w:ascii="Times New Roman" w:hAnsi="Times New Roman" w:cs="Times New Roman"/>
                <w:bCs/>
                <w:color w:val="auto"/>
                <w:u w:val="none" w:color="auto"/>
              </w:rPr>
              <w:t>北纬</w:t>
            </w:r>
            <w:r>
              <w:rPr>
                <w:rFonts w:hint="default" w:ascii="Times New Roman" w:hAnsi="Times New Roman" w:cs="Times New Roman"/>
                <w:bCs/>
                <w:color w:val="auto"/>
                <w:u w:val="none" w:color="auto"/>
                <w:lang w:val="en-US" w:eastAsia="zh-CN"/>
              </w:rPr>
              <w:t>28.642163</w:t>
            </w:r>
            <w:r>
              <w:rPr>
                <w:rFonts w:hint="default" w:ascii="Times New Roman" w:hAnsi="Times New Roman" w:cs="Times New Roman"/>
                <w:bCs/>
                <w:color w:val="auto"/>
                <w:u w:val="none" w:color="auto"/>
              </w:rPr>
              <w:t xml:space="preserve"> </w:t>
            </w:r>
            <w:r>
              <w:rPr>
                <w:rFonts w:hint="eastAsia" w:cs="Times New Roman"/>
                <w:bCs/>
                <w:color w:val="auto"/>
                <w:u w:val="none" w:color="auto"/>
                <w:lang w:val="en-US" w:eastAsia="zh-CN"/>
              </w:rPr>
              <w:t xml:space="preserve"> </w:t>
            </w:r>
            <w:r>
              <w:rPr>
                <w:rFonts w:hint="default" w:ascii="Times New Roman" w:hAnsi="Times New Roman" w:cs="Times New Roman"/>
                <w:bCs/>
                <w:color w:val="auto"/>
                <w:u w:val="none" w:color="auto"/>
              </w:rPr>
              <w:t>东经</w:t>
            </w:r>
            <w:r>
              <w:rPr>
                <w:rFonts w:hint="default" w:ascii="Times New Roman" w:hAnsi="Times New Roman" w:cs="Times New Roman"/>
                <w:bCs/>
                <w:color w:val="auto"/>
                <w:u w:val="none" w:color="auto"/>
                <w:lang w:val="en-US" w:eastAsia="zh-CN"/>
              </w:rPr>
              <w:t>112.919680</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（4）项目性质：</w:t>
            </w:r>
            <w:r>
              <w:rPr>
                <w:rFonts w:hint="eastAsia" w:cs="Times New Roman"/>
                <w:color w:val="auto"/>
                <w:u w:val="none" w:color="auto"/>
                <w:lang w:eastAsia="zh-CN"/>
              </w:rPr>
              <w:t>扩建</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（5）建设规模：项目总占地面积约</w:t>
            </w:r>
            <w:r>
              <w:rPr>
                <w:rFonts w:hint="eastAsia" w:cs="Times New Roman"/>
                <w:color w:val="auto"/>
                <w:u w:val="none" w:color="auto"/>
                <w:lang w:val="en-US" w:eastAsia="zh-CN"/>
              </w:rPr>
              <w:t>26162.36</w:t>
            </w:r>
            <w:r>
              <w:rPr>
                <w:rFonts w:hint="default" w:ascii="Times New Roman" w:hAnsi="Times New Roman" w:cs="Times New Roman"/>
                <w:color w:val="auto"/>
                <w:u w:val="none" w:color="auto"/>
              </w:rPr>
              <w:t>m</w:t>
            </w:r>
            <w:r>
              <w:rPr>
                <w:rFonts w:hint="default" w:ascii="Times New Roman" w:hAnsi="Times New Roman" w:cs="Times New Roman"/>
                <w:color w:val="auto"/>
                <w:u w:val="none" w:color="auto"/>
                <w:vertAlign w:val="superscript"/>
              </w:rPr>
              <w:t>2</w:t>
            </w:r>
            <w:r>
              <w:rPr>
                <w:rFonts w:hint="default" w:ascii="Times New Roman" w:hAnsi="Times New Roman" w:cs="Times New Roman"/>
                <w:color w:val="auto"/>
                <w:u w:val="none" w:color="auto"/>
              </w:rPr>
              <w:t>。</w:t>
            </w:r>
          </w:p>
          <w:p>
            <w:pPr>
              <w:pStyle w:val="177"/>
              <w:spacing w:line="384" w:lineRule="auto"/>
              <w:jc w:val="left"/>
              <w:rPr>
                <w:rFonts w:hint="default" w:ascii="Times New Roman" w:hAnsi="Times New Roman" w:cs="Times New Roman"/>
                <w:color w:val="auto"/>
                <w:u w:val="none" w:color="auto"/>
              </w:rPr>
            </w:pPr>
            <w:r>
              <w:rPr>
                <w:rFonts w:hint="default" w:ascii="Times New Roman" w:hAnsi="Times New Roman" w:cs="Times New Roman"/>
                <w:color w:val="auto"/>
                <w:u w:val="none" w:color="auto"/>
              </w:rPr>
              <w:t>（6）总投资：</w:t>
            </w:r>
            <w:r>
              <w:rPr>
                <w:rFonts w:hint="eastAsia" w:cs="Times New Roman"/>
                <w:color w:val="auto"/>
                <w:u w:val="none" w:color="auto"/>
                <w:lang w:val="en-US" w:eastAsia="zh-CN"/>
              </w:rPr>
              <w:t>2933.67万元</w:t>
            </w:r>
            <w:r>
              <w:rPr>
                <w:rFonts w:hint="default" w:ascii="Times New Roman" w:hAnsi="Times New Roman" w:cs="Times New Roman"/>
                <w:color w:val="auto"/>
                <w:u w:val="none" w:color="auto"/>
              </w:rPr>
              <w:t>，其中环保投资</w:t>
            </w:r>
            <w:r>
              <w:rPr>
                <w:rFonts w:hint="eastAsia" w:cs="Times New Roman"/>
                <w:color w:val="auto"/>
                <w:u w:val="none" w:color="auto"/>
                <w:lang w:val="en-US" w:eastAsia="zh-CN"/>
              </w:rPr>
              <w:t>25</w:t>
            </w:r>
            <w:r>
              <w:rPr>
                <w:rFonts w:hint="default" w:ascii="Times New Roman" w:hAnsi="Times New Roman" w:cs="Times New Roman"/>
                <w:color w:val="auto"/>
                <w:u w:val="none" w:color="auto"/>
              </w:rPr>
              <w:t>万。</w:t>
            </w:r>
          </w:p>
          <w:p>
            <w:pPr>
              <w:pStyle w:val="177"/>
              <w:spacing w:line="384" w:lineRule="auto"/>
              <w:jc w:val="left"/>
              <w:rPr>
                <w:rFonts w:hint="default" w:ascii="Times New Roman" w:hAnsi="Times New Roman" w:cs="Times New Roman"/>
                <w:b/>
                <w:color w:val="auto"/>
                <w:u w:val="none" w:color="auto"/>
              </w:rPr>
            </w:pPr>
            <w:r>
              <w:rPr>
                <w:rFonts w:hint="default" w:ascii="Times New Roman" w:hAnsi="Times New Roman" w:cs="Times New Roman"/>
                <w:color w:val="auto"/>
                <w:u w:val="none" w:color="auto"/>
              </w:rPr>
              <w:t>（7）劳动定员：</w:t>
            </w:r>
            <w:r>
              <w:rPr>
                <w:rFonts w:hint="eastAsia" w:cs="Times New Roman"/>
                <w:color w:val="auto"/>
                <w:u w:val="none" w:color="auto"/>
                <w:lang w:eastAsia="zh-CN"/>
              </w:rPr>
              <w:t>原项目</w:t>
            </w:r>
            <w:r>
              <w:rPr>
                <w:rFonts w:hint="default" w:ascii="Times New Roman" w:hAnsi="Times New Roman" w:cs="Times New Roman"/>
                <w:color w:val="auto"/>
                <w:u w:val="none" w:color="auto"/>
              </w:rPr>
              <w:t>员工人数</w:t>
            </w:r>
            <w:r>
              <w:rPr>
                <w:rFonts w:hint="eastAsia" w:cs="Times New Roman"/>
                <w:color w:val="auto"/>
                <w:u w:val="none" w:color="auto"/>
                <w:lang w:val="en-US" w:eastAsia="zh-CN"/>
              </w:rPr>
              <w:t>60</w:t>
            </w:r>
            <w:r>
              <w:rPr>
                <w:rFonts w:hint="default" w:ascii="Times New Roman" w:hAnsi="Times New Roman" w:cs="Times New Roman"/>
                <w:color w:val="auto"/>
                <w:u w:val="none" w:color="auto"/>
              </w:rPr>
              <w:t>人</w:t>
            </w:r>
            <w:r>
              <w:rPr>
                <w:rFonts w:hint="default" w:ascii="Times New Roman" w:hAnsi="Times New Roman" w:cs="Times New Roman"/>
                <w:color w:val="auto"/>
                <w:u w:val="none" w:color="auto"/>
                <w:lang w:eastAsia="zh-CN"/>
              </w:rPr>
              <w:t>，</w:t>
            </w:r>
            <w:r>
              <w:rPr>
                <w:rFonts w:hint="eastAsia" w:cs="Times New Roman"/>
                <w:color w:val="auto"/>
                <w:u w:val="none" w:color="auto"/>
                <w:lang w:eastAsia="zh-CN"/>
              </w:rPr>
              <w:t>本次扩建项目新增员工</w:t>
            </w:r>
            <w:r>
              <w:rPr>
                <w:rFonts w:hint="eastAsia" w:cs="Times New Roman"/>
                <w:color w:val="auto"/>
                <w:u w:val="none" w:color="auto"/>
                <w:lang w:val="en-US" w:eastAsia="zh-CN"/>
              </w:rPr>
              <w:t>100人</w:t>
            </w:r>
            <w:r>
              <w:rPr>
                <w:rFonts w:hint="eastAsia" w:cs="Times New Roman"/>
                <w:color w:val="auto"/>
                <w:u w:val="none" w:color="auto"/>
                <w:lang w:eastAsia="zh-CN"/>
              </w:rPr>
              <w:t>，</w:t>
            </w:r>
            <w:r>
              <w:rPr>
                <w:rFonts w:hint="default" w:ascii="Times New Roman" w:hAnsi="Times New Roman" w:cs="Times New Roman"/>
                <w:color w:val="auto"/>
                <w:u w:val="none" w:color="auto"/>
                <w:lang w:eastAsia="zh-CN"/>
              </w:rPr>
              <w:t>均</w:t>
            </w:r>
            <w:r>
              <w:rPr>
                <w:rFonts w:hint="eastAsia" w:cs="Times New Roman"/>
                <w:color w:val="auto"/>
                <w:u w:val="none" w:color="auto"/>
                <w:lang w:eastAsia="zh-CN"/>
              </w:rPr>
              <w:t>不</w:t>
            </w:r>
            <w:r>
              <w:rPr>
                <w:rFonts w:hint="default" w:ascii="Times New Roman" w:hAnsi="Times New Roman" w:cs="Times New Roman"/>
                <w:color w:val="auto"/>
                <w:u w:val="none" w:color="auto"/>
                <w:lang w:eastAsia="zh-CN"/>
              </w:rPr>
              <w:t>在厂内</w:t>
            </w:r>
            <w:r>
              <w:rPr>
                <w:rFonts w:hint="eastAsia" w:cs="Times New Roman"/>
                <w:color w:val="auto"/>
                <w:u w:val="none" w:color="auto"/>
                <w:lang w:eastAsia="zh-CN"/>
              </w:rPr>
              <w:t>就餐、住宿</w:t>
            </w:r>
            <w:r>
              <w:rPr>
                <w:rFonts w:hint="default" w:ascii="Times New Roman" w:hAnsi="Times New Roman" w:cs="Times New Roman"/>
                <w:color w:val="auto"/>
                <w:u w:val="none" w:color="auto"/>
              </w:rPr>
              <w:t>，年工作时间为300天，每天工作8小时。</w:t>
            </w:r>
          </w:p>
          <w:p>
            <w:pPr>
              <w:pStyle w:val="4"/>
              <w:spacing w:before="0" w:beforeLines="0"/>
              <w:ind w:firstLine="482"/>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3、主要建设内容及规模</w:t>
            </w:r>
          </w:p>
          <w:p>
            <w:pPr>
              <w:snapToGrid w:val="0"/>
              <w:spacing w:line="360" w:lineRule="auto"/>
              <w:ind w:firstLine="470" w:firstLineChars="196"/>
              <w:rPr>
                <w:rFonts w:hint="default" w:ascii="Times New Roman" w:hAnsi="Times New Roman" w:cs="Times New Roman"/>
                <w:bCs/>
                <w:color w:val="auto"/>
                <w:sz w:val="24"/>
                <w:u w:val="single" w:color="auto"/>
              </w:rPr>
            </w:pPr>
            <w:r>
              <w:rPr>
                <w:rFonts w:hint="default" w:ascii="Times New Roman" w:hAnsi="Times New Roman" w:cs="Times New Roman"/>
                <w:bCs/>
                <w:color w:val="auto"/>
                <w:sz w:val="24"/>
                <w:u w:val="single" w:color="auto"/>
              </w:rPr>
              <w:t>本项目选址于</w:t>
            </w:r>
            <w:r>
              <w:rPr>
                <w:rFonts w:hint="eastAsia" w:cs="Times New Roman"/>
                <w:color w:val="auto"/>
                <w:sz w:val="24"/>
                <w:szCs w:val="24"/>
                <w:u w:val="single" w:color="auto"/>
                <w:lang w:eastAsia="zh-CN"/>
              </w:rPr>
              <w:t>湖南省湘阴县工业园区健铭路（湖南湘变电气有限责任公司内）</w:t>
            </w:r>
            <w:r>
              <w:rPr>
                <w:rFonts w:hint="default" w:ascii="Times New Roman" w:hAnsi="Times New Roman" w:eastAsia="宋体" w:cs="Times New Roman"/>
                <w:bCs/>
                <w:color w:val="auto"/>
                <w:sz w:val="24"/>
                <w:szCs w:val="22"/>
                <w:u w:val="single" w:color="auto"/>
              </w:rPr>
              <w:t>，</w:t>
            </w:r>
            <w:r>
              <w:rPr>
                <w:rFonts w:hint="eastAsia" w:ascii="Times New Roman" w:hAnsi="Times New Roman" w:eastAsia="宋体" w:cs="Times New Roman"/>
                <w:bCs/>
                <w:color w:val="auto"/>
                <w:sz w:val="24"/>
                <w:szCs w:val="22"/>
                <w:u w:val="single" w:color="auto"/>
                <w:lang w:eastAsia="zh-CN"/>
              </w:rPr>
              <w:t>建设</w:t>
            </w:r>
            <w:r>
              <w:rPr>
                <w:rFonts w:hint="default" w:ascii="Times New Roman" w:hAnsi="Times New Roman" w:eastAsia="宋体" w:cs="Times New Roman"/>
                <w:bCs/>
                <w:color w:val="auto"/>
                <w:sz w:val="24"/>
                <w:szCs w:val="22"/>
                <w:u w:val="single" w:color="auto"/>
              </w:rPr>
              <w:t>厂房进行</w:t>
            </w:r>
            <w:r>
              <w:rPr>
                <w:rFonts w:hint="eastAsia" w:cs="Times New Roman"/>
                <w:bCs/>
                <w:color w:val="auto"/>
                <w:sz w:val="24"/>
                <w:szCs w:val="22"/>
                <w:u w:val="single" w:color="auto"/>
                <w:lang w:val="en-US" w:eastAsia="zh-CN"/>
              </w:rPr>
              <w:t>SH15系列非晶合金变压器和高压真空环网开关设备</w:t>
            </w:r>
            <w:r>
              <w:rPr>
                <w:rFonts w:hint="default" w:cs="Times New Roman"/>
                <w:bCs/>
                <w:color w:val="auto"/>
                <w:sz w:val="24"/>
                <w:szCs w:val="22"/>
                <w:u w:val="single" w:color="auto"/>
                <w:lang w:val="en-US" w:eastAsia="zh-CN"/>
              </w:rPr>
              <w:t>生产，</w:t>
            </w:r>
            <w:r>
              <w:rPr>
                <w:rFonts w:hint="eastAsia" w:cs="Times New Roman"/>
                <w:bCs/>
                <w:color w:val="auto"/>
                <w:sz w:val="24"/>
                <w:szCs w:val="22"/>
                <w:u w:val="single" w:color="auto"/>
                <w:lang w:val="en-US" w:eastAsia="zh-CN"/>
              </w:rPr>
              <w:t>年生产SH15系列非晶合金变压器500台，高压真空环网开关设备300台，本公司现有2栋厂房（厂房二、厂房三）及一栋办公生活楼，占地面积为33398m</w:t>
            </w:r>
            <w:r>
              <w:rPr>
                <w:rFonts w:hint="eastAsia" w:cs="Times New Roman"/>
                <w:bCs/>
                <w:color w:val="auto"/>
                <w:sz w:val="24"/>
                <w:szCs w:val="22"/>
                <w:u w:val="single" w:color="auto"/>
                <w:vertAlign w:val="superscript"/>
                <w:lang w:val="en-US" w:eastAsia="zh-CN"/>
              </w:rPr>
              <w:t>2</w:t>
            </w:r>
            <w:r>
              <w:rPr>
                <w:rFonts w:hint="eastAsia" w:cs="Times New Roman"/>
                <w:bCs/>
                <w:color w:val="auto"/>
                <w:sz w:val="24"/>
                <w:szCs w:val="22"/>
                <w:u w:val="single" w:color="auto"/>
                <w:lang w:val="en-US" w:eastAsia="zh-CN"/>
              </w:rPr>
              <w:t>，本项目建设内容为：拆除原来办公生活楼，再新建2栋厂房（建设厂房一、厂房四）和一栋综合楼，占地面积为26162.36m</w:t>
            </w:r>
            <w:r>
              <w:rPr>
                <w:rFonts w:hint="eastAsia" w:cs="Times New Roman"/>
                <w:bCs/>
                <w:color w:val="auto"/>
                <w:sz w:val="24"/>
                <w:szCs w:val="22"/>
                <w:u w:val="single" w:color="auto"/>
                <w:vertAlign w:val="superscript"/>
                <w:lang w:val="en-US" w:eastAsia="zh-CN"/>
              </w:rPr>
              <w:t>2</w:t>
            </w:r>
            <w:r>
              <w:rPr>
                <w:rFonts w:hint="eastAsia" w:cs="Times New Roman"/>
                <w:bCs/>
                <w:color w:val="auto"/>
                <w:sz w:val="24"/>
                <w:szCs w:val="22"/>
                <w:u w:val="single" w:color="auto"/>
                <w:lang w:val="en-US" w:eastAsia="zh-CN"/>
              </w:rPr>
              <w:t>，</w:t>
            </w:r>
            <w:r>
              <w:rPr>
                <w:rFonts w:hint="default" w:ascii="Times New Roman" w:hAnsi="Times New Roman" w:eastAsia="宋体" w:cs="Times New Roman"/>
                <w:bCs/>
                <w:color w:val="auto"/>
                <w:sz w:val="24"/>
                <w:szCs w:val="22"/>
                <w:u w:val="single" w:color="auto"/>
              </w:rPr>
              <w:t>具体建设内</w:t>
            </w:r>
            <w:r>
              <w:rPr>
                <w:rFonts w:hint="default" w:ascii="Times New Roman" w:hAnsi="Times New Roman" w:cs="Times New Roman"/>
                <w:bCs/>
                <w:color w:val="auto"/>
                <w:sz w:val="24"/>
                <w:u w:val="single" w:color="auto"/>
              </w:rPr>
              <w:t>容如表1-1所示：</w:t>
            </w:r>
          </w:p>
          <w:p>
            <w:pPr>
              <w:adjustRightInd w:val="0"/>
              <w:snapToGrid w:val="0"/>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w:t>
            </w:r>
            <w:r>
              <w:rPr>
                <w:rFonts w:hint="eastAsia" w:cs="Times New Roman"/>
                <w:b/>
                <w:color w:val="auto"/>
                <w:sz w:val="24"/>
                <w:szCs w:val="24"/>
                <w:u w:val="none" w:color="auto"/>
                <w:lang w:val="en-US" w:eastAsia="zh-CN"/>
              </w:rPr>
              <w:t>1</w:t>
            </w:r>
            <w:r>
              <w:rPr>
                <w:rFonts w:hint="default" w:ascii="Times New Roman" w:hAnsi="Times New Roman" w:cs="Times New Roman"/>
                <w:b/>
                <w:color w:val="auto"/>
                <w:sz w:val="24"/>
                <w:szCs w:val="24"/>
                <w:u w:val="none" w:color="auto"/>
              </w:rPr>
              <w:t xml:space="preserve">  </w:t>
            </w:r>
            <w:r>
              <w:rPr>
                <w:rFonts w:hint="eastAsia" w:cs="Times New Roman"/>
                <w:b/>
                <w:color w:val="auto"/>
                <w:sz w:val="24"/>
                <w:szCs w:val="24"/>
                <w:u w:val="none" w:color="auto"/>
                <w:lang w:eastAsia="zh-CN"/>
              </w:rPr>
              <w:t>扩建</w:t>
            </w:r>
            <w:r>
              <w:rPr>
                <w:rFonts w:hint="default" w:ascii="Times New Roman" w:hAnsi="Times New Roman" w:cs="Times New Roman"/>
                <w:b/>
                <w:color w:val="auto"/>
                <w:sz w:val="24"/>
                <w:szCs w:val="24"/>
                <w:u w:val="none" w:color="auto"/>
              </w:rPr>
              <w:t>项目组成一览表</w:t>
            </w:r>
          </w:p>
          <w:tbl>
            <w:tblPr>
              <w:tblStyle w:val="40"/>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1961"/>
              <w:gridCol w:w="1680"/>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2782"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建设项目</w:t>
                  </w:r>
                </w:p>
              </w:tc>
              <w:tc>
                <w:tcPr>
                  <w:tcW w:w="6286" w:type="dxa"/>
                  <w:gridSpan w:val="2"/>
                  <w:vAlign w:val="center"/>
                </w:tcPr>
                <w:p>
                  <w:pPr>
                    <w:adjustRightInd w:val="0"/>
                    <w:snapToGrid w:val="0"/>
                    <w:spacing w:line="360" w:lineRule="auto"/>
                    <w:jc w:val="center"/>
                    <w:rPr>
                      <w:rFonts w:hint="default" w:ascii="Times New Roman" w:hAnsi="Times New Roman" w:eastAsia="宋体" w:cs="Times New Roman"/>
                      <w:b/>
                      <w:color w:val="auto"/>
                      <w:sz w:val="24"/>
                      <w:szCs w:val="24"/>
                      <w:u w:val="none" w:color="auto"/>
                    </w:rPr>
                  </w:pPr>
                  <w:r>
                    <w:rPr>
                      <w:rFonts w:hint="default" w:ascii="Times New Roman" w:hAnsi="Times New Roman" w:eastAsia="宋体" w:cs="Times New Roman"/>
                      <w:b/>
                      <w:color w:val="auto"/>
                      <w:sz w:val="24"/>
                      <w:szCs w:val="24"/>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782" w:type="dxa"/>
                  <w:gridSpan w:val="2"/>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主体工程</w:t>
                  </w:r>
                </w:p>
              </w:tc>
              <w:tc>
                <w:tcPr>
                  <w:tcW w:w="1680" w:type="dxa"/>
                  <w:tcBorders>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val="en-US" w:eastAsia="zh-CN"/>
                    </w:rPr>
                    <w:t>厂房一</w:t>
                  </w:r>
                </w:p>
              </w:tc>
              <w:tc>
                <w:tcPr>
                  <w:tcW w:w="4606" w:type="dxa"/>
                  <w:tcBorders>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2956m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，本项目新建厂房，拆除原有生活办公楼所在地建设的，项目厂房建成后作为预备厂房使用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67" w:hRule="atLeast"/>
                <w:jc w:val="center"/>
              </w:trPr>
              <w:tc>
                <w:tcPr>
                  <w:tcW w:w="2782"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厂房二</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2"/>
                      <w:szCs w:val="22"/>
                      <w:u w:val="none" w:color="auto"/>
                      <w:lang w:eastAsia="zh-CN"/>
                    </w:rPr>
                    <w:t>建筑面积为</w:t>
                  </w:r>
                  <w:r>
                    <w:rPr>
                      <w:rFonts w:hint="eastAsia" w:cs="Times New Roman"/>
                      <w:bCs/>
                      <w:color w:val="auto"/>
                      <w:sz w:val="22"/>
                      <w:szCs w:val="22"/>
                      <w:u w:val="none" w:color="auto"/>
                      <w:lang w:val="en-US" w:eastAsia="zh-CN"/>
                    </w:rPr>
                    <w:t>4728m</w:t>
                  </w:r>
                  <w:r>
                    <w:rPr>
                      <w:rFonts w:hint="eastAsia" w:cs="Times New Roman"/>
                      <w:bCs/>
                      <w:color w:val="auto"/>
                      <w:sz w:val="22"/>
                      <w:szCs w:val="22"/>
                      <w:u w:val="none" w:color="auto"/>
                      <w:vertAlign w:val="superscript"/>
                      <w:lang w:val="en-US" w:eastAsia="zh-CN"/>
                    </w:rPr>
                    <w:t>2</w:t>
                  </w:r>
                  <w:r>
                    <w:rPr>
                      <w:rFonts w:hint="eastAsia" w:cs="Times New Roman"/>
                      <w:bCs/>
                      <w:color w:val="auto"/>
                      <w:sz w:val="22"/>
                      <w:szCs w:val="22"/>
                      <w:u w:val="none" w:color="auto"/>
                      <w:lang w:val="en-US" w:eastAsia="zh-CN"/>
                    </w:rPr>
                    <w:t>，</w:t>
                  </w:r>
                  <w:r>
                    <w:rPr>
                      <w:rFonts w:hint="eastAsia" w:cs="Times New Roman"/>
                      <w:bCs/>
                      <w:color w:val="auto"/>
                      <w:sz w:val="24"/>
                      <w:szCs w:val="24"/>
                      <w:u w:val="none" w:color="auto"/>
                      <w:lang w:eastAsia="zh-CN"/>
                    </w:rPr>
                    <w:t>原有项目已经建设完成的厂房，主要为新建高压真空环网开关设备生产区及喷塑、烘干生产线和原箱式变压器项目生产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5" w:hRule="atLeast"/>
                <w:jc w:val="center"/>
              </w:trPr>
              <w:tc>
                <w:tcPr>
                  <w:tcW w:w="2782"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cs="Times New Roman"/>
                      <w:bCs/>
                      <w:color w:val="auto"/>
                      <w:sz w:val="24"/>
                      <w:szCs w:val="24"/>
                      <w:u w:val="none" w:color="auto"/>
                      <w:lang w:val="en-US" w:eastAsia="zh-CN"/>
                    </w:rPr>
                  </w:pPr>
                  <w:r>
                    <w:rPr>
                      <w:rFonts w:hint="eastAsia" w:cs="Times New Roman"/>
                      <w:bCs/>
                      <w:color w:val="auto"/>
                      <w:sz w:val="24"/>
                      <w:szCs w:val="24"/>
                      <w:u w:val="none" w:color="auto"/>
                      <w:lang w:val="en-US" w:eastAsia="zh-CN"/>
                    </w:rPr>
                    <w:t>厂房三</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eastAsia" w:cs="Times New Roman"/>
                      <w:bCs/>
                      <w:color w:val="auto"/>
                      <w:sz w:val="24"/>
                      <w:szCs w:val="24"/>
                      <w:u w:val="none" w:color="auto"/>
                      <w:lang w:eastAsia="zh-CN"/>
                    </w:rPr>
                  </w:pPr>
                  <w:r>
                    <w:rPr>
                      <w:rFonts w:hint="eastAsia" w:cs="Times New Roman"/>
                      <w:bCs/>
                      <w:color w:val="auto"/>
                      <w:sz w:val="22"/>
                      <w:szCs w:val="22"/>
                      <w:u w:val="none" w:color="auto"/>
                      <w:lang w:eastAsia="zh-CN"/>
                    </w:rPr>
                    <w:t>建筑面积为</w:t>
                  </w:r>
                  <w:r>
                    <w:rPr>
                      <w:rFonts w:hint="eastAsia" w:cs="Times New Roman"/>
                      <w:bCs/>
                      <w:color w:val="auto"/>
                      <w:sz w:val="22"/>
                      <w:szCs w:val="22"/>
                      <w:u w:val="none" w:color="auto"/>
                      <w:lang w:val="en-US" w:eastAsia="zh-CN"/>
                    </w:rPr>
                    <w:t>1200m</w:t>
                  </w:r>
                  <w:r>
                    <w:rPr>
                      <w:rFonts w:hint="eastAsia" w:cs="Times New Roman"/>
                      <w:bCs/>
                      <w:color w:val="auto"/>
                      <w:sz w:val="22"/>
                      <w:szCs w:val="22"/>
                      <w:u w:val="none" w:color="auto"/>
                      <w:vertAlign w:val="superscript"/>
                      <w:lang w:val="en-US" w:eastAsia="zh-CN"/>
                    </w:rPr>
                    <w:t>2</w:t>
                  </w:r>
                  <w:r>
                    <w:rPr>
                      <w:rFonts w:hint="eastAsia" w:cs="Times New Roman"/>
                      <w:bCs/>
                      <w:color w:val="auto"/>
                      <w:sz w:val="22"/>
                      <w:szCs w:val="22"/>
                      <w:u w:val="none" w:color="auto"/>
                      <w:lang w:val="en-US" w:eastAsia="zh-CN"/>
                    </w:rPr>
                    <w:t>，原有项目已建设完成的厂房，车间主要为喷漆（喷漆房）、晾干区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0" w:hRule="atLeast"/>
                <w:jc w:val="center"/>
              </w:trPr>
              <w:tc>
                <w:tcPr>
                  <w:tcW w:w="2782"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cs="Times New Roman"/>
                      <w:bCs/>
                      <w:color w:val="auto"/>
                      <w:sz w:val="24"/>
                      <w:szCs w:val="24"/>
                      <w:u w:val="none" w:color="auto"/>
                      <w:lang w:val="en-US" w:eastAsia="zh-CN"/>
                    </w:rPr>
                  </w:pPr>
                  <w:r>
                    <w:rPr>
                      <w:rFonts w:hint="eastAsia" w:cs="Times New Roman"/>
                      <w:bCs/>
                      <w:color w:val="auto"/>
                      <w:sz w:val="24"/>
                      <w:szCs w:val="24"/>
                      <w:u w:val="none" w:color="auto"/>
                      <w:lang w:val="en-US" w:eastAsia="zh-CN"/>
                    </w:rPr>
                    <w:t>厂房四</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eastAsia" w:cs="Times New Roman"/>
                      <w:bCs/>
                      <w:color w:val="auto"/>
                      <w:sz w:val="24"/>
                      <w:szCs w:val="24"/>
                      <w:u w:val="none" w:color="auto"/>
                      <w:lang w:eastAsia="zh-CN"/>
                    </w:rPr>
                  </w:pPr>
                  <w:r>
                    <w:rPr>
                      <w:rFonts w:hint="eastAsia" w:cs="Times New Roman"/>
                      <w:bCs/>
                      <w:color w:val="auto"/>
                      <w:sz w:val="24"/>
                      <w:szCs w:val="24"/>
                      <w:u w:val="none" w:color="auto"/>
                      <w:lang w:eastAsia="zh-CN"/>
                    </w:rPr>
                    <w:t>建筑面积为</w:t>
                  </w:r>
                  <w:r>
                    <w:rPr>
                      <w:rFonts w:hint="eastAsia" w:cs="Times New Roman"/>
                      <w:bCs/>
                      <w:color w:val="auto"/>
                      <w:sz w:val="24"/>
                      <w:szCs w:val="24"/>
                      <w:u w:val="none" w:color="auto"/>
                      <w:lang w:val="en-US" w:eastAsia="zh-CN"/>
                    </w:rPr>
                    <w:t>3177m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，本项目新建厂房，车间主要为机加工（主要用于非晶合金变压器项目及原有变压器（油浸式变压器、干式变压器）项目生产）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8" w:hRule="atLeast"/>
                <w:jc w:val="center"/>
              </w:trPr>
              <w:tc>
                <w:tcPr>
                  <w:tcW w:w="2782"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综合楼</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项目共</w:t>
                  </w:r>
                  <w:r>
                    <w:rPr>
                      <w:rFonts w:hint="eastAsia" w:cs="Times New Roman"/>
                      <w:bCs/>
                      <w:color w:val="auto"/>
                      <w:sz w:val="24"/>
                      <w:szCs w:val="24"/>
                      <w:u w:val="none" w:color="auto"/>
                      <w:lang w:val="en-US" w:eastAsia="zh-CN"/>
                    </w:rPr>
                    <w:t>5F，总建筑面积为4408.66m</w:t>
                  </w:r>
                  <w:r>
                    <w:rPr>
                      <w:rFonts w:hint="eastAsia" w:cs="Times New Roman"/>
                      <w:bCs/>
                      <w:color w:val="auto"/>
                      <w:sz w:val="24"/>
                      <w:szCs w:val="24"/>
                      <w:u w:val="none" w:color="auto"/>
                      <w:vertAlign w:val="superscript"/>
                      <w:lang w:val="en-US" w:eastAsia="zh-CN"/>
                    </w:rPr>
                    <w:t>2</w:t>
                  </w:r>
                  <w:r>
                    <w:rPr>
                      <w:rFonts w:hint="eastAsia" w:cs="Times New Roman"/>
                      <w:bCs/>
                      <w:color w:val="auto"/>
                      <w:sz w:val="24"/>
                      <w:szCs w:val="24"/>
                      <w:u w:val="none" w:color="auto"/>
                      <w:lang w:val="en-US" w:eastAsia="zh-CN"/>
                    </w:rPr>
                    <w:t>，主要为办公生活用房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restart"/>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公用工程</w:t>
                  </w:r>
                </w:p>
              </w:tc>
              <w:tc>
                <w:tcPr>
                  <w:tcW w:w="1961"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供电系统</w:t>
                  </w:r>
                </w:p>
              </w:tc>
              <w:tc>
                <w:tcPr>
                  <w:tcW w:w="6286"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依托原有项目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给水系统</w:t>
                  </w:r>
                </w:p>
              </w:tc>
              <w:tc>
                <w:tcPr>
                  <w:tcW w:w="6286"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依托原有项目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6"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排水系统</w:t>
                  </w:r>
                </w:p>
              </w:tc>
              <w:tc>
                <w:tcPr>
                  <w:tcW w:w="6286"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4"/>
                      <w:szCs w:val="24"/>
                      <w:u w:val="none" w:color="auto"/>
                      <w:lang w:val="en-US" w:eastAsia="zh-CN"/>
                    </w:rPr>
                  </w:pPr>
                  <w:r>
                    <w:rPr>
                      <w:rFonts w:hint="eastAsia" w:cs="Times New Roman"/>
                      <w:bCs/>
                      <w:color w:val="auto"/>
                      <w:sz w:val="24"/>
                      <w:szCs w:val="24"/>
                      <w:u w:val="none" w:color="auto"/>
                      <w:lang w:eastAsia="zh-CN"/>
                    </w:rPr>
                    <w:t>依托原有项目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环保工程</w:t>
                  </w:r>
                </w:p>
              </w:tc>
              <w:tc>
                <w:tcPr>
                  <w:tcW w:w="1961"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废水</w:t>
                  </w:r>
                </w:p>
              </w:tc>
              <w:tc>
                <w:tcPr>
                  <w:tcW w:w="6286"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color w:val="auto"/>
                      <w:sz w:val="24"/>
                      <w:szCs w:val="24"/>
                      <w:u w:val="none" w:color="auto"/>
                    </w:rPr>
                    <w:t>雨污分流，雨水进入园区雨水管网；</w:t>
                  </w:r>
                  <w:r>
                    <w:rPr>
                      <w:rFonts w:hint="eastAsia"/>
                      <w:color w:val="auto"/>
                      <w:sz w:val="24"/>
                      <w:szCs w:val="24"/>
                      <w:u w:val="none" w:color="auto"/>
                      <w:lang w:eastAsia="zh-CN"/>
                    </w:rPr>
                    <w:t>生活污水依托原有隔油化粪池处理后达到</w:t>
                  </w:r>
                  <w:r>
                    <w:rPr>
                      <w:bCs/>
                      <w:sz w:val="24"/>
                      <w:u w:val="none" w:color="auto"/>
                    </w:rPr>
                    <w:t>《污水综合排放标准》</w:t>
                  </w:r>
                  <w:r>
                    <w:rPr>
                      <w:rFonts w:hint="eastAsia"/>
                      <w:bCs/>
                      <w:sz w:val="24"/>
                      <w:u w:val="none" w:color="auto"/>
                    </w:rPr>
                    <w:t>（</w:t>
                  </w:r>
                  <w:r>
                    <w:rPr>
                      <w:bCs/>
                      <w:sz w:val="24"/>
                      <w:u w:val="none" w:color="auto"/>
                    </w:rPr>
                    <w:t>GB8978-1996</w:t>
                  </w:r>
                  <w:r>
                    <w:rPr>
                      <w:rFonts w:hint="eastAsia"/>
                      <w:bCs/>
                      <w:sz w:val="24"/>
                      <w:u w:val="none" w:color="auto"/>
                    </w:rPr>
                    <w:t>）中三级标准</w:t>
                  </w:r>
                  <w:r>
                    <w:rPr>
                      <w:rFonts w:hint="eastAsia"/>
                      <w:bCs/>
                      <w:sz w:val="24"/>
                      <w:u w:val="none" w:color="auto"/>
                      <w:lang w:eastAsia="zh-CN"/>
                    </w:rPr>
                    <w:t>后</w:t>
                  </w:r>
                  <w:r>
                    <w:rPr>
                      <w:rFonts w:hint="eastAsia"/>
                      <w:color w:val="auto"/>
                      <w:sz w:val="24"/>
                      <w:szCs w:val="24"/>
                      <w:u w:val="none" w:color="auto"/>
                      <w:lang w:eastAsia="zh-CN"/>
                    </w:rPr>
                    <w:t>排入园区污水管网，进入湘阴县第二污水处理厂</w:t>
                  </w:r>
                  <w:r>
                    <w:rPr>
                      <w:color w:val="auto"/>
                      <w:sz w:val="24"/>
                      <w:szCs w:val="24"/>
                      <w:u w:val="none" w:color="auto"/>
                    </w:rPr>
                    <w:t>，处理达到《城镇污水处理厂污染物排放标准（GB18918—2002）》中一级标准的A类标准后，最终汇入湘江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噪声</w:t>
                  </w:r>
                </w:p>
              </w:tc>
              <w:tc>
                <w:tcPr>
                  <w:tcW w:w="6286"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合理布局，</w:t>
                  </w:r>
                  <w:r>
                    <w:rPr>
                      <w:rFonts w:hint="default" w:ascii="Times New Roman" w:hAnsi="Times New Roman" w:eastAsia="宋体" w:cs="Times New Roman"/>
                      <w:color w:val="auto"/>
                      <w:sz w:val="24"/>
                      <w:szCs w:val="24"/>
                      <w:u w:val="none" w:color="auto"/>
                    </w:rPr>
                    <w:t>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Merge w:val="restart"/>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废气</w:t>
                  </w:r>
                </w:p>
              </w:tc>
              <w:tc>
                <w:tcPr>
                  <w:tcW w:w="6286" w:type="dxa"/>
                  <w:gridSpan w:val="2"/>
                  <w:vAlign w:val="center"/>
                </w:tcPr>
                <w:p>
                  <w:pPr>
                    <w:adjustRightInd w:val="0"/>
                    <w:snapToGrid w:val="0"/>
                    <w:spacing w:line="360" w:lineRule="auto"/>
                    <w:rPr>
                      <w:rFonts w:hint="eastAsia" w:ascii="Times New Roman" w:hAnsi="Times New Roman" w:eastAsia="宋体" w:cs="Times New Roman"/>
                      <w:bCs/>
                      <w:color w:val="auto"/>
                      <w:sz w:val="24"/>
                      <w:szCs w:val="24"/>
                      <w:u w:val="none" w:color="auto"/>
                      <w:lang w:eastAsia="zh-CN"/>
                    </w:rPr>
                  </w:pPr>
                  <w:r>
                    <w:rPr>
                      <w:rFonts w:hint="eastAsia" w:cs="Times New Roman"/>
                      <w:bCs/>
                      <w:color w:val="auto"/>
                      <w:sz w:val="24"/>
                      <w:szCs w:val="24"/>
                      <w:u w:val="none" w:color="auto"/>
                      <w:lang w:eastAsia="zh-CN"/>
                    </w:rPr>
                    <w:t>焊接烟尘经移动式烟尘净化器处理后无组织排放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4"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286" w:type="dxa"/>
                  <w:gridSpan w:val="2"/>
                  <w:tcBorders>
                    <w:top w:val="single" w:color="auto" w:sz="4" w:space="0"/>
                    <w:bottom w:val="single" w:color="auto" w:sz="4" w:space="0"/>
                  </w:tcBorders>
                  <w:vAlign w:val="center"/>
                </w:tcPr>
                <w:p>
                  <w:pPr>
                    <w:adjustRightInd w:val="0"/>
                    <w:snapToGrid w:val="0"/>
                    <w:spacing w:line="360" w:lineRule="auto"/>
                    <w:rPr>
                      <w:rFonts w:hint="eastAsia" w:cs="Times New Roman"/>
                      <w:color w:val="auto"/>
                      <w:sz w:val="24"/>
                      <w:szCs w:val="24"/>
                      <w:u w:val="none" w:color="auto"/>
                      <w:lang w:eastAsia="zh-CN"/>
                    </w:rPr>
                  </w:pPr>
                  <w:r>
                    <w:rPr>
                      <w:rFonts w:hint="eastAsia" w:cs="Times New Roman"/>
                      <w:color w:val="auto"/>
                      <w:sz w:val="24"/>
                      <w:szCs w:val="24"/>
                      <w:u w:val="none" w:color="auto"/>
                      <w:lang w:eastAsia="zh-CN"/>
                    </w:rPr>
                    <w:t>非晶合金变压器内部水分烘烤依托原有项目烤房进行烘烤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1"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286"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lang w:val="en-US"/>
                    </w:rPr>
                  </w:pPr>
                  <w:r>
                    <w:rPr>
                      <w:rFonts w:hint="eastAsia" w:cs="Times New Roman"/>
                      <w:color w:val="auto"/>
                      <w:sz w:val="24"/>
                      <w:szCs w:val="24"/>
                      <w:u w:val="none" w:color="auto"/>
                      <w:lang w:eastAsia="zh-CN"/>
                    </w:rPr>
                    <w:t>非晶合金变压器箱体</w:t>
                  </w:r>
                  <w:r>
                    <w:rPr>
                      <w:rFonts w:hint="default" w:ascii="Times New Roman" w:hAnsi="Times New Roman" w:eastAsia="宋体" w:cs="Times New Roman"/>
                      <w:color w:val="auto"/>
                      <w:sz w:val="24"/>
                      <w:szCs w:val="24"/>
                      <w:u w:val="none" w:color="auto"/>
                    </w:rPr>
                    <w:t>喷漆</w:t>
                  </w:r>
                  <w:r>
                    <w:rPr>
                      <w:rFonts w:hint="eastAsia" w:cs="Times New Roman"/>
                      <w:color w:val="auto"/>
                      <w:sz w:val="24"/>
                      <w:szCs w:val="24"/>
                      <w:u w:val="none" w:color="auto"/>
                      <w:lang w:eastAsia="zh-CN"/>
                    </w:rPr>
                    <w:t>依托原有项目喷漆房进行喷漆，喷漆废气经水帘处理</w:t>
                  </w:r>
                  <w:r>
                    <w:rPr>
                      <w:rFonts w:hint="eastAsia" w:cs="Times New Roman"/>
                      <w:color w:val="auto"/>
                      <w:sz w:val="24"/>
                      <w:szCs w:val="24"/>
                      <w:u w:val="none" w:color="auto"/>
                      <w:lang w:val="en-US" w:eastAsia="zh-CN"/>
                    </w:rPr>
                    <w:t>+活性炭吸附装置处理后由15m高排气筒高空排放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8"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286" w:type="dxa"/>
                  <w:gridSpan w:val="2"/>
                  <w:tcBorders>
                    <w:top w:val="single" w:color="auto" w:sz="4" w:space="0"/>
                    <w:bottom w:val="single" w:color="auto" w:sz="4" w:space="0"/>
                  </w:tcBorders>
                  <w:vAlign w:val="center"/>
                </w:tcPr>
                <w:p>
                  <w:pPr>
                    <w:adjustRightInd w:val="0"/>
                    <w:snapToGrid w:val="0"/>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eastAsia="zh-CN"/>
                    </w:rPr>
                    <w:t>喷塑废气经自带的滤芯回收系统处理后由</w:t>
                  </w:r>
                  <w:r>
                    <w:rPr>
                      <w:rFonts w:hint="eastAsia" w:cs="Times New Roman"/>
                      <w:color w:val="auto"/>
                      <w:sz w:val="24"/>
                      <w:szCs w:val="24"/>
                      <w:u w:val="none" w:color="auto"/>
                      <w:lang w:val="en-US" w:eastAsia="zh-CN"/>
                    </w:rPr>
                    <w:t>15m高排气筒高空排放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4"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6286" w:type="dxa"/>
                  <w:gridSpan w:val="2"/>
                  <w:tcBorders>
                    <w:top w:val="single" w:color="auto" w:sz="4" w:space="0"/>
                    <w:bottom w:val="single" w:color="000000" w:sz="12" w:space="0"/>
                  </w:tcBorders>
                  <w:vAlign w:val="center"/>
                </w:tcPr>
                <w:p>
                  <w:pPr>
                    <w:adjustRightInd w:val="0"/>
                    <w:snapToGrid w:val="0"/>
                    <w:spacing w:line="360" w:lineRule="auto"/>
                    <w:rPr>
                      <w:rFonts w:hint="default" w:ascii="Times New Roman" w:hAnsi="Times New Roman" w:eastAsia="宋体" w:cs="Times New Roman"/>
                      <w:color w:val="auto"/>
                      <w:sz w:val="24"/>
                      <w:szCs w:val="24"/>
                      <w:u w:val="none" w:color="auto"/>
                      <w:lang w:val="en-US" w:eastAsia="zh-CN"/>
                    </w:rPr>
                  </w:pPr>
                  <w:r>
                    <w:rPr>
                      <w:rFonts w:hint="eastAsia" w:cs="Times New Roman"/>
                      <w:color w:val="auto"/>
                      <w:sz w:val="24"/>
                      <w:szCs w:val="24"/>
                      <w:u w:val="none" w:color="auto"/>
                      <w:lang w:eastAsia="zh-CN"/>
                    </w:rPr>
                    <w:t>烘干固化废气经管道收集后通过</w:t>
                  </w:r>
                  <w:r>
                    <w:rPr>
                      <w:rFonts w:hint="eastAsia" w:cs="Times New Roman"/>
                      <w:color w:val="auto"/>
                      <w:sz w:val="24"/>
                      <w:szCs w:val="24"/>
                      <w:u w:val="none" w:color="auto"/>
                      <w:lang w:val="en-US" w:eastAsia="zh-CN"/>
                    </w:rPr>
                    <w:t>活性炭吸附装置（喷漆废气现有装置）处理后和喷漆废气经同一根排气筒高空排放（项目喷塑烘干为电加热烘干）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p>
              </w:tc>
              <w:tc>
                <w:tcPr>
                  <w:tcW w:w="1961"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4"/>
                      <w:szCs w:val="24"/>
                      <w:u w:val="none" w:color="auto"/>
                    </w:rPr>
                  </w:pPr>
                  <w:r>
                    <w:rPr>
                      <w:rFonts w:hint="default" w:ascii="Times New Roman" w:hAnsi="Times New Roman" w:eastAsia="宋体" w:cs="Times New Roman"/>
                      <w:bCs/>
                      <w:color w:val="auto"/>
                      <w:sz w:val="24"/>
                      <w:szCs w:val="24"/>
                      <w:u w:val="none" w:color="auto"/>
                    </w:rPr>
                    <w:t>固废</w:t>
                  </w:r>
                </w:p>
              </w:tc>
              <w:tc>
                <w:tcPr>
                  <w:tcW w:w="6286" w:type="dxa"/>
                  <w:gridSpan w:val="2"/>
                  <w:vAlign w:val="center"/>
                </w:tcPr>
                <w:p>
                  <w:pPr>
                    <w:adjustRightInd w:val="0"/>
                    <w:snapToGrid w:val="0"/>
                    <w:spacing w:line="360" w:lineRule="auto"/>
                    <w:rPr>
                      <w:rFonts w:hint="default" w:ascii="Times New Roman" w:hAnsi="Times New Roman" w:eastAsia="宋体" w:cs="Times New Roman"/>
                      <w:bCs/>
                      <w:color w:val="auto"/>
                      <w:sz w:val="24"/>
                      <w:szCs w:val="24"/>
                      <w:u w:val="none" w:color="auto"/>
                    </w:rPr>
                  </w:pPr>
                  <w:r>
                    <w:rPr>
                      <w:rFonts w:hint="eastAsia" w:cs="Times New Roman"/>
                      <w:bCs/>
                      <w:color w:val="auto"/>
                      <w:sz w:val="24"/>
                      <w:szCs w:val="24"/>
                      <w:u w:val="none" w:color="auto"/>
                      <w:lang w:eastAsia="zh-CN"/>
                    </w:rPr>
                    <w:t>生活垃圾依托原有</w:t>
                  </w:r>
                  <w:r>
                    <w:rPr>
                      <w:rFonts w:hint="default" w:ascii="Times New Roman" w:hAnsi="Times New Roman" w:eastAsia="宋体" w:cs="Times New Roman"/>
                      <w:bCs/>
                      <w:color w:val="auto"/>
                      <w:sz w:val="24"/>
                      <w:szCs w:val="24"/>
                      <w:u w:val="none" w:color="auto"/>
                    </w:rPr>
                    <w:t>垃圾收集箱</w:t>
                  </w:r>
                  <w:r>
                    <w:rPr>
                      <w:rFonts w:hint="eastAsia" w:cs="Times New Roman"/>
                      <w:bCs/>
                      <w:color w:val="auto"/>
                      <w:sz w:val="24"/>
                      <w:szCs w:val="24"/>
                      <w:u w:val="none" w:color="auto"/>
                      <w:lang w:eastAsia="zh-CN"/>
                    </w:rPr>
                    <w:t>收集及处置</w:t>
                  </w:r>
                  <w:r>
                    <w:rPr>
                      <w:rFonts w:hint="default" w:ascii="Times New Roman" w:hAnsi="Times New Roman" w:eastAsia="宋体" w:cs="Times New Roman"/>
                      <w:bCs/>
                      <w:color w:val="auto"/>
                      <w:sz w:val="24"/>
                      <w:szCs w:val="24"/>
                      <w:u w:val="none" w:color="auto"/>
                    </w:rPr>
                    <w:t>，</w:t>
                  </w:r>
                  <w:r>
                    <w:rPr>
                      <w:rFonts w:hint="eastAsia" w:cs="Times New Roman"/>
                      <w:bCs/>
                      <w:color w:val="auto"/>
                      <w:sz w:val="24"/>
                      <w:szCs w:val="24"/>
                      <w:u w:val="none" w:color="auto"/>
                      <w:lang w:eastAsia="zh-CN"/>
                    </w:rPr>
                    <w:t>危险废物依托原有危险废物</w:t>
                  </w:r>
                  <w:r>
                    <w:rPr>
                      <w:rFonts w:hint="default" w:ascii="Times New Roman" w:hAnsi="Times New Roman" w:eastAsia="宋体" w:cs="Times New Roman"/>
                      <w:bCs/>
                      <w:color w:val="auto"/>
                      <w:sz w:val="24"/>
                      <w:szCs w:val="24"/>
                      <w:u w:val="none" w:color="auto"/>
                    </w:rPr>
                    <w:t>暂存间（</w:t>
                  </w:r>
                  <w:r>
                    <w:rPr>
                      <w:rFonts w:hint="eastAsia" w:cs="Times New Roman"/>
                      <w:bCs/>
                      <w:color w:val="auto"/>
                      <w:sz w:val="24"/>
                      <w:szCs w:val="24"/>
                      <w:u w:val="none" w:color="auto"/>
                      <w:lang w:eastAsia="zh-CN"/>
                    </w:rPr>
                    <w:t>位于厂房三东侧</w:t>
                  </w:r>
                  <w:r>
                    <w:rPr>
                      <w:rFonts w:hint="default" w:ascii="Times New Roman" w:hAnsi="Times New Roman" w:eastAsia="宋体" w:cs="Times New Roman"/>
                      <w:bCs/>
                      <w:color w:val="auto"/>
                      <w:sz w:val="24"/>
                      <w:szCs w:val="24"/>
                      <w:u w:val="none" w:color="auto"/>
                    </w:rPr>
                    <w:t>）</w:t>
                  </w:r>
                  <w:r>
                    <w:rPr>
                      <w:rFonts w:hint="eastAsia" w:cs="Times New Roman"/>
                      <w:bCs/>
                      <w:color w:val="auto"/>
                      <w:sz w:val="24"/>
                      <w:szCs w:val="24"/>
                      <w:u w:val="none" w:color="auto"/>
                      <w:lang w:eastAsia="zh-CN"/>
                    </w:rPr>
                    <w:t>收集及处置、一般固废依托原有一般固废堆放区进行收集及处置</w:t>
                  </w:r>
                </w:p>
              </w:tc>
            </w:tr>
          </w:tbl>
          <w:p>
            <w:pPr>
              <w:adjustRightInd w:val="0"/>
              <w:snapToGrid w:val="0"/>
              <w:spacing w:line="360" w:lineRule="auto"/>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4、主要生产设备</w:t>
            </w:r>
          </w:p>
          <w:p>
            <w:pPr>
              <w:pStyle w:val="170"/>
              <w:shd w:val="clear" w:color="auto" w:fill="FFFFFF"/>
              <w:spacing w:before="0" w:beforeLines="0" w:after="0" w:afterLines="0" w:line="360" w:lineRule="auto"/>
              <w:ind w:firstLine="480" w:firstLineChars="200"/>
              <w:jc w:val="left"/>
              <w:rPr>
                <w:rFonts w:hint="default" w:ascii="Times New Roman" w:hAnsi="Times New Roman" w:cs="Times New Roman"/>
                <w:color w:val="auto"/>
                <w:u w:val="none" w:color="auto"/>
              </w:rPr>
            </w:pPr>
            <w:r>
              <w:rPr>
                <w:rFonts w:hint="default" w:ascii="Times New Roman" w:hAnsi="Times New Roman" w:eastAsia="宋体" w:cs="Times New Roman"/>
                <w:color w:val="auto"/>
                <w:u w:val="none" w:color="auto"/>
              </w:rPr>
              <w:t>主要生产设备数量及型号见表</w:t>
            </w:r>
            <w:r>
              <w:rPr>
                <w:rFonts w:hint="default" w:ascii="Times New Roman" w:hAnsi="Times New Roman" w:cs="Times New Roman"/>
                <w:color w:val="auto"/>
                <w:u w:val="none" w:color="auto"/>
              </w:rPr>
              <w:t>1-</w:t>
            </w:r>
            <w:r>
              <w:rPr>
                <w:rFonts w:hint="eastAsia" w:cs="Times New Roman"/>
                <w:color w:val="auto"/>
                <w:u w:val="none" w:color="auto"/>
                <w:lang w:val="en-US" w:eastAsia="zh-CN"/>
              </w:rPr>
              <w:t>2</w:t>
            </w:r>
            <w:r>
              <w:rPr>
                <w:rFonts w:hint="default" w:ascii="Times New Roman" w:hAnsi="Times New Roman" w:cs="Times New Roman"/>
                <w:color w:val="auto"/>
                <w:u w:val="none" w:color="auto"/>
              </w:rPr>
              <w:t>。</w:t>
            </w:r>
          </w:p>
          <w:p>
            <w:pPr>
              <w:pStyle w:val="34"/>
              <w:jc w:val="center"/>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表1-</w:t>
            </w:r>
            <w:r>
              <w:rPr>
                <w:rFonts w:hint="eastAsia" w:cs="Times New Roman"/>
                <w:b/>
                <w:color w:val="auto"/>
                <w:sz w:val="24"/>
                <w:u w:val="none" w:color="auto"/>
                <w:lang w:val="en-US" w:eastAsia="zh-CN"/>
              </w:rPr>
              <w:t>2</w:t>
            </w:r>
            <w:r>
              <w:rPr>
                <w:rFonts w:hint="default" w:ascii="Times New Roman" w:hAnsi="Times New Roman" w:cs="Times New Roman"/>
                <w:b/>
                <w:color w:val="auto"/>
                <w:sz w:val="24"/>
                <w:u w:val="none" w:color="auto"/>
              </w:rPr>
              <w:t xml:space="preserve">  </w:t>
            </w:r>
            <w:r>
              <w:rPr>
                <w:rFonts w:hint="eastAsia" w:cs="Times New Roman"/>
                <w:b/>
                <w:color w:val="auto"/>
                <w:sz w:val="24"/>
                <w:u w:val="none" w:color="auto"/>
                <w:lang w:eastAsia="zh-CN"/>
              </w:rPr>
              <w:t>扩建项目</w:t>
            </w:r>
            <w:r>
              <w:rPr>
                <w:rFonts w:hint="default" w:ascii="Times New Roman" w:hAnsi="Times New Roman" w:cs="Times New Roman"/>
                <w:b/>
                <w:color w:val="auto"/>
                <w:sz w:val="24"/>
                <w:u w:val="none" w:color="auto"/>
              </w:rPr>
              <w:t>主要生产设备一览表</w:t>
            </w:r>
          </w:p>
          <w:tbl>
            <w:tblPr>
              <w:tblStyle w:val="40"/>
              <w:tblW w:w="0" w:type="auto"/>
              <w:jc w:val="center"/>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16"/>
              <w:gridCol w:w="1808"/>
              <w:gridCol w:w="682"/>
              <w:gridCol w:w="850"/>
              <w:gridCol w:w="2223"/>
              <w:gridCol w:w="1919"/>
            </w:tblGrid>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设备名称</w:t>
                  </w:r>
                </w:p>
              </w:tc>
              <w:tc>
                <w:tcPr>
                  <w:tcW w:w="1808" w:type="dxa"/>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设备型号</w:t>
                  </w:r>
                </w:p>
              </w:tc>
              <w:tc>
                <w:tcPr>
                  <w:tcW w:w="682" w:type="dxa"/>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数量</w:t>
                  </w:r>
                </w:p>
              </w:tc>
              <w:tc>
                <w:tcPr>
                  <w:tcW w:w="850" w:type="dxa"/>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使用</w:t>
                  </w:r>
                </w:p>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年限</w:t>
                  </w:r>
                </w:p>
              </w:tc>
              <w:tc>
                <w:tcPr>
                  <w:tcW w:w="2223" w:type="dxa"/>
                  <w:tcBorders>
                    <w:top w:val="double" w:color="auto" w:sz="2"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制造商</w:t>
                  </w:r>
                </w:p>
              </w:tc>
              <w:tc>
                <w:tcPr>
                  <w:tcW w:w="1919" w:type="dxa"/>
                  <w:tcBorders>
                    <w:top w:val="double" w:color="auto" w:sz="2" w:space="0"/>
                    <w:left w:val="nil"/>
                    <w:bottom w:val="single" w:color="000000" w:sz="4" w:space="0"/>
                    <w:right w:val="nil"/>
                  </w:tcBorders>
                  <w:noWrap w:val="0"/>
                  <w:vAlign w:val="center"/>
                </w:tcPr>
                <w:p>
                  <w:pPr>
                    <w:jc w:val="center"/>
                    <w:rPr>
                      <w:rFonts w:hint="default" w:ascii="Times New Roman" w:hAnsi="Times New Roman" w:eastAsia="宋体" w:cs="Times New Roman"/>
                      <w:b/>
                      <w:bCs/>
                      <w:sz w:val="22"/>
                      <w:szCs w:val="22"/>
                      <w:u w:val="none" w:color="auto"/>
                    </w:rPr>
                  </w:pPr>
                  <w:r>
                    <w:rPr>
                      <w:rFonts w:hint="default" w:ascii="Times New Roman" w:hAnsi="Times New Roman" w:eastAsia="宋体" w:cs="Times New Roman"/>
                      <w:b/>
                      <w:bCs/>
                      <w:sz w:val="22"/>
                      <w:szCs w:val="22"/>
                      <w:u w:val="none" w:color="auto"/>
                    </w:rPr>
                    <w:t>保障产品工艺质量的作用</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仿形切割机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CG1-150</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长沙坤泰机电有限公司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保障切割精确度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液压闸式剪板机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QC11Y-8*2500</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南通特兴机械有限公司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保障外壳及油箱钢板</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圆剪机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JY-3*1000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上海快业特电气股份有限公司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剪绝缘纸板</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纵剪机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J82-1</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上海申江机械厂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硅钢片开料</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Q11-3*120</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3</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北京力神机床厂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剪绝缘纸板</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Q11-3*1200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湖南电机厂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剪切钢板、绝缘纸板</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Q11-3*1500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湖北崇机锻压机床厂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剪切钢板、绝缘纸板</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Q11-3*1800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湖南电机厂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剪切钢板、绝缘纸板</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液压板料折弯机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WC67Y.100/2500</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南通瑞力剪折机床制造有限</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保障油箱加工精度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立式圈绕机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RX-4</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苏州金阳光机电</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保障线圈绕制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绕线机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RX02-1510</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8</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沈阳电工机械厂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绕制线圈</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单层箔绕机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DHR-4-1400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慈溪市大华电器有限公司</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保障线圈绕制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高压自动绕线机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DHZR-800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慈溪市大华电器有限公司</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保障线圈绕制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高低压绕线机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DHR-2T</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慈溪市大华电器有限公司</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保障线圈绕制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高低压绕线机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DHR-1T</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慈溪市大华电器有限公司</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保障线圈绕制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多功能母线加工机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BN303-S-3-SPI</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山东高机工业机械有限公司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加工成套设备</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车床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C6140A</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佛山台佳数控机床有限公司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保障绝缘件加工精度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电火花数控线切割机床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M4A</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泰州市四海数控机床厂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保障油箱加工精度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钻铣两用数控机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Q11-3*120</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佛山台佳数控机床有限公司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保障油箱配件加工精度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钻铣机床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ZX32</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江西重型机床厂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保障油箱工艺</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冲压机床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J23-16A</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4</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长沙机床厂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保障电气性能</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冲压机床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J23-6.3A</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长沙机床厂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保障电气性能</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开式双柱可倾压力机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J23-25</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广州锻压机床厂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电动单梁起重机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LD5T-13.5M</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3</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河南省矿山起重机有限公司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保障器身、油箱质量</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双梁桥式起重机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QD20T-16.5M</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河南省矿山起重机有限公司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保障器身、油箱质量</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电动单梁起重机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LD5T-16.5M</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河南省矿山起重机有限公司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保障器身、油箱质量</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电动单梁起重机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LD3T-16.5M</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河南省矿山起重机有限公司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保障器身、油箱质量</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摇臂钻床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Z3025*10</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重庆长江机床厂</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保障油箱工艺</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台式多用钻床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Z516-2A</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4</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上海金锋机械厂</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机械加工</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立式钻床</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Z5150A</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ind w:firstLine="330" w:firstLineChars="150"/>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湖北第三机床厂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机械加工</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木工多用机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TYPE</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威海机械有限公司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保障绝缘件尺寸和光洁度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1"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热压机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无</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自制</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保障纸板强度</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铁芯翻转台</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无</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自制</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保障铁芯叠装质量</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瓦楞机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无</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上海宏舟电气科技厂</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冷、热压线圈内部散热油道绝缘件</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变压器专用固化炉</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宁波甬保烘箱制造有限公司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对线圈和器身进行烘烤</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电热鼓风干燥箱</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CHD-4AG</w:t>
                  </w:r>
                </w:p>
              </w:tc>
              <w:tc>
                <w:tcPr>
                  <w:tcW w:w="682"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snapToGrid w:val="0"/>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浙江慈溪市烘箱厂</w:t>
                  </w:r>
                </w:p>
              </w:tc>
              <w:tc>
                <w:tcPr>
                  <w:tcW w:w="1919" w:type="dxa"/>
                  <w:tcBorders>
                    <w:top w:val="single" w:color="000000" w:sz="4" w:space="0"/>
                    <w:left w:val="nil"/>
                    <w:bottom w:val="single" w:color="000000" w:sz="4" w:space="0"/>
                    <w:right w:val="nil"/>
                  </w:tcBorders>
                  <w:noWrap w:val="0"/>
                  <w:vAlign w:val="center"/>
                </w:tcPr>
                <w:p>
                  <w:pPr>
                    <w:snapToGrid w:val="0"/>
                    <w:jc w:val="center"/>
                    <w:rPr>
                      <w:rFonts w:hint="eastAsia" w:ascii="Times New Roman" w:hAnsi="Times New Roman" w:eastAsia="宋体" w:cs="Times New Roman"/>
                      <w:sz w:val="22"/>
                      <w:szCs w:val="22"/>
                      <w:u w:val="none" w:color="auto"/>
                      <w:lang w:eastAsia="zh-CN"/>
                    </w:rPr>
                  </w:pPr>
                  <w:r>
                    <w:rPr>
                      <w:rFonts w:hint="default" w:ascii="Times New Roman" w:hAnsi="Times New Roman" w:eastAsia="宋体" w:cs="Times New Roman"/>
                      <w:sz w:val="22"/>
                      <w:szCs w:val="22"/>
                      <w:u w:val="none" w:color="auto"/>
                    </w:rPr>
                    <w:t>对线圈和器身进行烘烤</w:t>
                  </w:r>
                </w:p>
              </w:tc>
            </w:tr>
            <w:tr>
              <w:tblPrEx>
                <w:tblBorders>
                  <w:top w:val="double" w:color="auto" w:sz="2" w:space="0"/>
                  <w:left w:val="none" w:color="auto" w:sz="0" w:space="0"/>
                  <w:bottom w:val="double" w:color="auto" w:sz="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66" w:hRule="atLeast"/>
                <w:jc w:val="center"/>
              </w:trPr>
              <w:tc>
                <w:tcPr>
                  <w:tcW w:w="1616"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真空滤油机</w:t>
                  </w:r>
                </w:p>
              </w:tc>
              <w:tc>
                <w:tcPr>
                  <w:tcW w:w="1808"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ZJR-1.8KY</w:t>
                  </w:r>
                </w:p>
              </w:tc>
              <w:tc>
                <w:tcPr>
                  <w:tcW w:w="682"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1</w:t>
                  </w:r>
                </w:p>
              </w:tc>
              <w:tc>
                <w:tcPr>
                  <w:tcW w:w="850"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20</w:t>
                  </w:r>
                </w:p>
              </w:tc>
              <w:tc>
                <w:tcPr>
                  <w:tcW w:w="2223" w:type="dxa"/>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重庆渝能滤油机制造有限公司</w:t>
                  </w:r>
                </w:p>
              </w:tc>
              <w:tc>
                <w:tcPr>
                  <w:tcW w:w="1919" w:type="dxa"/>
                  <w:tcBorders>
                    <w:top w:val="single" w:color="000000" w:sz="4" w:space="0"/>
                    <w:left w:val="nil"/>
                    <w:bottom w:val="single" w:color="000000" w:sz="4" w:space="0"/>
                    <w:right w:val="nil"/>
                  </w:tcBorders>
                  <w:noWrap w:val="0"/>
                  <w:vAlign w:val="center"/>
                </w:tcPr>
                <w:p>
                  <w:pPr>
                    <w:jc w:val="center"/>
                    <w:rPr>
                      <w:rFonts w:hint="default" w:ascii="Times New Roman" w:hAnsi="Times New Roman" w:eastAsia="宋体" w:cs="Times New Roman"/>
                      <w:sz w:val="22"/>
                      <w:szCs w:val="22"/>
                      <w:u w:val="none" w:color="auto"/>
                    </w:rPr>
                  </w:pPr>
                  <w:r>
                    <w:rPr>
                      <w:rFonts w:hint="default" w:ascii="Times New Roman" w:hAnsi="Times New Roman" w:eastAsia="宋体" w:cs="Times New Roman"/>
                      <w:sz w:val="22"/>
                      <w:szCs w:val="22"/>
                      <w:u w:val="none" w:color="auto"/>
                    </w:rPr>
                    <w:t>保障绝缘性能</w:t>
                  </w:r>
                </w:p>
              </w:tc>
            </w:tr>
          </w:tbl>
          <w:p>
            <w:pPr>
              <w:ind w:firstLine="482" w:firstLineChars="200"/>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5、产品方案及原辅材料消耗</w:t>
            </w:r>
          </w:p>
          <w:p>
            <w:pPr>
              <w:spacing w:line="500" w:lineRule="exact"/>
              <w:ind w:firstLine="480"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（1）产品方案见表1-</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w:t>
            </w:r>
          </w:p>
          <w:p>
            <w:pPr>
              <w:jc w:val="center"/>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表1-</w:t>
            </w:r>
            <w:r>
              <w:rPr>
                <w:rFonts w:hint="eastAsia" w:cs="Times New Roman"/>
                <w:b/>
                <w:bCs/>
                <w:color w:val="auto"/>
                <w:sz w:val="24"/>
                <w:szCs w:val="24"/>
                <w:u w:val="none" w:color="auto"/>
                <w:lang w:val="en-US" w:eastAsia="zh-CN"/>
              </w:rPr>
              <w:t>3</w:t>
            </w:r>
            <w:r>
              <w:rPr>
                <w:rFonts w:hint="default" w:ascii="Times New Roman" w:hAnsi="Times New Roman" w:cs="Times New Roman"/>
                <w:b/>
                <w:bCs/>
                <w:color w:val="auto"/>
                <w:sz w:val="24"/>
                <w:szCs w:val="24"/>
                <w:u w:val="none" w:color="auto"/>
              </w:rPr>
              <w:t xml:space="preserve">  产品方案一览表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904"/>
              <w:gridCol w:w="31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3255" w:type="pct"/>
                  <w:vAlign w:val="center"/>
                </w:tcPr>
                <w:p>
                  <w:pPr>
                    <w:pStyle w:val="169"/>
                    <w:spacing w:line="360" w:lineRule="auto"/>
                    <w:rPr>
                      <w:rFonts w:hint="default" w:ascii="Times New Roman" w:hAnsi="Times New Roman" w:eastAsia="宋体" w:cs="Times New Roman"/>
                      <w:color w:val="auto"/>
                      <w:sz w:val="24"/>
                      <w:szCs w:val="24"/>
                      <w:u w:val="none" w:color="auto"/>
                      <w:lang w:val="en-US" w:eastAsia="zh-CN"/>
                    </w:rPr>
                  </w:pPr>
                  <w:r>
                    <w:rPr>
                      <w:rFonts w:hint="default" w:ascii="Times New Roman" w:hAnsi="Times New Roman" w:cs="Times New Roman"/>
                      <w:b/>
                      <w:color w:val="auto"/>
                      <w:sz w:val="24"/>
                      <w:szCs w:val="24"/>
                      <w:u w:val="none" w:color="auto"/>
                    </w:rPr>
                    <w:t>产品名称</w:t>
                  </w:r>
                </w:p>
              </w:tc>
              <w:tc>
                <w:tcPr>
                  <w:tcW w:w="1744" w:type="pct"/>
                  <w:vAlign w:val="center"/>
                </w:tcPr>
                <w:p>
                  <w:pPr>
                    <w:pStyle w:val="169"/>
                    <w:spacing w:line="360" w:lineRule="auto"/>
                    <w:rPr>
                      <w:rFonts w:hint="eastAsia" w:cs="Times New Roman"/>
                      <w:color w:val="auto"/>
                      <w:sz w:val="24"/>
                      <w:szCs w:val="24"/>
                      <w:u w:val="none" w:color="auto"/>
                      <w:lang w:val="en-US" w:eastAsia="zh-CN"/>
                    </w:rPr>
                  </w:pPr>
                  <w:r>
                    <w:rPr>
                      <w:rFonts w:hint="default" w:ascii="Times New Roman" w:hAnsi="Times New Roman" w:cs="Times New Roman"/>
                      <w:b/>
                      <w:color w:val="auto"/>
                      <w:sz w:val="24"/>
                      <w:szCs w:val="24"/>
                      <w:u w:val="none" w:color="auto"/>
                    </w:rPr>
                    <w:t>年</w:t>
                  </w:r>
                  <w:r>
                    <w:rPr>
                      <w:rFonts w:hint="eastAsia" w:cs="Times New Roman"/>
                      <w:b/>
                      <w:color w:val="auto"/>
                      <w:sz w:val="24"/>
                      <w:szCs w:val="24"/>
                      <w:u w:val="none" w:color="auto"/>
                      <w:lang w:eastAsia="zh-CN"/>
                    </w:rPr>
                    <w:t>产量（台）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64" w:hRule="atLeast"/>
                <w:jc w:val="center"/>
              </w:trPr>
              <w:tc>
                <w:tcPr>
                  <w:tcW w:w="3255" w:type="pct"/>
                  <w:vAlign w:val="center"/>
                </w:tcPr>
                <w:p>
                  <w:pPr>
                    <w:pStyle w:val="169"/>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SH15系列非晶合金变压器</w:t>
                  </w:r>
                </w:p>
              </w:tc>
              <w:tc>
                <w:tcPr>
                  <w:tcW w:w="1744" w:type="pct"/>
                  <w:vAlign w:val="center"/>
                </w:tcPr>
                <w:p>
                  <w:pPr>
                    <w:pStyle w:val="169"/>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jc w:val="center"/>
              </w:trPr>
              <w:tc>
                <w:tcPr>
                  <w:tcW w:w="3255" w:type="pct"/>
                  <w:vAlign w:val="center"/>
                </w:tcPr>
                <w:p>
                  <w:pPr>
                    <w:pStyle w:val="169"/>
                    <w:spacing w:line="360" w:lineRule="auto"/>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高压真空环网开关设备</w:t>
                  </w:r>
                </w:p>
              </w:tc>
              <w:tc>
                <w:tcPr>
                  <w:tcW w:w="1744" w:type="pct"/>
                  <w:vAlign w:val="center"/>
                </w:tcPr>
                <w:p>
                  <w:pPr>
                    <w:pStyle w:val="169"/>
                    <w:spacing w:line="360" w:lineRule="auto"/>
                    <w:rPr>
                      <w:rFonts w:hint="default" w:cs="Times New Roman"/>
                      <w:color w:val="auto"/>
                      <w:sz w:val="24"/>
                      <w:szCs w:val="24"/>
                      <w:u w:val="none" w:color="auto"/>
                      <w:lang w:val="en-US" w:eastAsia="zh-CN"/>
                    </w:rPr>
                  </w:pPr>
                  <w:r>
                    <w:rPr>
                      <w:rFonts w:hint="eastAsia" w:cs="Times New Roman"/>
                      <w:color w:val="auto"/>
                      <w:sz w:val="24"/>
                      <w:szCs w:val="24"/>
                      <w:u w:val="none" w:color="auto"/>
                      <w:lang w:val="en-US" w:eastAsia="zh-CN"/>
                    </w:rPr>
                    <w:t>300</w:t>
                  </w:r>
                </w:p>
              </w:tc>
            </w:tr>
          </w:tbl>
          <w:p>
            <w:pPr>
              <w:pStyle w:val="171"/>
              <w:ind w:firstLine="480"/>
              <w:rPr>
                <w:rFonts w:hint="default" w:ascii="Times New Roman" w:hAnsi="Times New Roman" w:eastAsia="宋体" w:cs="Times New Roman"/>
                <w:b/>
                <w:color w:val="auto"/>
                <w:u w:val="single" w:color="auto"/>
              </w:rPr>
            </w:pPr>
            <w:r>
              <w:rPr>
                <w:rFonts w:hint="default" w:ascii="Times New Roman" w:hAnsi="Times New Roman" w:cs="Times New Roman"/>
                <w:color w:val="auto"/>
                <w:u w:val="single" w:color="auto"/>
              </w:rPr>
              <w:t>（2）主要的原材料</w:t>
            </w:r>
            <w:r>
              <w:rPr>
                <w:rFonts w:hint="eastAsia" w:cs="Times New Roman"/>
                <w:color w:val="auto"/>
                <w:u w:val="single" w:color="auto"/>
                <w:lang w:eastAsia="zh-CN"/>
              </w:rPr>
              <w:t>及能源</w:t>
            </w:r>
            <w:r>
              <w:rPr>
                <w:rFonts w:hint="default" w:ascii="Times New Roman" w:hAnsi="Times New Roman" w:cs="Times New Roman"/>
                <w:color w:val="auto"/>
                <w:u w:val="single" w:color="auto"/>
              </w:rPr>
              <w:t>消耗情况详见表1</w:t>
            </w:r>
            <w:r>
              <w:rPr>
                <w:rFonts w:hint="eastAsia" w:cs="Times New Roman"/>
                <w:color w:val="auto"/>
                <w:u w:val="single" w:color="auto"/>
                <w:lang w:val="en-US" w:eastAsia="zh-CN"/>
              </w:rPr>
              <w:t>-4</w:t>
            </w:r>
            <w:r>
              <w:rPr>
                <w:rFonts w:hint="default" w:ascii="Times New Roman" w:hAnsi="Times New Roman" w:cs="Times New Roman"/>
                <w:color w:val="auto"/>
                <w:u w:val="single" w:color="auto"/>
              </w:rPr>
              <w:t xml:space="preserve">。 </w:t>
            </w:r>
          </w:p>
          <w:p>
            <w:pPr>
              <w:pStyle w:val="170"/>
              <w:spacing w:before="0" w:beforeLines="0" w:after="0" w:afterLines="0" w:line="240" w:lineRule="auto"/>
              <w:rPr>
                <w:rFonts w:hint="default" w:ascii="Times New Roman" w:hAnsi="Times New Roman" w:eastAsia="宋体" w:cs="Times New Roman"/>
                <w:b/>
                <w:color w:val="auto"/>
                <w:u w:val="single" w:color="auto"/>
              </w:rPr>
            </w:pPr>
            <w:r>
              <w:rPr>
                <w:rFonts w:hint="default" w:ascii="Times New Roman" w:hAnsi="Times New Roman" w:eastAsia="宋体" w:cs="Times New Roman"/>
                <w:b/>
                <w:color w:val="auto"/>
                <w:u w:val="single" w:color="auto"/>
              </w:rPr>
              <w:t>表1-</w:t>
            </w:r>
            <w:r>
              <w:rPr>
                <w:rFonts w:hint="eastAsia" w:eastAsia="宋体" w:cs="Times New Roman"/>
                <w:b/>
                <w:color w:val="auto"/>
                <w:u w:val="single" w:color="auto"/>
                <w:lang w:val="en-US" w:eastAsia="zh-CN"/>
              </w:rPr>
              <w:t>4</w:t>
            </w:r>
            <w:r>
              <w:rPr>
                <w:rFonts w:hint="default" w:ascii="Times New Roman" w:hAnsi="Times New Roman" w:eastAsia="宋体" w:cs="Times New Roman"/>
                <w:b/>
                <w:color w:val="auto"/>
                <w:u w:val="single" w:color="auto"/>
              </w:rPr>
              <w:t xml:space="preserve">  主要原辅材料</w:t>
            </w:r>
            <w:r>
              <w:rPr>
                <w:rFonts w:hint="eastAsia" w:eastAsia="宋体" w:cs="Times New Roman"/>
                <w:b/>
                <w:color w:val="auto"/>
                <w:u w:val="single" w:color="auto"/>
                <w:lang w:eastAsia="zh-CN"/>
              </w:rPr>
              <w:t>及能源</w:t>
            </w:r>
            <w:r>
              <w:rPr>
                <w:rFonts w:hint="default" w:ascii="Times New Roman" w:hAnsi="Times New Roman" w:eastAsia="宋体" w:cs="Times New Roman"/>
                <w:b/>
                <w:color w:val="auto"/>
                <w:u w:val="single" w:color="auto"/>
              </w:rPr>
              <w:t>消耗一览表</w:t>
            </w:r>
          </w:p>
          <w:tbl>
            <w:tblPr>
              <w:tblStyle w:val="4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99"/>
              <w:gridCol w:w="1947"/>
              <w:gridCol w:w="2074"/>
              <w:gridCol w:w="20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6" w:hRule="atLeast"/>
                <w:tblHeader/>
              </w:trPr>
              <w:tc>
                <w:tcPr>
                  <w:tcW w:w="2729" w:type="pct"/>
                  <w:gridSpan w:val="2"/>
                  <w:tcBorders>
                    <w:tl2br w:val="nil"/>
                    <w:tr2bl w:val="nil"/>
                  </w:tcBorders>
                  <w:vAlign w:val="center"/>
                </w:tcPr>
                <w:p>
                  <w:pPr>
                    <w:pStyle w:val="170"/>
                    <w:spacing w:before="48" w:after="48" w:line="360" w:lineRule="auto"/>
                    <w:jc w:val="center"/>
                    <w:rPr>
                      <w:rFonts w:hint="eastAsia" w:ascii="Times New Roman" w:hAnsi="Times New Roman" w:eastAsia="宋体" w:cs="Times New Roman"/>
                      <w:b/>
                      <w:color w:val="auto"/>
                      <w:sz w:val="22"/>
                      <w:szCs w:val="22"/>
                      <w:u w:val="single" w:color="auto"/>
                      <w:lang w:eastAsia="zh-CN"/>
                    </w:rPr>
                  </w:pPr>
                  <w:r>
                    <w:rPr>
                      <w:rFonts w:hint="eastAsia" w:eastAsia="宋体" w:cs="Times New Roman"/>
                      <w:b/>
                      <w:color w:val="auto"/>
                      <w:sz w:val="22"/>
                      <w:szCs w:val="22"/>
                      <w:u w:val="single" w:color="auto"/>
                      <w:lang w:eastAsia="zh-CN"/>
                    </w:rPr>
                    <w:t>扩建项目（非晶合金变压器）</w:t>
                  </w:r>
                </w:p>
              </w:tc>
              <w:tc>
                <w:tcPr>
                  <w:tcW w:w="2270" w:type="pct"/>
                  <w:gridSpan w:val="2"/>
                  <w:tcBorders>
                    <w:tl2br w:val="nil"/>
                    <w:tr2bl w:val="nil"/>
                  </w:tcBorders>
                  <w:vAlign w:val="center"/>
                </w:tcPr>
                <w:p>
                  <w:pPr>
                    <w:pStyle w:val="170"/>
                    <w:spacing w:before="48" w:after="48" w:line="360" w:lineRule="auto"/>
                    <w:jc w:val="center"/>
                    <w:rPr>
                      <w:rFonts w:hint="eastAsia" w:eastAsia="宋体" w:cs="Times New Roman"/>
                      <w:b/>
                      <w:color w:val="auto"/>
                      <w:sz w:val="22"/>
                      <w:szCs w:val="22"/>
                      <w:u w:val="single" w:color="auto"/>
                      <w:lang w:eastAsia="zh-CN"/>
                    </w:rPr>
                  </w:pPr>
                  <w:r>
                    <w:rPr>
                      <w:rFonts w:hint="eastAsia" w:eastAsia="宋体" w:cs="Times New Roman"/>
                      <w:b/>
                      <w:color w:val="auto"/>
                      <w:sz w:val="22"/>
                      <w:szCs w:val="22"/>
                      <w:u w:val="single" w:color="auto"/>
                      <w:lang w:eastAsia="zh-CN"/>
                    </w:rPr>
                    <w:t>扩建项目（高压真空开关环网设备）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55"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名称</w:t>
                  </w:r>
                </w:p>
              </w:tc>
              <w:tc>
                <w:tcPr>
                  <w:tcW w:w="1074"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年用量</w:t>
                  </w:r>
                  <w:r>
                    <w:rPr>
                      <w:rFonts w:hint="eastAsia" w:eastAsia="宋体" w:cs="Times New Roman"/>
                      <w:b/>
                      <w:color w:val="auto"/>
                      <w:sz w:val="22"/>
                      <w:szCs w:val="22"/>
                      <w:u w:val="single" w:color="auto"/>
                      <w:lang w:eastAsia="zh-CN"/>
                    </w:rPr>
                    <w:t>（</w:t>
                  </w:r>
                  <w:r>
                    <w:rPr>
                      <w:rFonts w:hint="eastAsia" w:eastAsia="宋体" w:cs="Times New Roman"/>
                      <w:b/>
                      <w:color w:val="auto"/>
                      <w:sz w:val="22"/>
                      <w:szCs w:val="22"/>
                      <w:u w:val="single" w:color="auto"/>
                      <w:lang w:val="en-US" w:eastAsia="zh-CN"/>
                    </w:rPr>
                    <w:t>t</w:t>
                  </w:r>
                  <w:r>
                    <w:rPr>
                      <w:rFonts w:hint="eastAsia" w:eastAsia="宋体" w:cs="Times New Roman"/>
                      <w:b/>
                      <w:color w:val="auto"/>
                      <w:sz w:val="22"/>
                      <w:szCs w:val="22"/>
                      <w:u w:val="single" w:color="auto"/>
                      <w:lang w:eastAsia="zh-CN"/>
                    </w:rPr>
                    <w:t>）</w:t>
                  </w:r>
                </w:p>
              </w:tc>
              <w:tc>
                <w:tcPr>
                  <w:tcW w:w="1144" w:type="pct"/>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名称</w:t>
                  </w:r>
                </w:p>
              </w:tc>
              <w:tc>
                <w:tcPr>
                  <w:tcW w:w="1126" w:type="pct"/>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2"/>
                      <w:szCs w:val="22"/>
                      <w:u w:val="single" w:color="auto"/>
                    </w:rPr>
                  </w:pPr>
                  <w:r>
                    <w:rPr>
                      <w:rFonts w:hint="default" w:ascii="Times New Roman" w:hAnsi="Times New Roman" w:eastAsia="宋体" w:cs="Times New Roman"/>
                      <w:b/>
                      <w:color w:val="auto"/>
                      <w:sz w:val="22"/>
                      <w:szCs w:val="22"/>
                      <w:u w:val="single" w:color="auto"/>
                    </w:rPr>
                    <w:t>年用量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1655"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非晶合金带材、硅钢片</w:t>
                  </w:r>
                </w:p>
              </w:tc>
              <w:tc>
                <w:tcPr>
                  <w:tcW w:w="1074"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800</w:t>
                  </w:r>
                </w:p>
              </w:tc>
              <w:tc>
                <w:tcPr>
                  <w:tcW w:w="1144"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真空负荷开关</w:t>
                  </w:r>
                </w:p>
              </w:tc>
              <w:tc>
                <w:tcPr>
                  <w:tcW w:w="1126"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310套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655"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铜线</w:t>
                  </w:r>
                </w:p>
              </w:tc>
              <w:tc>
                <w:tcPr>
                  <w:tcW w:w="1074"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350</w:t>
                  </w:r>
                </w:p>
              </w:tc>
              <w:tc>
                <w:tcPr>
                  <w:tcW w:w="1144"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主要元器件</w:t>
                  </w:r>
                </w:p>
              </w:tc>
              <w:tc>
                <w:tcPr>
                  <w:tcW w:w="1126"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310套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655"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钢材</w:t>
                  </w:r>
                </w:p>
              </w:tc>
              <w:tc>
                <w:tcPr>
                  <w:tcW w:w="1074"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220</w:t>
                  </w:r>
                </w:p>
              </w:tc>
              <w:tc>
                <w:tcPr>
                  <w:tcW w:w="1144"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母线</w:t>
                  </w:r>
                </w:p>
              </w:tc>
              <w:tc>
                <w:tcPr>
                  <w:tcW w:w="1126"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9吨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655"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变压器油</w:t>
                  </w:r>
                </w:p>
              </w:tc>
              <w:tc>
                <w:tcPr>
                  <w:tcW w:w="1074"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260</w:t>
                  </w:r>
                </w:p>
              </w:tc>
              <w:tc>
                <w:tcPr>
                  <w:tcW w:w="1144"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钢材</w:t>
                  </w:r>
                </w:p>
              </w:tc>
              <w:tc>
                <w:tcPr>
                  <w:tcW w:w="1126"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30吨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655"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绝缘纸板</w:t>
                  </w:r>
                </w:p>
              </w:tc>
              <w:tc>
                <w:tcPr>
                  <w:tcW w:w="1074"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150</w:t>
                  </w:r>
                </w:p>
              </w:tc>
              <w:tc>
                <w:tcPr>
                  <w:tcW w:w="1144"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导电线</w:t>
                  </w:r>
                </w:p>
              </w:tc>
              <w:tc>
                <w:tcPr>
                  <w:tcW w:w="1126"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15000m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1655"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水性漆</w:t>
                  </w:r>
                </w:p>
              </w:tc>
              <w:tc>
                <w:tcPr>
                  <w:tcW w:w="1074"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0.5</w:t>
                  </w:r>
                </w:p>
              </w:tc>
              <w:tc>
                <w:tcPr>
                  <w:tcW w:w="1144" w:type="pct"/>
                  <w:tcBorders>
                    <w:tl2br w:val="nil"/>
                    <w:tr2bl w:val="nil"/>
                  </w:tcBorders>
                  <w:vAlign w:val="center"/>
                </w:tcPr>
                <w:p>
                  <w:pPr>
                    <w:spacing w:before="48" w:after="48"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塑粉</w:t>
                  </w:r>
                </w:p>
              </w:tc>
              <w:tc>
                <w:tcPr>
                  <w:tcW w:w="1126" w:type="pct"/>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5t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5000" w:type="pct"/>
                  <w:gridSpan w:val="4"/>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水：</w:t>
                  </w:r>
                  <w:r>
                    <w:rPr>
                      <w:rFonts w:hint="eastAsia" w:cs="Times New Roman"/>
                      <w:color w:val="auto"/>
                      <w:sz w:val="22"/>
                      <w:szCs w:val="22"/>
                      <w:u w:val="single" w:color="auto"/>
                      <w:lang w:val="en-US" w:eastAsia="zh-CN"/>
                    </w:rPr>
                    <w:t>1600t/a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电：</w:t>
                  </w:r>
                  <w:r>
                    <w:rPr>
                      <w:rFonts w:hint="eastAsia" w:cs="Times New Roman"/>
                      <w:color w:val="auto"/>
                      <w:sz w:val="22"/>
                      <w:szCs w:val="22"/>
                      <w:u w:val="single" w:color="auto"/>
                      <w:lang w:val="en-US" w:eastAsia="zh-CN"/>
                    </w:rPr>
                    <w:t>21万KWA/a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焊条：</w:t>
                  </w:r>
                  <w:r>
                    <w:rPr>
                      <w:rFonts w:hint="eastAsia" w:cs="Times New Roman"/>
                      <w:color w:val="auto"/>
                      <w:sz w:val="22"/>
                      <w:szCs w:val="22"/>
                      <w:u w:val="single" w:color="auto"/>
                      <w:lang w:val="en-US" w:eastAsia="zh-CN"/>
                    </w:rPr>
                    <w:t>1.0t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二氧化碳：</w:t>
                  </w:r>
                  <w:r>
                    <w:rPr>
                      <w:rFonts w:hint="eastAsia" w:cs="Times New Roman"/>
                      <w:color w:val="auto"/>
                      <w:sz w:val="22"/>
                      <w:szCs w:val="22"/>
                      <w:u w:val="single" w:color="auto"/>
                      <w:lang w:val="en-US" w:eastAsia="zh-CN"/>
                    </w:rPr>
                    <w:t>0.26t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乙炔：</w:t>
                  </w:r>
                  <w:r>
                    <w:rPr>
                      <w:rFonts w:hint="eastAsia" w:cs="Times New Roman"/>
                      <w:color w:val="auto"/>
                      <w:sz w:val="22"/>
                      <w:szCs w:val="22"/>
                      <w:u w:val="single" w:color="auto"/>
                      <w:lang w:val="en-US" w:eastAsia="zh-CN"/>
                    </w:rPr>
                    <w:t>0.6t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spacing w:before="48" w:after="48"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氩气</w:t>
                  </w:r>
                  <w:r>
                    <w:rPr>
                      <w:rFonts w:hint="eastAsia" w:cs="Times New Roman"/>
                      <w:color w:val="auto"/>
                      <w:sz w:val="22"/>
                      <w:szCs w:val="22"/>
                      <w:u w:val="single" w:color="auto"/>
                      <w:lang w:val="en-US" w:eastAsia="zh-CN"/>
                    </w:rPr>
                    <w:t>：1.13t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jc w:val="both"/>
                    <w:rPr>
                      <w:rFonts w:hint="default" w:cs="Times New Roman"/>
                      <w:color w:val="auto"/>
                      <w:sz w:val="22"/>
                      <w:szCs w:val="22"/>
                      <w:u w:val="single" w:color="auto"/>
                      <w:lang w:val="en-US" w:eastAsia="zh-CN"/>
                    </w:rPr>
                  </w:pPr>
                  <w:r>
                    <w:rPr>
                      <w:rFonts w:hint="eastAsia" w:cs="Times New Roman"/>
                      <w:b w:val="0"/>
                      <w:bCs/>
                      <w:color w:val="auto"/>
                      <w:sz w:val="24"/>
                      <w:szCs w:val="24"/>
                      <w:u w:val="single" w:color="auto"/>
                      <w:lang w:eastAsia="zh-CN"/>
                    </w:rPr>
                    <w:t>注：项目变压器油储存均为原项目储油罐中储存。最大储存量为</w:t>
                  </w:r>
                  <w:r>
                    <w:rPr>
                      <w:rFonts w:hint="eastAsia" w:cs="Times New Roman"/>
                      <w:b w:val="0"/>
                      <w:bCs/>
                      <w:color w:val="auto"/>
                      <w:sz w:val="24"/>
                      <w:szCs w:val="24"/>
                      <w:u w:val="single" w:color="auto"/>
                      <w:lang w:val="en-US" w:eastAsia="zh-CN"/>
                    </w:rPr>
                    <w:t>5吨。</w:t>
                  </w:r>
                </w:p>
              </w:tc>
            </w:tr>
          </w:tbl>
          <w:p>
            <w:pPr>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表1-</w:t>
            </w:r>
            <w:r>
              <w:rPr>
                <w:rFonts w:hint="eastAsia" w:cs="Times New Roman"/>
                <w:b/>
                <w:color w:val="auto"/>
                <w:sz w:val="24"/>
                <w:szCs w:val="24"/>
                <w:u w:val="single" w:color="auto"/>
                <w:lang w:val="en-US" w:eastAsia="zh-CN"/>
              </w:rPr>
              <w:t>5</w:t>
            </w:r>
            <w:r>
              <w:rPr>
                <w:rFonts w:hint="default" w:ascii="Times New Roman" w:hAnsi="Times New Roman" w:cs="Times New Roman"/>
                <w:color w:val="auto"/>
                <w:u w:val="single" w:color="auto"/>
              </w:rPr>
              <w:t xml:space="preserve">  </w:t>
            </w:r>
            <w:r>
              <w:rPr>
                <w:rFonts w:hint="default" w:ascii="Times New Roman" w:hAnsi="Times New Roman" w:cs="Times New Roman"/>
                <w:b/>
                <w:color w:val="auto"/>
                <w:sz w:val="24"/>
                <w:szCs w:val="24"/>
                <w:u w:val="single" w:color="auto"/>
              </w:rPr>
              <w:t>主要原辅材料的理化性质</w:t>
            </w:r>
          </w:p>
          <w:tbl>
            <w:tblPr>
              <w:tblStyle w:val="41"/>
              <w:tblW w:w="90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45"/>
              <w:gridCol w:w="1304"/>
              <w:gridCol w:w="68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3"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序号</w:t>
                  </w:r>
                </w:p>
              </w:tc>
              <w:tc>
                <w:tcPr>
                  <w:tcW w:w="1304"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类别</w:t>
                  </w:r>
                </w:p>
              </w:tc>
              <w:tc>
                <w:tcPr>
                  <w:tcW w:w="6819"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b/>
                      <w:color w:val="auto"/>
                      <w:sz w:val="22"/>
                      <w:szCs w:val="22"/>
                      <w:u w:val="single" w:color="auto"/>
                    </w:rPr>
                    <w:t>理化性质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69"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1</w:t>
                  </w:r>
                </w:p>
              </w:tc>
              <w:tc>
                <w:tcPr>
                  <w:tcW w:w="1304"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rFonts w:hint="default" w:ascii="Times New Roman" w:hAnsi="Times New Roman" w:eastAsia="宋体" w:cs="Times New Roman"/>
                      <w:color w:val="auto"/>
                      <w:sz w:val="22"/>
                      <w:szCs w:val="22"/>
                      <w:u w:val="single" w:color="auto"/>
                      <w:lang w:eastAsia="zh-CN"/>
                    </w:rPr>
                    <w:t>塑粉</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rFonts w:hint="default" w:ascii="Times New Roman" w:hAnsi="Times New Roman" w:eastAsia="宋体" w:cs="Times New Roman"/>
                      <w:color w:val="auto"/>
                      <w:sz w:val="22"/>
                      <w:szCs w:val="22"/>
                      <w:u w:val="single" w:color="auto"/>
                    </w:rPr>
                  </w:pPr>
                  <w:r>
                    <w:rPr>
                      <w:rFonts w:hint="default" w:ascii="Times New Roman" w:hAnsi="Times New Roman" w:eastAsia="宋体" w:cs="Times New Roman"/>
                      <w:color w:val="auto"/>
                      <w:sz w:val="22"/>
                      <w:szCs w:val="22"/>
                      <w:u w:val="single" w:color="auto"/>
                    </w:rPr>
                    <w:t>热固性粉末（酚醛树脂）。为无色或黄褐色透明物，有颗粒、粉末状。耐弱酸和弱碱，遇强酸发生分解，遇强碱发生腐蚀。不溶于水，溶于丙酮、酒精等有机溶剂中</w:t>
                  </w:r>
                  <w:r>
                    <w:rPr>
                      <w:rFonts w:hint="eastAsia" w:cs="Times New Roman"/>
                      <w:color w:val="auto"/>
                      <w:sz w:val="22"/>
                      <w:szCs w:val="22"/>
                      <w:u w:val="single" w:color="auto"/>
                      <w:lang w:eastAsia="zh-CN"/>
                    </w:rPr>
                    <w:t>。</w:t>
                  </w:r>
                  <w:r>
                    <w:rPr>
                      <w:rFonts w:hint="eastAsia" w:ascii="Arial" w:hAnsi="Arial" w:eastAsia="宋体" w:cs="Arial"/>
                      <w:i w:val="0"/>
                      <w:caps w:val="0"/>
                      <w:color w:val="333333"/>
                      <w:spacing w:val="0"/>
                      <w:sz w:val="21"/>
                      <w:szCs w:val="21"/>
                      <w:u w:val="single" w:color="auto"/>
                      <w:shd w:val="clear" w:fill="FFFFFF"/>
                    </w:rPr>
                    <w:t>塑粉是喷塑工艺的材料，简单来说就是塑料粉末经过高温加热之后通过压缩空气给的风喷到材质表面</w:t>
                  </w:r>
                  <w:r>
                    <w:rPr>
                      <w:rFonts w:hint="default" w:ascii="Times New Roman" w:hAnsi="Times New Roman" w:eastAsia="宋体" w:cs="Times New Roman"/>
                      <w:color w:val="auto"/>
                      <w:kern w:val="2"/>
                      <w:sz w:val="22"/>
                      <w:szCs w:val="22"/>
                      <w:u w:val="single" w:color="auto"/>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9"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2</w:t>
                  </w:r>
                </w:p>
              </w:tc>
              <w:tc>
                <w:tcPr>
                  <w:tcW w:w="1304"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sz w:val="22"/>
                      <w:szCs w:val="22"/>
                      <w:u w:val="single" w:color="auto"/>
                    </w:rPr>
                    <w:t>焊丝</w:t>
                  </w:r>
                </w:p>
              </w:tc>
              <w:tc>
                <w:tcPr>
                  <w:tcW w:w="6819" w:type="dxa"/>
                  <w:vAlign w:val="center"/>
                </w:tcPr>
                <w:p>
                  <w:pPr>
                    <w:pStyle w:val="172"/>
                    <w:widowControl w:val="0"/>
                    <w:spacing w:line="360" w:lineRule="auto"/>
                    <w:rPr>
                      <w:rFonts w:hint="default" w:ascii="Times New Roman" w:hAnsi="Times New Roman" w:eastAsia="宋体" w:cs="Times New Roman"/>
                      <w:color w:val="auto"/>
                      <w:sz w:val="22"/>
                      <w:szCs w:val="22"/>
                      <w:u w:val="single" w:color="auto"/>
                    </w:rPr>
                  </w:pPr>
                  <w:r>
                    <w:rPr>
                      <w:sz w:val="22"/>
                      <w:szCs w:val="22"/>
                      <w:u w:val="single" w:color="auto"/>
                    </w:rPr>
                    <w:t>本项目拟采用钛钙型低碳钢焊条（结422），焊丝的药皮中含有30%以上氧化钛及适量的(&lt;20%)钙和镁的碳酸盐的酸性焊条。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08"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3</w:t>
                  </w:r>
                </w:p>
              </w:tc>
              <w:tc>
                <w:tcPr>
                  <w:tcW w:w="1304"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rFonts w:hint="eastAsia"/>
                      <w:sz w:val="22"/>
                      <w:szCs w:val="22"/>
                      <w:u w:val="single" w:color="auto"/>
                    </w:rPr>
                    <w:t>乙炔</w:t>
                  </w:r>
                </w:p>
              </w:tc>
              <w:tc>
                <w:tcPr>
                  <w:tcW w:w="6819" w:type="dxa"/>
                  <w:vAlign w:val="center"/>
                </w:tcPr>
                <w:p>
                  <w:pPr>
                    <w:pStyle w:val="172"/>
                    <w:widowControl w:val="0"/>
                    <w:spacing w:line="360" w:lineRule="auto"/>
                    <w:rPr>
                      <w:rFonts w:hint="default" w:ascii="Times New Roman" w:hAnsi="Times New Roman" w:eastAsia="宋体" w:cs="Times New Roman"/>
                      <w:color w:val="auto"/>
                      <w:sz w:val="22"/>
                      <w:szCs w:val="22"/>
                      <w:u w:val="single" w:color="auto"/>
                    </w:rPr>
                  </w:pPr>
                  <w:r>
                    <w:rPr>
                      <w:sz w:val="22"/>
                      <w:szCs w:val="22"/>
                      <w:u w:val="single" w:color="auto"/>
                    </w:rPr>
                    <w:t>无色气体，纯的</w:t>
                  </w:r>
                  <w:r>
                    <w:rPr>
                      <w:rFonts w:hint="eastAsia"/>
                      <w:sz w:val="22"/>
                      <w:szCs w:val="22"/>
                      <w:u w:val="single" w:color="auto"/>
                    </w:rPr>
                    <w:t>乙炔</w:t>
                  </w:r>
                  <w:r>
                    <w:rPr>
                      <w:sz w:val="22"/>
                      <w:szCs w:val="22"/>
                      <w:u w:val="single" w:color="auto"/>
                    </w:rPr>
                    <w:t>没有不愉快的气味，工业品由于杂质膦等的存在而具有大蒜味。相对密度(水=1)0.62，相对密度(空气=1)0.91；蒸汽压4033kPa/16.8</w:t>
                  </w:r>
                  <w:r>
                    <w:rPr>
                      <w:rFonts w:hint="eastAsia"/>
                      <w:sz w:val="22"/>
                      <w:szCs w:val="22"/>
                      <w:u w:val="single" w:color="auto"/>
                    </w:rPr>
                    <w:t>℃</w:t>
                  </w:r>
                  <w:r>
                    <w:rPr>
                      <w:sz w:val="22"/>
                      <w:szCs w:val="22"/>
                      <w:u w:val="single" w:color="auto"/>
                    </w:rPr>
                    <w:t>，闪点：＜-50</w:t>
                  </w:r>
                  <w:r>
                    <w:rPr>
                      <w:rFonts w:hint="eastAsia"/>
                      <w:sz w:val="22"/>
                      <w:szCs w:val="22"/>
                      <w:u w:val="single" w:color="auto"/>
                    </w:rPr>
                    <w:t>℃</w:t>
                  </w:r>
                  <w:r>
                    <w:rPr>
                      <w:sz w:val="22"/>
                      <w:szCs w:val="22"/>
                      <w:u w:val="single" w:color="auto"/>
                    </w:rPr>
                    <w:t>，熔点-81.8</w:t>
                  </w:r>
                  <w:r>
                    <w:rPr>
                      <w:rFonts w:hint="eastAsia"/>
                      <w:sz w:val="22"/>
                      <w:szCs w:val="22"/>
                      <w:u w:val="single" w:color="auto"/>
                    </w:rPr>
                    <w:t>℃</w:t>
                  </w:r>
                  <w:r>
                    <w:rPr>
                      <w:sz w:val="22"/>
                      <w:szCs w:val="22"/>
                      <w:u w:val="single" w:color="auto"/>
                    </w:rPr>
                    <w:t>/119kPa，沸点：-83.8</w:t>
                  </w:r>
                  <w:r>
                    <w:rPr>
                      <w:rFonts w:hint="eastAsia"/>
                      <w:sz w:val="22"/>
                      <w:szCs w:val="22"/>
                      <w:u w:val="single" w:color="auto"/>
                    </w:rPr>
                    <w:t>℃</w:t>
                  </w:r>
                  <w:r>
                    <w:rPr>
                      <w:sz w:val="22"/>
                      <w:szCs w:val="22"/>
                      <w:u w:val="single" w:color="auto"/>
                    </w:rPr>
                    <w:t>，微溶于水、乙醇，溶于丙酮、氯仿、苯。：极易燃烧爆炸，与空气混合能形成爆炸性混合物。遇明火、高热能引起燃烧爆炸。与氧化剂接触会猛烈反应。同其他</w:t>
                  </w:r>
                  <w:r>
                    <w:rPr>
                      <w:sz w:val="22"/>
                      <w:szCs w:val="22"/>
                      <w:u w:val="single" w:color="auto"/>
                    </w:rPr>
                    <w:fldChar w:fldCharType="begin"/>
                  </w:r>
                  <w:r>
                    <w:rPr>
                      <w:sz w:val="22"/>
                      <w:szCs w:val="22"/>
                      <w:u w:val="single" w:color="auto"/>
                    </w:rPr>
                    <w:instrText xml:space="preserve"> HYPERLINK "https://baike.so.com/doc/1378366-1457098.html" \t "https://baike.so.com/doc/_blank" </w:instrText>
                  </w:r>
                  <w:r>
                    <w:rPr>
                      <w:sz w:val="22"/>
                      <w:szCs w:val="22"/>
                      <w:u w:val="single" w:color="auto"/>
                    </w:rPr>
                    <w:fldChar w:fldCharType="separate"/>
                  </w:r>
                  <w:r>
                    <w:rPr>
                      <w:sz w:val="22"/>
                      <w:szCs w:val="22"/>
                      <w:u w:val="single" w:color="auto"/>
                    </w:rPr>
                    <w:t>烷烃</w:t>
                  </w:r>
                  <w:r>
                    <w:rPr>
                      <w:sz w:val="22"/>
                      <w:szCs w:val="22"/>
                      <w:u w:val="single" w:color="auto"/>
                    </w:rPr>
                    <w:fldChar w:fldCharType="end"/>
                  </w:r>
                  <w:r>
                    <w:rPr>
                      <w:sz w:val="22"/>
                      <w:szCs w:val="22"/>
                      <w:u w:val="single" w:color="auto"/>
                    </w:rPr>
                    <w:t>一样，</w:t>
                  </w:r>
                  <w:r>
                    <w:rPr>
                      <w:rFonts w:hint="eastAsia"/>
                      <w:sz w:val="22"/>
                      <w:szCs w:val="22"/>
                      <w:u w:val="single" w:color="auto"/>
                    </w:rPr>
                    <w:t>乙炔</w:t>
                  </w:r>
                  <w:r>
                    <w:rPr>
                      <w:sz w:val="22"/>
                      <w:szCs w:val="22"/>
                      <w:u w:val="single" w:color="auto"/>
                    </w:rPr>
                    <w:t>可以在充足氧气下燃烧，生成水和二氧化碳。当氧气不充足时，生成水和一氧化碳。毒性：属</w:t>
                  </w:r>
                  <w:r>
                    <w:rPr>
                      <w:rFonts w:hint="eastAsia"/>
                      <w:sz w:val="22"/>
                      <w:szCs w:val="22"/>
                      <w:u w:val="single" w:color="auto"/>
                    </w:rPr>
                    <w:t>无毒</w:t>
                  </w:r>
                  <w:r>
                    <w:rPr>
                      <w:sz w:val="22"/>
                      <w:szCs w:val="22"/>
                      <w:u w:val="single" w:color="auto"/>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4"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4</w:t>
                  </w:r>
                </w:p>
              </w:tc>
              <w:tc>
                <w:tcPr>
                  <w:tcW w:w="1304"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eastAsia="宋体" w:cs="Times New Roman"/>
                      <w:color w:val="auto"/>
                      <w:sz w:val="22"/>
                      <w:szCs w:val="22"/>
                      <w:u w:val="single" w:color="auto"/>
                      <w:lang w:eastAsia="zh-CN"/>
                    </w:rPr>
                  </w:pPr>
                  <w:r>
                    <w:rPr>
                      <w:sz w:val="22"/>
                      <w:szCs w:val="22"/>
                      <w:u w:val="single" w:color="auto"/>
                    </w:rPr>
                    <w:t>氧气</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rFonts w:hint="eastAsia" w:ascii="Times New Roman" w:hAnsi="Times New Roman" w:eastAsia="宋体" w:cs="Times New Roman"/>
                      <w:color w:val="auto"/>
                      <w:sz w:val="22"/>
                      <w:szCs w:val="22"/>
                      <w:u w:val="single" w:color="auto"/>
                      <w:lang w:eastAsia="zh-CN"/>
                    </w:rPr>
                  </w:pPr>
                  <w:r>
                    <w:rPr>
                      <w:sz w:val="22"/>
                      <w:szCs w:val="22"/>
                      <w:u w:val="single" w:color="auto"/>
                    </w:rPr>
                    <w:t>无色无臭气体；蒸汽压506.62kPa(-164</w:t>
                  </w:r>
                  <w:r>
                    <w:rPr>
                      <w:rFonts w:hint="eastAsia"/>
                      <w:sz w:val="22"/>
                      <w:szCs w:val="22"/>
                      <w:u w:val="single" w:color="auto"/>
                    </w:rPr>
                    <w:t>℃</w:t>
                  </w:r>
                  <w:r>
                    <w:rPr>
                      <w:sz w:val="22"/>
                      <w:szCs w:val="22"/>
                      <w:u w:val="single" w:color="auto"/>
                    </w:rPr>
                    <w:t>)，熔点：-218.8</w:t>
                  </w:r>
                  <w:r>
                    <w:rPr>
                      <w:rFonts w:hint="eastAsia"/>
                      <w:sz w:val="22"/>
                      <w:szCs w:val="22"/>
                      <w:u w:val="single" w:color="auto"/>
                    </w:rPr>
                    <w:t>℃</w:t>
                  </w:r>
                  <w:r>
                    <w:rPr>
                      <w:sz w:val="22"/>
                      <w:szCs w:val="22"/>
                      <w:u w:val="single" w:color="auto"/>
                    </w:rPr>
                    <w:t>,沸点：-183.1</w:t>
                  </w:r>
                  <w:r>
                    <w:rPr>
                      <w:rFonts w:hint="eastAsia"/>
                      <w:sz w:val="22"/>
                      <w:szCs w:val="22"/>
                      <w:u w:val="single" w:color="auto"/>
                    </w:rPr>
                    <w:t>℃</w:t>
                  </w:r>
                  <w:r>
                    <w:rPr>
                      <w:sz w:val="22"/>
                      <w:szCs w:val="22"/>
                      <w:u w:val="single" w:color="auto"/>
                    </w:rPr>
                    <w:t>；溶于水、乙醇；相对密度(水=1)1.14(-183</w:t>
                  </w:r>
                  <w:r>
                    <w:rPr>
                      <w:rFonts w:hint="eastAsia"/>
                      <w:sz w:val="22"/>
                      <w:szCs w:val="22"/>
                      <w:u w:val="single" w:color="auto"/>
                    </w:rPr>
                    <w:t>℃</w:t>
                  </w:r>
                  <w:r>
                    <w:rPr>
                      <w:sz w:val="22"/>
                      <w:szCs w:val="22"/>
                      <w:u w:val="single" w:color="auto"/>
                    </w:rPr>
                    <w:t>)；相对密度(空气=1)1.43。是易燃物、可燃物燃烧爆炸的基本要素之一，能氧化大多数活性物质。与易燃物（如</w:t>
                  </w:r>
                  <w:r>
                    <w:rPr>
                      <w:rFonts w:hint="eastAsia"/>
                      <w:sz w:val="22"/>
                      <w:szCs w:val="22"/>
                      <w:u w:val="single" w:color="auto"/>
                    </w:rPr>
                    <w:t>乙炔</w:t>
                  </w:r>
                  <w:r>
                    <w:rPr>
                      <w:sz w:val="22"/>
                      <w:szCs w:val="22"/>
                      <w:u w:val="single" w:color="auto"/>
                    </w:rPr>
                    <w:t>、甲烷等）形成有爆炸性的混合物</w:t>
                  </w:r>
                  <w:r>
                    <w:rPr>
                      <w:rFonts w:hint="eastAsia"/>
                      <w:sz w:val="22"/>
                      <w:szCs w:val="22"/>
                      <w:u w:val="singl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5</w:t>
                  </w:r>
                </w:p>
              </w:tc>
              <w:tc>
                <w:tcPr>
                  <w:tcW w:w="1304"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eastAsia" w:eastAsia="宋体"/>
                      <w:sz w:val="22"/>
                      <w:szCs w:val="22"/>
                      <w:u w:val="single" w:color="auto"/>
                      <w:lang w:eastAsia="zh-CN"/>
                    </w:rPr>
                  </w:pPr>
                  <w:r>
                    <w:rPr>
                      <w:rFonts w:hint="eastAsia"/>
                      <w:sz w:val="22"/>
                      <w:szCs w:val="22"/>
                      <w:u w:val="single" w:color="auto"/>
                      <w:lang w:eastAsia="zh-CN"/>
                    </w:rPr>
                    <w:t>水性漆</w:t>
                  </w:r>
                </w:p>
              </w:tc>
              <w:tc>
                <w:tcPr>
                  <w:tcW w:w="6819" w:type="dxa"/>
                  <w:vAlign w:val="center"/>
                </w:tcPr>
                <w:p>
                  <w:pPr>
                    <w:keepNext w:val="0"/>
                    <w:keepLines w:val="0"/>
                    <w:pageBreakBefore w:val="0"/>
                    <w:widowControl/>
                    <w:suppressLineNumbers w:val="0"/>
                    <w:kinsoku/>
                    <w:wordWrap/>
                    <w:overflowPunct/>
                    <w:topLinePunct w:val="0"/>
                    <w:autoSpaceDE/>
                    <w:autoSpaceDN/>
                    <w:bidi w:val="0"/>
                    <w:adjustRightInd/>
                    <w:snapToGrid/>
                    <w:spacing w:afterAutospacing="0" w:line="360" w:lineRule="auto"/>
                    <w:jc w:val="left"/>
                    <w:textAlignment w:val="auto"/>
                    <w:rPr>
                      <w:sz w:val="22"/>
                      <w:szCs w:val="22"/>
                      <w:u w:val="single" w:color="auto"/>
                    </w:rPr>
                  </w:pPr>
                  <w:r>
                    <w:rPr>
                      <w:sz w:val="22"/>
                      <w:szCs w:val="22"/>
                      <w:u w:val="single" w:color="auto"/>
                    </w:rPr>
                    <w:t>聚氨酯树脂（</w:t>
                  </w:r>
                  <w:r>
                    <w:rPr>
                      <w:rFonts w:hint="eastAsia"/>
                      <w:sz w:val="22"/>
                      <w:szCs w:val="22"/>
                      <w:u w:val="single" w:color="auto"/>
                    </w:rPr>
                    <w:t>7</w:t>
                  </w:r>
                  <w:r>
                    <w:rPr>
                      <w:sz w:val="22"/>
                      <w:szCs w:val="22"/>
                      <w:u w:val="single" w:color="auto"/>
                    </w:rPr>
                    <w:t>0%）、颜料（</w:t>
                  </w:r>
                  <w:r>
                    <w:rPr>
                      <w:rFonts w:hint="eastAsia"/>
                      <w:sz w:val="22"/>
                      <w:szCs w:val="22"/>
                      <w:u w:val="single" w:color="auto"/>
                    </w:rPr>
                    <w:t>12</w:t>
                  </w:r>
                  <w:r>
                    <w:rPr>
                      <w:sz w:val="22"/>
                      <w:szCs w:val="22"/>
                      <w:u w:val="single" w:color="auto"/>
                    </w:rPr>
                    <w:t>%）、醋酸丁脂（</w:t>
                  </w:r>
                  <w:r>
                    <w:rPr>
                      <w:rFonts w:hint="eastAsia"/>
                      <w:sz w:val="22"/>
                      <w:szCs w:val="22"/>
                      <w:u w:val="single" w:color="auto"/>
                    </w:rPr>
                    <w:t>8</w:t>
                  </w:r>
                  <w:r>
                    <w:rPr>
                      <w:sz w:val="22"/>
                      <w:szCs w:val="22"/>
                      <w:u w:val="single" w:color="auto"/>
                    </w:rPr>
                    <w:t>%）、正丁醇（10%），不含苯</w:t>
                  </w:r>
                  <w:r>
                    <w:rPr>
                      <w:rFonts w:hint="eastAsia"/>
                      <w:sz w:val="22"/>
                      <w:szCs w:val="22"/>
                      <w:u w:val="single" w:color="auto"/>
                    </w:rPr>
                    <w:t>、</w:t>
                  </w:r>
                  <w:r>
                    <w:rPr>
                      <w:sz w:val="22"/>
                      <w:szCs w:val="22"/>
                      <w:u w:val="single" w:color="auto"/>
                    </w:rPr>
                    <w:t>甲苯</w:t>
                  </w:r>
                  <w:r>
                    <w:rPr>
                      <w:rFonts w:hint="eastAsia"/>
                      <w:sz w:val="22"/>
                      <w:szCs w:val="22"/>
                      <w:u w:val="single" w:color="auto"/>
                    </w:rPr>
                    <w:t>、二甲苯</w:t>
                  </w:r>
                  <w:r>
                    <w:rPr>
                      <w:sz w:val="22"/>
                      <w:szCs w:val="22"/>
                      <w:u w:val="single" w:color="auto"/>
                    </w:rPr>
                    <w:t>。底漆、稀释剂</w:t>
                  </w:r>
                  <w:r>
                    <w:rPr>
                      <w:rFonts w:hint="eastAsia"/>
                      <w:sz w:val="22"/>
                      <w:szCs w:val="22"/>
                      <w:u w:val="single" w:color="auto"/>
                    </w:rPr>
                    <w:t>（水）</w:t>
                  </w:r>
                  <w:r>
                    <w:rPr>
                      <w:sz w:val="22"/>
                      <w:szCs w:val="22"/>
                      <w:u w:val="single" w:color="auto"/>
                    </w:rPr>
                    <w:t>比例为1：</w:t>
                  </w:r>
                  <w:r>
                    <w:rPr>
                      <w:rFonts w:hint="eastAsia"/>
                      <w:sz w:val="22"/>
                      <w:szCs w:val="22"/>
                      <w:u w:val="single" w:color="auto"/>
                    </w:rPr>
                    <w:t>1.5</w:t>
                  </w:r>
                  <w:r>
                    <w:rPr>
                      <w:sz w:val="22"/>
                      <w:szCs w:val="22"/>
                      <w:u w:val="single" w:color="auto"/>
                    </w:rPr>
                    <w:t>进行调漆后使用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9" w:hRule="atLeast"/>
              </w:trPr>
              <w:tc>
                <w:tcPr>
                  <w:tcW w:w="945" w:type="dxa"/>
                  <w:vAlign w:val="center"/>
                </w:tcPr>
                <w:p>
                  <w:pPr>
                    <w:pStyle w:val="34"/>
                    <w:keepNext w:val="0"/>
                    <w:keepLines w:val="0"/>
                    <w:pageBreakBefore w:val="0"/>
                    <w:kinsoku/>
                    <w:wordWrap/>
                    <w:overflowPunct/>
                    <w:topLinePunct w:val="0"/>
                    <w:autoSpaceDE/>
                    <w:autoSpaceDN/>
                    <w:bidi w:val="0"/>
                    <w:adjustRightInd/>
                    <w:snapToGrid/>
                    <w:spacing w:line="360" w:lineRule="auto"/>
                    <w:ind w:left="0" w:leftChars="0"/>
                    <w:jc w:val="center"/>
                    <w:textAlignment w:val="auto"/>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6</w:t>
                  </w:r>
                </w:p>
              </w:tc>
              <w:tc>
                <w:tcPr>
                  <w:tcW w:w="1304" w:type="dxa"/>
                  <w:vAlign w:val="center"/>
                </w:tcPr>
                <w:p>
                  <w:pPr>
                    <w:pStyle w:val="189"/>
                    <w:adjustRightInd w:val="0"/>
                    <w:snapToGrid w:val="0"/>
                    <w:spacing w:line="360" w:lineRule="auto"/>
                    <w:jc w:val="both"/>
                    <w:rPr>
                      <w:rFonts w:hint="default" w:ascii="Times New Roman" w:hAnsi="Times New Roman" w:cs="Times New Roman"/>
                      <w:kern w:val="0"/>
                      <w:sz w:val="22"/>
                      <w:szCs w:val="22"/>
                      <w:u w:val="single" w:color="auto"/>
                      <w:lang w:eastAsia="zh-CN"/>
                    </w:rPr>
                  </w:pPr>
                  <w:r>
                    <w:rPr>
                      <w:rFonts w:hint="default" w:ascii="Times New Roman" w:hAnsi="Times New Roman" w:cs="Times New Roman"/>
                      <w:kern w:val="0"/>
                      <w:sz w:val="22"/>
                      <w:szCs w:val="22"/>
                      <w:u w:val="single" w:color="auto"/>
                      <w:lang w:eastAsia="zh-CN"/>
                    </w:rPr>
                    <w:t>变压器油</w:t>
                  </w:r>
                </w:p>
              </w:tc>
              <w:tc>
                <w:tcPr>
                  <w:tcW w:w="6819" w:type="dxa"/>
                  <w:vAlign w:val="center"/>
                </w:tcPr>
                <w:p>
                  <w:pPr>
                    <w:pStyle w:val="189"/>
                    <w:adjustRightInd w:val="0"/>
                    <w:snapToGrid w:val="0"/>
                    <w:spacing w:line="360" w:lineRule="auto"/>
                    <w:jc w:val="both"/>
                    <w:rPr>
                      <w:rFonts w:hint="default" w:ascii="Times New Roman" w:hAnsi="Times New Roman" w:cs="Times New Roman"/>
                      <w:kern w:val="0"/>
                      <w:sz w:val="22"/>
                      <w:szCs w:val="22"/>
                      <w:u w:val="single" w:color="auto"/>
                      <w:lang w:eastAsia="zh-CN"/>
                    </w:rPr>
                  </w:pPr>
                  <w:r>
                    <w:rPr>
                      <w:rFonts w:hint="default" w:ascii="Times New Roman" w:hAnsi="Times New Roman" w:cs="Times New Roman"/>
                      <w:kern w:val="0"/>
                      <w:sz w:val="22"/>
                      <w:szCs w:val="22"/>
                      <w:u w:val="single" w:color="auto"/>
                    </w:rPr>
                    <w:t>变压器油是天然石油中经过蒸馏、精炼而获得的一种矿物油，是石油中的润滑油馏份经酸碱精制处理得到纯净稳定、粘度小、绝缘性好、冷却性好的液体天然碳氢化合物的混合物。俗称方棚油，浅黄色透明液体，相对密度0.895。凝固点&lt;-45 ℃</w:t>
                  </w:r>
                  <w:r>
                    <w:rPr>
                      <w:rFonts w:hint="default" w:ascii="Times New Roman" w:hAnsi="Times New Roman" w:cs="Times New Roman"/>
                      <w:kern w:val="0"/>
                      <w:sz w:val="22"/>
                      <w:szCs w:val="22"/>
                      <w:u w:val="single" w:color="auto"/>
                      <w:lang w:eastAsia="zh-CN"/>
                    </w:rPr>
                    <w:t>，</w:t>
                  </w:r>
                  <w:r>
                    <w:rPr>
                      <w:rFonts w:hint="default" w:ascii="Times New Roman" w:hAnsi="Times New Roman" w:cs="Times New Roman"/>
                      <w:kern w:val="0"/>
                      <w:sz w:val="22"/>
                      <w:szCs w:val="22"/>
                      <w:u w:val="single" w:color="auto"/>
                      <w:lang w:val="en-US" w:eastAsia="zh-CN"/>
                    </w:rPr>
                    <w:t>外观 透明，无悬浮物、沉淀物及机械杂质闪点(闭杯) ≥135℃，运动黏度(50℃) ≤9.6×10-6m</w:t>
                  </w:r>
                  <w:r>
                    <w:rPr>
                      <w:rFonts w:hint="default" w:ascii="Times New Roman" w:hAnsi="Times New Roman" w:cs="Times New Roman"/>
                      <w:kern w:val="0"/>
                      <w:sz w:val="22"/>
                      <w:szCs w:val="22"/>
                      <w:u w:val="single" w:color="auto"/>
                      <w:vertAlign w:val="superscript"/>
                      <w:lang w:val="en-US" w:eastAsia="zh-CN"/>
                    </w:rPr>
                    <w:t>2</w:t>
                  </w:r>
                  <w:r>
                    <w:rPr>
                      <w:rFonts w:hint="default" w:ascii="Times New Roman" w:hAnsi="Times New Roman" w:cs="Times New Roman"/>
                      <w:kern w:val="0"/>
                      <w:sz w:val="22"/>
                      <w:szCs w:val="22"/>
                      <w:u w:val="single" w:color="auto"/>
                      <w:lang w:val="en-US" w:eastAsia="zh-CN"/>
                    </w:rPr>
                    <w:t>/s，酸值 ≤0.03mgKOH/g，倾点 &lt;-22℃</w:t>
                  </w:r>
                </w:p>
              </w:tc>
            </w:tr>
          </w:tbl>
          <w:p>
            <w:pPr>
              <w:pStyle w:val="34"/>
              <w:spacing w:line="360" w:lineRule="auto"/>
              <w:ind w:left="0" w:leftChars="0" w:firstLine="482" w:firstLineChars="200"/>
              <w:rPr>
                <w:rFonts w:hint="default" w:ascii="Times New Roman" w:hAnsi="Times New Roman" w:cs="Times New Roman"/>
                <w:color w:val="auto"/>
                <w:sz w:val="24"/>
                <w:u w:val="none" w:color="auto"/>
              </w:rPr>
            </w:pPr>
            <w:r>
              <w:rPr>
                <w:rFonts w:hint="default" w:ascii="Times New Roman" w:hAnsi="Times New Roman" w:cs="Times New Roman"/>
                <w:b/>
                <w:color w:val="auto"/>
                <w:sz w:val="24"/>
                <w:u w:val="none" w:color="auto"/>
              </w:rPr>
              <w:t>6、公用工程：</w:t>
            </w:r>
          </w:p>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（1）用水</w:t>
            </w:r>
          </w:p>
          <w:p>
            <w:pPr>
              <w:snapToGrid w:val="0"/>
              <w:spacing w:line="360" w:lineRule="auto"/>
              <w:ind w:firstLine="480"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生活用水</w:t>
            </w:r>
          </w:p>
          <w:p>
            <w:pPr>
              <w:snapToGrid w:val="0"/>
              <w:spacing w:line="360" w:lineRule="auto"/>
              <w:ind w:firstLine="480" w:firstLineChars="200"/>
              <w:rPr>
                <w:rFonts w:hint="eastAsia" w:hAnsi="宋体"/>
                <w:sz w:val="24"/>
                <w:u w:val="none" w:color="auto"/>
                <w:lang w:eastAsia="zh-CN"/>
              </w:rPr>
            </w:pPr>
            <w:r>
              <w:rPr>
                <w:rFonts w:hint="default" w:ascii="Times New Roman" w:hAnsi="Times New Roman" w:cs="Times New Roman"/>
                <w:color w:val="auto"/>
                <w:sz w:val="24"/>
                <w:szCs w:val="24"/>
                <w:u w:val="none" w:color="auto"/>
              </w:rPr>
              <w:t>本项目给水水源来自市政给水管网，本项目用水包括职工生活</w:t>
            </w:r>
            <w:r>
              <w:rPr>
                <w:rFonts w:hint="eastAsia" w:cs="Times New Roman"/>
                <w:color w:val="auto"/>
                <w:sz w:val="24"/>
                <w:szCs w:val="24"/>
                <w:u w:val="none" w:color="auto"/>
                <w:lang w:eastAsia="zh-CN"/>
              </w:rPr>
              <w:t>、办公</w:t>
            </w:r>
            <w:r>
              <w:rPr>
                <w:rFonts w:hint="default" w:ascii="Times New Roman" w:hAnsi="Times New Roman" w:cs="Times New Roman"/>
                <w:color w:val="auto"/>
                <w:sz w:val="24"/>
                <w:szCs w:val="24"/>
                <w:u w:val="none" w:color="auto"/>
              </w:rPr>
              <w:t>用水，</w:t>
            </w:r>
            <w:r>
              <w:rPr>
                <w:rFonts w:hint="eastAsia" w:cs="Times New Roman"/>
                <w:color w:val="auto"/>
                <w:sz w:val="24"/>
                <w:szCs w:val="24"/>
                <w:u w:val="none" w:color="auto"/>
                <w:lang w:eastAsia="zh-CN"/>
              </w:rPr>
              <w:t>原</w:t>
            </w:r>
            <w:r>
              <w:rPr>
                <w:rFonts w:hint="default" w:ascii="Times New Roman" w:hAnsi="Times New Roman" w:cs="Times New Roman"/>
                <w:bCs/>
                <w:color w:val="auto"/>
                <w:sz w:val="24"/>
                <w:u w:val="none" w:color="auto"/>
              </w:rPr>
              <w:t>项目营运期劳动定员</w:t>
            </w:r>
            <w:r>
              <w:rPr>
                <w:rFonts w:hint="eastAsia" w:cs="Times New Roman"/>
                <w:bCs/>
                <w:color w:val="auto"/>
                <w:sz w:val="24"/>
                <w:u w:val="none" w:color="auto"/>
                <w:lang w:val="en-US" w:eastAsia="zh-CN"/>
              </w:rPr>
              <w:t>60</w:t>
            </w:r>
            <w:r>
              <w:rPr>
                <w:rFonts w:hint="default" w:ascii="Times New Roman" w:hAnsi="Times New Roman" w:cs="Times New Roman"/>
                <w:bCs/>
                <w:color w:val="auto"/>
                <w:sz w:val="24"/>
                <w:u w:val="none" w:color="auto"/>
              </w:rPr>
              <w:t>人</w:t>
            </w:r>
            <w:r>
              <w:rPr>
                <w:rFonts w:hint="eastAsia" w:cs="Times New Roman"/>
                <w:bCs/>
                <w:color w:val="auto"/>
                <w:sz w:val="24"/>
                <w:u w:val="none" w:color="auto"/>
                <w:lang w:eastAsia="zh-CN"/>
              </w:rPr>
              <w:t>，扩建项目新增</w:t>
            </w:r>
            <w:r>
              <w:rPr>
                <w:rFonts w:hint="eastAsia" w:cs="Times New Roman"/>
                <w:bCs/>
                <w:color w:val="auto"/>
                <w:sz w:val="24"/>
                <w:u w:val="none" w:color="auto"/>
                <w:lang w:val="en-US" w:eastAsia="zh-CN"/>
              </w:rPr>
              <w:t>100人</w:t>
            </w:r>
            <w:r>
              <w:rPr>
                <w:rFonts w:hint="default" w:ascii="Times New Roman" w:hAnsi="Times New Roman" w:cs="Times New Roman"/>
                <w:bCs/>
                <w:color w:val="auto"/>
                <w:sz w:val="24"/>
                <w:u w:val="none" w:color="auto"/>
              </w:rPr>
              <w:t>，</w:t>
            </w:r>
            <w:r>
              <w:rPr>
                <w:rFonts w:hint="eastAsia" w:cs="Times New Roman"/>
                <w:bCs/>
                <w:color w:val="auto"/>
                <w:sz w:val="24"/>
                <w:u w:val="none" w:color="auto"/>
                <w:lang w:eastAsia="zh-CN"/>
              </w:rPr>
              <w:t>均在</w:t>
            </w:r>
            <w:r>
              <w:rPr>
                <w:rFonts w:hint="default" w:ascii="Times New Roman" w:hAnsi="Times New Roman" w:cs="Times New Roman"/>
                <w:bCs/>
                <w:color w:val="auto"/>
                <w:sz w:val="24"/>
                <w:u w:val="none" w:color="auto"/>
              </w:rPr>
              <w:t>厂区</w:t>
            </w:r>
            <w:r>
              <w:rPr>
                <w:rFonts w:hint="eastAsia" w:cs="Times New Roman"/>
                <w:bCs/>
                <w:color w:val="auto"/>
                <w:sz w:val="24"/>
                <w:u w:val="none" w:color="auto"/>
                <w:lang w:eastAsia="zh-CN"/>
              </w:rPr>
              <w:t>就餐，不</w:t>
            </w:r>
            <w:r>
              <w:rPr>
                <w:rFonts w:hint="eastAsia" w:cs="Times New Roman"/>
                <w:bCs/>
                <w:color w:val="auto"/>
                <w:sz w:val="24"/>
                <w:u w:val="none" w:color="auto"/>
                <w:lang w:val="en-US" w:eastAsia="zh-CN"/>
              </w:rPr>
              <w:t>在厂内住</w:t>
            </w:r>
            <w:r>
              <w:rPr>
                <w:rFonts w:hint="default" w:ascii="Times New Roman" w:hAnsi="Times New Roman" w:cs="Times New Roman"/>
                <w:bCs/>
                <w:color w:val="auto"/>
                <w:sz w:val="24"/>
                <w:u w:val="none" w:color="auto"/>
              </w:rPr>
              <w:t>宿，根据《湖南省用水定额》（DB43T388-2014）的规定，生活用水量按50L/人•d计，则生活用水量为</w:t>
            </w:r>
            <w:r>
              <w:rPr>
                <w:rFonts w:hint="eastAsia" w:cs="Times New Roman"/>
                <w:bCs/>
                <w:color w:val="auto"/>
                <w:sz w:val="24"/>
                <w:u w:val="none" w:color="auto"/>
                <w:lang w:val="en-US" w:eastAsia="zh-CN"/>
              </w:rPr>
              <w:t>5</w:t>
            </w:r>
            <w:r>
              <w:rPr>
                <w:rFonts w:hint="default" w:ascii="Times New Roman" w:hAnsi="Times New Roman" w:cs="Times New Roman"/>
                <w:bCs/>
                <w:color w:val="auto"/>
                <w:sz w:val="24"/>
                <w:u w:val="none" w:color="auto"/>
              </w:rPr>
              <w:t>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/d，</w:t>
            </w:r>
            <w:r>
              <w:rPr>
                <w:rFonts w:hint="eastAsia" w:cs="Times New Roman"/>
                <w:bCs/>
                <w:color w:val="auto"/>
                <w:sz w:val="24"/>
                <w:u w:val="none" w:color="auto"/>
                <w:lang w:val="en-US" w:eastAsia="zh-CN"/>
              </w:rPr>
              <w:t>1500</w:t>
            </w:r>
            <w:r>
              <w:rPr>
                <w:rFonts w:hint="default" w:ascii="Times New Roman" w:hAnsi="Times New Roman" w:cs="Times New Roman"/>
                <w:bCs/>
                <w:color w:val="auto"/>
                <w:sz w:val="24"/>
                <w:u w:val="none" w:color="auto"/>
              </w:rPr>
              <w:t xml:space="preserve"> m</w:t>
            </w:r>
            <w:r>
              <w:rPr>
                <w:rFonts w:hint="default" w:ascii="Times New Roman" w:hAnsi="Times New Roman" w:cs="Times New Roman"/>
                <w:bCs/>
                <w:color w:val="auto"/>
                <w:sz w:val="24"/>
                <w:u w:val="none" w:color="auto"/>
                <w:vertAlign w:val="superscript"/>
              </w:rPr>
              <w:t>3</w:t>
            </w:r>
            <w:r>
              <w:rPr>
                <w:rFonts w:hint="default" w:ascii="Times New Roman" w:hAnsi="Times New Roman" w:cs="Times New Roman"/>
                <w:bCs/>
                <w:color w:val="auto"/>
                <w:sz w:val="24"/>
                <w:u w:val="none" w:color="auto"/>
              </w:rPr>
              <w:t>/a</w:t>
            </w:r>
            <w:r>
              <w:rPr>
                <w:rFonts w:hint="default" w:ascii="Times New Roman" w:hAnsi="Times New Roman" w:cs="Times New Roman"/>
                <w:color w:val="auto"/>
                <w:sz w:val="24"/>
                <w:szCs w:val="24"/>
                <w:u w:val="none" w:color="auto"/>
              </w:rPr>
              <w:t>。</w:t>
            </w:r>
          </w:p>
          <w:p>
            <w:pPr>
              <w:snapToGrid w:val="0"/>
              <w:spacing w:line="360" w:lineRule="auto"/>
              <w:ind w:firstLine="480" w:firstLineChars="200"/>
              <w:rPr>
                <w:rFonts w:hint="default" w:ascii="Times New Roman" w:hAnsi="Times New Roman" w:cs="Times New Roman"/>
                <w:b/>
                <w:color w:val="auto"/>
                <w:u w:val="none" w:color="auto"/>
              </w:rPr>
            </w:pPr>
            <w:r>
              <w:rPr>
                <w:rFonts w:hint="default" w:ascii="Times New Roman" w:hAnsi="Times New Roman" w:cs="Times New Roman"/>
                <w:bCs/>
                <w:color w:val="auto"/>
                <w:sz w:val="24"/>
                <w:u w:val="none" w:color="auto"/>
              </w:rPr>
              <w:t>本项目用水情况如表1-</w:t>
            </w:r>
            <w:r>
              <w:rPr>
                <w:rFonts w:hint="eastAsia" w:cs="Times New Roman"/>
                <w:bCs/>
                <w:color w:val="auto"/>
                <w:sz w:val="24"/>
                <w:u w:val="none" w:color="auto"/>
                <w:lang w:val="en-US" w:eastAsia="zh-CN"/>
              </w:rPr>
              <w:t>6</w:t>
            </w:r>
            <w:r>
              <w:rPr>
                <w:rFonts w:hint="default" w:ascii="Times New Roman" w:hAnsi="Times New Roman" w:cs="Times New Roman"/>
                <w:bCs/>
                <w:color w:val="auto"/>
                <w:sz w:val="24"/>
                <w:u w:val="none" w:color="auto"/>
              </w:rPr>
              <w:t>所示：</w:t>
            </w:r>
          </w:p>
          <w:p>
            <w:pPr>
              <w:pStyle w:val="171"/>
              <w:spacing w:line="240" w:lineRule="auto"/>
              <w:ind w:firstLine="482"/>
              <w:jc w:val="center"/>
              <w:rPr>
                <w:rFonts w:hint="default" w:ascii="Times New Roman" w:hAnsi="Times New Roman" w:cs="Times New Roman"/>
                <w:b/>
                <w:color w:val="auto"/>
                <w:u w:val="none" w:color="auto"/>
              </w:rPr>
            </w:pPr>
            <w:r>
              <w:rPr>
                <w:rFonts w:hint="default" w:ascii="Times New Roman" w:hAnsi="Times New Roman" w:cs="Times New Roman"/>
                <w:b/>
                <w:color w:val="auto"/>
                <w:u w:val="none" w:color="auto"/>
              </w:rPr>
              <w:t>表1-</w:t>
            </w:r>
            <w:r>
              <w:rPr>
                <w:rFonts w:hint="eastAsia" w:cs="Times New Roman"/>
                <w:b/>
                <w:color w:val="auto"/>
                <w:u w:val="none" w:color="auto"/>
                <w:lang w:val="en-US" w:eastAsia="zh-CN"/>
              </w:rPr>
              <w:t>6</w:t>
            </w:r>
            <w:r>
              <w:rPr>
                <w:rFonts w:hint="default" w:ascii="Times New Roman" w:hAnsi="Times New Roman" w:cs="Times New Roman"/>
                <w:b/>
                <w:color w:val="auto"/>
                <w:u w:val="none" w:color="auto"/>
              </w:rPr>
              <w:t xml:space="preserve"> 项目用水情况估算一览表</w:t>
            </w:r>
          </w:p>
          <w:tbl>
            <w:tblPr>
              <w:tblStyle w:val="40"/>
              <w:tblW w:w="906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128"/>
              <w:gridCol w:w="713"/>
              <w:gridCol w:w="1261"/>
              <w:gridCol w:w="1428"/>
              <w:gridCol w:w="1844"/>
              <w:gridCol w:w="19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tblHeader/>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序号</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项目</w:t>
                  </w:r>
                </w:p>
              </w:tc>
              <w:tc>
                <w:tcPr>
                  <w:tcW w:w="713"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人数</w:t>
                  </w:r>
                </w:p>
              </w:tc>
              <w:tc>
                <w:tcPr>
                  <w:tcW w:w="1261"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用水定额</w:t>
                  </w:r>
                </w:p>
              </w:tc>
              <w:tc>
                <w:tcPr>
                  <w:tcW w:w="1428" w:type="dxa"/>
                  <w:tcBorders>
                    <w:tl2br w:val="nil"/>
                    <w:tr2bl w:val="nil"/>
                  </w:tcBorders>
                  <w:vAlign w:val="center"/>
                </w:tcPr>
                <w:p>
                  <w:pPr>
                    <w:pStyle w:val="170"/>
                    <w:spacing w:before="48" w:after="48" w:line="360" w:lineRule="auto"/>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年工作天数</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日用水量（t/a）</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b/>
                      <w:color w:val="auto"/>
                      <w:sz w:val="21"/>
                      <w:szCs w:val="21"/>
                      <w:u w:val="none" w:color="auto"/>
                    </w:rPr>
                  </w:pPr>
                  <w:r>
                    <w:rPr>
                      <w:rFonts w:hint="default" w:ascii="Times New Roman" w:hAnsi="Times New Roman" w:eastAsia="宋体" w:cs="Times New Roman"/>
                      <w:b/>
                      <w:color w:val="auto"/>
                      <w:sz w:val="21"/>
                      <w:szCs w:val="21"/>
                      <w:u w:val="none" w:color="auto"/>
                    </w:rPr>
                    <w:t>年用水量（t/a）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9" w:hRule="atLeast"/>
              </w:trPr>
              <w:tc>
                <w:tcPr>
                  <w:tcW w:w="737"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1</w:t>
                  </w:r>
                </w:p>
              </w:tc>
              <w:tc>
                <w:tcPr>
                  <w:tcW w:w="1128" w:type="dxa"/>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生活用水</w:t>
                  </w:r>
                </w:p>
              </w:tc>
              <w:tc>
                <w:tcPr>
                  <w:tcW w:w="713"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100</w:t>
                  </w:r>
                </w:p>
              </w:tc>
              <w:tc>
                <w:tcPr>
                  <w:tcW w:w="1261"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cs="Times New Roman"/>
                      <w:color w:val="auto"/>
                      <w:sz w:val="21"/>
                      <w:szCs w:val="21"/>
                      <w:u w:val="none" w:color="auto"/>
                    </w:rPr>
                    <w:t>50 L/人·d</w:t>
                  </w:r>
                </w:p>
              </w:tc>
              <w:tc>
                <w:tcPr>
                  <w:tcW w:w="1428"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rPr>
                  </w:pPr>
                  <w:r>
                    <w:rPr>
                      <w:rFonts w:hint="default" w:ascii="Times New Roman" w:hAnsi="Times New Roman" w:eastAsia="宋体" w:cs="Times New Roman"/>
                      <w:color w:val="auto"/>
                      <w:sz w:val="21"/>
                      <w:szCs w:val="21"/>
                      <w:u w:val="none" w:color="auto"/>
                    </w:rPr>
                    <w:t>300</w:t>
                  </w:r>
                </w:p>
              </w:tc>
              <w:tc>
                <w:tcPr>
                  <w:tcW w:w="1844"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5</w:t>
                  </w:r>
                </w:p>
              </w:tc>
              <w:tc>
                <w:tcPr>
                  <w:tcW w:w="1957" w:type="dxa"/>
                  <w:tcBorders>
                    <w:tl2br w:val="nil"/>
                    <w:tr2bl w:val="nil"/>
                  </w:tcBorders>
                  <w:vAlign w:val="center"/>
                </w:tcPr>
                <w:p>
                  <w:pPr>
                    <w:pStyle w:val="170"/>
                    <w:spacing w:before="48" w:after="48" w:line="360" w:lineRule="auto"/>
                    <w:jc w:val="center"/>
                    <w:rPr>
                      <w:rFonts w:hint="default" w:ascii="Times New Roman" w:hAnsi="Times New Roman" w:eastAsia="宋体" w:cs="Times New Roman"/>
                      <w:color w:val="auto"/>
                      <w:sz w:val="21"/>
                      <w:szCs w:val="21"/>
                      <w:u w:val="none" w:color="auto"/>
                      <w:lang w:val="en-US" w:eastAsia="zh-CN"/>
                    </w:rPr>
                  </w:pPr>
                  <w:r>
                    <w:rPr>
                      <w:rFonts w:hint="eastAsia" w:eastAsia="宋体" w:cs="Times New Roman"/>
                      <w:color w:val="auto"/>
                      <w:sz w:val="21"/>
                      <w:szCs w:val="21"/>
                      <w:u w:val="none" w:color="auto"/>
                      <w:lang w:val="en-US" w:eastAsia="zh-CN"/>
                    </w:rPr>
                    <w:t>1500</w:t>
                  </w:r>
                </w:p>
              </w:tc>
            </w:tr>
          </w:tbl>
          <w:p>
            <w:pPr>
              <w:snapToGrid w:val="0"/>
              <w:spacing w:line="360" w:lineRule="auto"/>
              <w:ind w:firstLine="480" w:firstLineChars="200"/>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（2）排水</w:t>
            </w:r>
          </w:p>
          <w:p>
            <w:pPr>
              <w:snapToGrid w:val="0"/>
              <w:spacing w:line="360" w:lineRule="auto"/>
              <w:ind w:firstLine="480" w:firstLineChars="200"/>
              <w:rPr>
                <w:rFonts w:hint="eastAsia" w:ascii="Times New Roman" w:hAnsi="Times New Roman" w:eastAsia="宋体" w:cs="Times New Roman"/>
                <w:bCs/>
                <w:color w:val="auto"/>
                <w:sz w:val="24"/>
                <w:u w:val="none" w:color="auto"/>
                <w:lang w:eastAsia="zh-CN"/>
              </w:rPr>
            </w:pPr>
            <w:r>
              <w:rPr>
                <w:rFonts w:hint="default" w:ascii="Times New Roman" w:hAnsi="Times New Roman" w:cs="Times New Roman"/>
                <w:color w:val="auto"/>
                <w:sz w:val="24"/>
                <w:szCs w:val="24"/>
                <w:u w:val="none" w:color="auto"/>
              </w:rPr>
              <w:t>本项目</w:t>
            </w:r>
            <w:r>
              <w:rPr>
                <w:rFonts w:hint="default" w:ascii="Times New Roman" w:hAnsi="Times New Roman" w:cs="Times New Roman"/>
                <w:bCs/>
                <w:color w:val="auto"/>
                <w:sz w:val="24"/>
                <w:szCs w:val="24"/>
                <w:u w:val="none" w:color="auto"/>
              </w:rPr>
              <w:t>生活污水按</w:t>
            </w:r>
            <w:r>
              <w:rPr>
                <w:rFonts w:hint="default" w:ascii="Times New Roman" w:hAnsi="Times New Roman" w:cs="Times New Roman"/>
                <w:color w:val="auto"/>
                <w:sz w:val="24"/>
                <w:szCs w:val="24"/>
                <w:u w:val="none" w:color="auto"/>
              </w:rPr>
              <w:t>产生率按</w:t>
            </w:r>
            <w:r>
              <w:rPr>
                <w:rFonts w:hint="default" w:ascii="Times New Roman" w:hAnsi="Times New Roman" w:eastAsia="Times New Roman" w:cs="Times New Roman"/>
                <w:color w:val="auto"/>
                <w:sz w:val="24"/>
                <w:szCs w:val="24"/>
                <w:u w:val="none" w:color="auto"/>
              </w:rPr>
              <w:t>80%</w:t>
            </w:r>
            <w:r>
              <w:rPr>
                <w:rFonts w:hint="default" w:ascii="Times New Roman" w:hAnsi="Times New Roman" w:cs="Times New Roman"/>
                <w:color w:val="auto"/>
                <w:sz w:val="24"/>
                <w:szCs w:val="24"/>
                <w:u w:val="none" w:color="auto"/>
              </w:rPr>
              <w:t>计，项目营运期生活污水产生量为</w:t>
            </w:r>
            <w:r>
              <w:rPr>
                <w:rFonts w:hint="eastAsia" w:cs="Times New Roman"/>
                <w:color w:val="auto"/>
                <w:sz w:val="24"/>
                <w:szCs w:val="24"/>
                <w:u w:val="none" w:color="auto"/>
                <w:lang w:val="en-US" w:eastAsia="zh-CN"/>
              </w:rPr>
              <w:t>4</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/d、</w:t>
            </w:r>
            <w:r>
              <w:rPr>
                <w:rFonts w:hint="eastAsia" w:cs="Times New Roman"/>
                <w:bCs/>
                <w:color w:val="auto"/>
                <w:sz w:val="24"/>
                <w:szCs w:val="24"/>
                <w:u w:val="none" w:color="auto"/>
                <w:lang w:val="en-US" w:eastAsia="zh-CN"/>
              </w:rPr>
              <w:t>1200</w:t>
            </w:r>
            <w:r>
              <w:rPr>
                <w:rFonts w:hint="default" w:ascii="Times New Roman" w:hAnsi="Times New Roman" w:cs="Times New Roman"/>
                <w:bCs/>
                <w:color w:val="auto"/>
                <w:sz w:val="24"/>
                <w:szCs w:val="24"/>
                <w:u w:val="none" w:color="auto"/>
              </w:rPr>
              <w:t>m</w:t>
            </w:r>
            <w:r>
              <w:rPr>
                <w:rFonts w:hint="default" w:ascii="Times New Roman" w:hAnsi="Times New Roman" w:cs="Times New Roman"/>
                <w:bCs/>
                <w:color w:val="auto"/>
                <w:sz w:val="24"/>
                <w:szCs w:val="24"/>
                <w:u w:val="none" w:color="auto"/>
                <w:vertAlign w:val="superscript"/>
              </w:rPr>
              <w:t>3</w:t>
            </w:r>
            <w:r>
              <w:rPr>
                <w:rFonts w:hint="default" w:ascii="Times New Roman" w:hAnsi="Times New Roman" w:cs="Times New Roman"/>
                <w:bCs/>
                <w:color w:val="auto"/>
                <w:sz w:val="24"/>
                <w:szCs w:val="24"/>
                <w:u w:val="none" w:color="auto"/>
              </w:rPr>
              <w:t>/a。</w:t>
            </w:r>
            <w:r>
              <w:rPr>
                <w:color w:val="auto"/>
                <w:sz w:val="24"/>
                <w:szCs w:val="24"/>
                <w:u w:val="none" w:color="auto"/>
              </w:rPr>
              <w:t>项目</w:t>
            </w:r>
            <w:r>
              <w:rPr>
                <w:rFonts w:hint="eastAsia"/>
                <w:color w:val="auto"/>
                <w:sz w:val="24"/>
                <w:szCs w:val="24"/>
                <w:u w:val="none" w:color="auto"/>
                <w:lang w:eastAsia="zh-CN"/>
              </w:rPr>
              <w:t>生活污水</w:t>
            </w:r>
            <w:r>
              <w:rPr>
                <w:color w:val="auto"/>
                <w:sz w:val="24"/>
                <w:szCs w:val="24"/>
                <w:u w:val="none" w:color="auto"/>
              </w:rPr>
              <w:t>经</w:t>
            </w:r>
            <w:r>
              <w:rPr>
                <w:rFonts w:hint="eastAsia"/>
                <w:color w:val="auto"/>
                <w:sz w:val="24"/>
                <w:szCs w:val="24"/>
                <w:u w:val="none" w:color="auto"/>
                <w:lang w:eastAsia="zh-CN"/>
              </w:rPr>
              <w:t>现有项目化粪池</w:t>
            </w:r>
            <w:r>
              <w:rPr>
                <w:color w:val="auto"/>
                <w:sz w:val="24"/>
                <w:szCs w:val="24"/>
                <w:u w:val="none" w:color="auto"/>
              </w:rPr>
              <w:t>预处理后</w:t>
            </w:r>
            <w:r>
              <w:rPr>
                <w:rFonts w:hint="eastAsia"/>
                <w:color w:val="auto"/>
                <w:sz w:val="24"/>
                <w:szCs w:val="24"/>
                <w:u w:val="none" w:color="auto"/>
                <w:lang w:eastAsia="zh-CN"/>
              </w:rPr>
              <w:t>排入园区污水管网，进入湘阴县第二污水处理厂</w:t>
            </w:r>
            <w:r>
              <w:rPr>
                <w:color w:val="auto"/>
                <w:sz w:val="24"/>
                <w:szCs w:val="24"/>
                <w:u w:val="none" w:color="auto"/>
              </w:rPr>
              <w:t>，最终汇入湘江</w:t>
            </w:r>
            <w:r>
              <w:rPr>
                <w:rFonts w:hint="eastAsia" w:cs="Times New Roman"/>
                <w:color w:val="auto"/>
                <w:sz w:val="24"/>
                <w:szCs w:val="24"/>
                <w:u w:val="none" w:color="auto"/>
                <w:lang w:eastAsia="zh-CN"/>
              </w:rPr>
              <w:t>。</w:t>
            </w:r>
          </w:p>
          <w:p>
            <w:pPr>
              <w:snapToGrid w:val="0"/>
              <w:spacing w:line="360" w:lineRule="auto"/>
              <w:ind w:firstLine="470" w:firstLineChars="196"/>
              <w:rPr>
                <w:rFonts w:hint="default" w:ascii="Times New Roman" w:hAnsi="Times New Roman" w:cs="Times New Roman"/>
                <w:bCs/>
                <w:color w:val="auto"/>
                <w:sz w:val="24"/>
                <w:u w:val="none" w:color="auto"/>
              </w:rPr>
            </w:pPr>
            <w:r>
              <w:rPr>
                <w:rFonts w:hint="default" w:ascii="Times New Roman" w:hAnsi="Times New Roman" w:cs="Times New Roman"/>
                <w:bCs/>
                <w:color w:val="auto"/>
                <w:sz w:val="24"/>
                <w:u w:val="none" w:color="auto"/>
              </w:rPr>
              <w:t>本项目水平衡情况如图1-1所示。</w:t>
            </w:r>
          </w:p>
          <w:p>
            <w:pPr>
              <w:pStyle w:val="171"/>
              <w:spacing w:line="360" w:lineRule="auto"/>
              <w:ind w:firstLine="0" w:firstLineChars="0"/>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r>
              <w:rPr>
                <w:rFonts w:hint="default" w:ascii="Times New Roman" w:hAnsi="Times New Roman" w:cs="Times New Roman"/>
                <w:color w:val="auto"/>
                <w:sz w:val="24"/>
                <w:u w:val="none" w:color="auto"/>
                <w:lang w:eastAsia="zh-CN"/>
              </w:rPr>
              <w:pict>
                <v:shape id="_x0000_s2050" o:spid="_x0000_s2050" o:spt="75" type="#_x0000_t75" style="position:absolute;left:0pt;margin-left:1.2pt;margin-top:-23pt;height:145pt;width:470.5pt;z-index:251663360;mso-width-relative:page;mso-height-relative:page;" o:ole="t" filled="f" o:preferrelative="t" stroked="f" coordsize="21600,21600">
                  <v:path/>
                  <v:fill on="f" focussize="0,0"/>
                  <v:stroke on="f"/>
                  <v:imagedata r:id="rId11" o:title=""/>
                  <o:lock v:ext="edit" aspectratio="f"/>
                </v:shape>
                <o:OLEObject Type="Embed" ProgID="Visio.Drawing.11" ShapeID="_x0000_s2050" DrawAspect="Content" ObjectID="_1468075725" r:id="rId10">
                  <o:LockedField>false</o:LockedField>
                </o:OLEObject>
              </w:pict>
            </w: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left="0" w:leftChars="0" w:firstLine="0" w:firstLineChars="0"/>
              <w:jc w:val="both"/>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bCs/>
                <w:color w:val="auto"/>
                <w:u w:val="none" w:color="auto"/>
              </w:rPr>
            </w:pPr>
          </w:p>
          <w:p>
            <w:pPr>
              <w:pStyle w:val="171"/>
              <w:spacing w:line="360" w:lineRule="auto"/>
              <w:ind w:firstLineChars="83"/>
              <w:jc w:val="center"/>
              <w:rPr>
                <w:rFonts w:hint="default" w:ascii="Times New Roman" w:hAnsi="Times New Roman" w:cs="Times New Roman"/>
                <w:b/>
                <w:color w:val="auto"/>
                <w:sz w:val="24"/>
                <w:szCs w:val="24"/>
                <w:u w:val="none" w:color="auto"/>
              </w:rPr>
            </w:pPr>
            <w:r>
              <w:rPr>
                <w:rFonts w:hint="default" w:ascii="Times New Roman" w:hAnsi="Times New Roman" w:cs="Times New Roman"/>
                <w:b/>
                <w:bCs/>
                <w:color w:val="auto"/>
                <w:u w:val="none" w:color="auto"/>
              </w:rPr>
              <w:t>图1-1  项目水平衡图</w:t>
            </w:r>
          </w:p>
          <w:p>
            <w:pPr>
              <w:spacing w:line="360" w:lineRule="auto"/>
              <w:ind w:firstLine="482" w:firstLineChars="200"/>
              <w:jc w:val="left"/>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7、劳动定员及生产制度</w:t>
            </w:r>
          </w:p>
          <w:p>
            <w:pPr>
              <w:tabs>
                <w:tab w:val="left" w:pos="630"/>
              </w:tabs>
              <w:spacing w:line="360" w:lineRule="auto"/>
              <w:ind w:firstLine="480" w:firstLineChars="200"/>
              <w:jc w:val="left"/>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劳动定员：项目劳动定员总数为</w:t>
            </w:r>
            <w:r>
              <w:rPr>
                <w:rFonts w:hint="eastAsia" w:cs="Times New Roman"/>
                <w:color w:val="auto"/>
                <w:sz w:val="24"/>
                <w:u w:val="none" w:color="auto"/>
                <w:lang w:val="en-US" w:eastAsia="zh-CN"/>
              </w:rPr>
              <w:t>160</w:t>
            </w:r>
            <w:r>
              <w:rPr>
                <w:rFonts w:hint="default" w:ascii="Times New Roman" w:hAnsi="Times New Roman" w:cs="Times New Roman"/>
                <w:color w:val="auto"/>
                <w:sz w:val="24"/>
                <w:u w:val="none" w:color="auto"/>
              </w:rPr>
              <w:t>人</w:t>
            </w:r>
            <w:r>
              <w:rPr>
                <w:rFonts w:hint="eastAsia" w:cs="Times New Roman"/>
                <w:color w:val="auto"/>
                <w:sz w:val="24"/>
                <w:u w:val="none" w:color="auto"/>
                <w:lang w:eastAsia="zh-CN"/>
              </w:rPr>
              <w:t>，其中原项目</w:t>
            </w:r>
            <w:r>
              <w:rPr>
                <w:rFonts w:hint="eastAsia" w:cs="Times New Roman"/>
                <w:color w:val="auto"/>
                <w:sz w:val="24"/>
                <w:u w:val="none" w:color="auto"/>
                <w:lang w:val="en-US" w:eastAsia="zh-CN"/>
              </w:rPr>
              <w:t>60人，新增项目100人</w:t>
            </w:r>
            <w:r>
              <w:rPr>
                <w:rFonts w:hint="default" w:ascii="Times New Roman" w:hAnsi="Times New Roman" w:cs="Times New Roman"/>
                <w:color w:val="auto"/>
                <w:sz w:val="24"/>
                <w:u w:val="none" w:color="auto"/>
              </w:rPr>
              <w:t>。年工作300天，每班运行8小时。</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85" w:type="dxa"/>
            <w:bottom w:w="0" w:type="dxa"/>
            <w:right w:w="85" w:type="dxa"/>
          </w:tblCellMar>
        </w:tblPrEx>
        <w:trPr>
          <w:trHeight w:val="1549" w:hRule="atLeast"/>
          <w:jc w:val="center"/>
        </w:trPr>
        <w:tc>
          <w:tcPr>
            <w:tcW w:w="9268" w:type="dxa"/>
            <w:gridSpan w:val="7"/>
          </w:tcPr>
          <w:p>
            <w:pPr>
              <w:spacing w:line="360" w:lineRule="auto"/>
              <w:outlineLvl w:val="1"/>
              <w:rPr>
                <w:rFonts w:hint="default" w:ascii="Times New Roman" w:hAnsi="Times New Roman" w:cs="Times New Roman"/>
                <w:color w:val="auto"/>
                <w:sz w:val="24"/>
                <w:u w:val="none" w:color="auto"/>
              </w:rPr>
            </w:pPr>
            <w:r>
              <w:rPr>
                <w:rFonts w:hint="default" w:ascii="Times New Roman" w:hAnsi="Times New Roman" w:cs="Times New Roman"/>
                <w:b/>
                <w:color w:val="auto"/>
                <w:sz w:val="28"/>
                <w:u w:val="none" w:color="auto"/>
              </w:rPr>
              <w:t>与本项目有关的原有污染物情况及主要环境问题</w:t>
            </w:r>
          </w:p>
          <w:p>
            <w:pPr>
              <w:adjustRightInd w:val="0"/>
              <w:snapToGrid w:val="0"/>
              <w:spacing w:line="360" w:lineRule="auto"/>
              <w:ind w:firstLine="480" w:firstLineChars="200"/>
              <w:jc w:val="left"/>
              <w:rPr>
                <w:rFonts w:hint="default" w:ascii="Times New Roman" w:hAnsi="Times New Roman" w:cs="Times New Roman"/>
                <w:b/>
                <w:color w:val="auto"/>
                <w:kern w:val="0"/>
                <w:sz w:val="24"/>
                <w:szCs w:val="24"/>
                <w:u w:val="none" w:color="auto"/>
              </w:rPr>
            </w:pPr>
            <w:r>
              <w:rPr>
                <w:rFonts w:hint="eastAsia" w:cs="Times New Roman"/>
                <w:color w:val="auto"/>
                <w:sz w:val="24"/>
                <w:szCs w:val="24"/>
                <w:u w:val="none" w:color="auto"/>
                <w:lang w:eastAsia="zh-CN"/>
              </w:rPr>
              <w:t>湖南湘变电气有限责任公司位于湖南省湘阴县工业园区健铭路（湖南湘变电气有限责任公司内）</w:t>
            </w:r>
            <w:r>
              <w:rPr>
                <w:rFonts w:hint="default" w:ascii="Times New Roman" w:hAnsi="Times New Roman" w:cs="Times New Roman"/>
                <w:color w:val="auto"/>
                <w:sz w:val="24"/>
                <w:szCs w:val="24"/>
                <w:u w:val="none" w:color="auto"/>
              </w:rPr>
              <w:t>，</w:t>
            </w:r>
            <w:r>
              <w:rPr>
                <w:rFonts w:hint="eastAsia" w:ascii="Times New Roman" w:hAnsi="Times New Roman" w:cs="Times New Roman"/>
                <w:color w:val="auto"/>
                <w:sz w:val="24"/>
                <w:szCs w:val="24"/>
                <w:u w:val="none" w:color="auto"/>
                <w:lang w:eastAsia="zh-CN"/>
              </w:rPr>
              <w:t>项目位于公司现有厂区西侧，项目拟扩建地块现状</w:t>
            </w:r>
            <w:r>
              <w:rPr>
                <w:rFonts w:hint="eastAsia" w:cs="Times New Roman"/>
                <w:color w:val="auto"/>
                <w:sz w:val="24"/>
                <w:szCs w:val="24"/>
                <w:u w:val="none" w:color="auto"/>
                <w:lang w:eastAsia="zh-CN"/>
              </w:rPr>
              <w:t>空地</w:t>
            </w:r>
            <w:r>
              <w:rPr>
                <w:rFonts w:hint="eastAsia" w:ascii="Times New Roman" w:hAnsi="Times New Roman" w:cs="Times New Roman"/>
                <w:color w:val="auto"/>
                <w:sz w:val="24"/>
                <w:szCs w:val="24"/>
                <w:u w:val="none" w:color="auto"/>
                <w:lang w:eastAsia="zh-CN"/>
              </w:rPr>
              <w:t>，无集中居民区。</w:t>
            </w:r>
            <w:r>
              <w:rPr>
                <w:rFonts w:hint="eastAsia" w:cs="Times New Roman"/>
                <w:color w:val="auto"/>
                <w:sz w:val="24"/>
                <w:szCs w:val="24"/>
                <w:u w:val="none" w:color="auto"/>
                <w:lang w:eastAsia="zh-CN"/>
              </w:rPr>
              <w:t>湖南湘变电气有限责任公司年产</w:t>
            </w:r>
            <w:r>
              <w:rPr>
                <w:rFonts w:hint="eastAsia" w:cs="Times New Roman"/>
                <w:color w:val="auto"/>
                <w:sz w:val="24"/>
                <w:szCs w:val="24"/>
                <w:u w:val="none" w:color="auto"/>
                <w:lang w:val="en-US" w:eastAsia="zh-CN"/>
              </w:rPr>
              <w:t>1500台180MVA变压器项目于2010年10月完成了环境影响评价报告表的编制，于2010年12月15日由湘阴县环境保护局对其进行了审批，文号：湘环评批【2010】110号，完成建设后，于2013年2月22日完成了项目的验收审批（具体详见附件）</w:t>
            </w:r>
            <w:r>
              <w:rPr>
                <w:rFonts w:hint="default" w:ascii="Times New Roman" w:hAnsi="Times New Roman" w:cs="Times New Roman"/>
                <w:color w:val="auto"/>
                <w:sz w:val="24"/>
                <w:szCs w:val="24"/>
                <w:u w:val="none" w:color="auto"/>
              </w:rPr>
              <w:t>，原项目基本情况如下：</w:t>
            </w:r>
          </w:p>
          <w:p>
            <w:pPr>
              <w:spacing w:line="360" w:lineRule="auto"/>
              <w:ind w:firstLine="482" w:firstLineChars="200"/>
              <w:rPr>
                <w:rFonts w:hint="default" w:ascii="Times New Roman" w:hAnsi="Times New Roman" w:cs="Times New Roman"/>
                <w:b/>
                <w:bCs/>
                <w:color w:val="auto"/>
                <w:sz w:val="24"/>
                <w:szCs w:val="22"/>
                <w:u w:val="none" w:color="auto"/>
              </w:rPr>
            </w:pPr>
            <w:r>
              <w:rPr>
                <w:rFonts w:hint="default" w:ascii="Times New Roman" w:hAnsi="Times New Roman" w:cs="Times New Roman"/>
                <w:b/>
                <w:bCs/>
                <w:color w:val="auto"/>
                <w:sz w:val="24"/>
                <w:szCs w:val="22"/>
                <w:u w:val="none" w:color="auto"/>
              </w:rPr>
              <w:t>1原项目建设内容</w:t>
            </w:r>
          </w:p>
          <w:p>
            <w:pPr>
              <w:spacing w:line="360" w:lineRule="auto"/>
              <w:ind w:firstLine="480" w:firstLineChars="200"/>
              <w:rPr>
                <w:rFonts w:hint="default" w:ascii="Times New Roman" w:hAnsi="Times New Roman" w:cs="Times New Roman"/>
                <w:b/>
                <w:color w:val="auto"/>
                <w:sz w:val="24"/>
                <w:u w:val="none" w:color="auto"/>
              </w:rPr>
            </w:pPr>
            <w:r>
              <w:rPr>
                <w:rFonts w:hint="default" w:ascii="Times New Roman" w:hAnsi="Times New Roman" w:cs="Times New Roman"/>
                <w:color w:val="auto"/>
                <w:sz w:val="24"/>
                <w:szCs w:val="32"/>
                <w:u w:val="none" w:color="auto"/>
              </w:rPr>
              <w:t>原项目基本内容见下表1-</w:t>
            </w:r>
            <w:r>
              <w:rPr>
                <w:rFonts w:hint="eastAsia" w:cs="Times New Roman"/>
                <w:color w:val="auto"/>
                <w:sz w:val="24"/>
                <w:szCs w:val="32"/>
                <w:u w:val="none" w:color="auto"/>
                <w:lang w:val="en-US" w:eastAsia="zh-CN"/>
              </w:rPr>
              <w:t>7</w:t>
            </w:r>
            <w:r>
              <w:rPr>
                <w:rFonts w:hint="default" w:ascii="Times New Roman" w:hAnsi="Times New Roman" w:cs="Times New Roman"/>
                <w:color w:val="auto"/>
                <w:sz w:val="24"/>
                <w:szCs w:val="32"/>
                <w:u w:val="none" w:color="auto"/>
              </w:rPr>
              <w:t>。</w:t>
            </w:r>
          </w:p>
          <w:p>
            <w:pPr>
              <w:adjustRightInd w:val="0"/>
              <w:snapToGrid w:val="0"/>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w:t>
            </w:r>
            <w:r>
              <w:rPr>
                <w:rFonts w:hint="eastAsia" w:cs="Times New Roman"/>
                <w:b/>
                <w:color w:val="auto"/>
                <w:sz w:val="24"/>
                <w:szCs w:val="24"/>
                <w:u w:val="none" w:color="auto"/>
                <w:lang w:val="en-US" w:eastAsia="zh-CN"/>
              </w:rPr>
              <w:t>7</w:t>
            </w:r>
            <w:r>
              <w:rPr>
                <w:rFonts w:hint="default" w:ascii="Times New Roman" w:hAnsi="Times New Roman" w:cs="Times New Roman"/>
                <w:b/>
                <w:color w:val="auto"/>
                <w:sz w:val="24"/>
                <w:szCs w:val="24"/>
                <w:u w:val="none" w:color="auto"/>
              </w:rPr>
              <w:t xml:space="preserve">  </w:t>
            </w:r>
            <w:r>
              <w:rPr>
                <w:rFonts w:hint="eastAsia" w:cs="Times New Roman"/>
                <w:b/>
                <w:color w:val="auto"/>
                <w:sz w:val="24"/>
                <w:szCs w:val="24"/>
                <w:u w:val="none" w:color="auto"/>
                <w:lang w:eastAsia="zh-CN"/>
              </w:rPr>
              <w:t>原</w:t>
            </w:r>
            <w:r>
              <w:rPr>
                <w:rFonts w:hint="default" w:ascii="Times New Roman" w:hAnsi="Times New Roman" w:cs="Times New Roman"/>
                <w:b/>
                <w:color w:val="auto"/>
                <w:sz w:val="24"/>
                <w:szCs w:val="24"/>
                <w:u w:val="none" w:color="auto"/>
              </w:rPr>
              <w:t>项目组成一览表</w:t>
            </w:r>
          </w:p>
          <w:tbl>
            <w:tblPr>
              <w:tblStyle w:val="40"/>
              <w:tblW w:w="90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21"/>
              <w:gridCol w:w="1961"/>
              <w:gridCol w:w="1680"/>
              <w:gridCol w:w="46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2782" w:type="dxa"/>
                  <w:gridSpan w:val="2"/>
                  <w:vAlign w:val="center"/>
                </w:tcPr>
                <w:p>
                  <w:pPr>
                    <w:adjustRightInd w:val="0"/>
                    <w:snapToGrid w:val="0"/>
                    <w:spacing w:line="360" w:lineRule="auto"/>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建设项目</w:t>
                  </w:r>
                </w:p>
              </w:tc>
              <w:tc>
                <w:tcPr>
                  <w:tcW w:w="6286" w:type="dxa"/>
                  <w:gridSpan w:val="2"/>
                  <w:vAlign w:val="center"/>
                </w:tcPr>
                <w:p>
                  <w:pPr>
                    <w:adjustRightInd w:val="0"/>
                    <w:snapToGrid w:val="0"/>
                    <w:spacing w:line="360" w:lineRule="auto"/>
                    <w:jc w:val="center"/>
                    <w:rPr>
                      <w:rFonts w:hint="default" w:ascii="Times New Roman" w:hAnsi="Times New Roman" w:eastAsia="宋体" w:cs="Times New Roman"/>
                      <w:b/>
                      <w:color w:val="auto"/>
                      <w:sz w:val="22"/>
                      <w:szCs w:val="22"/>
                      <w:u w:val="none" w:color="auto"/>
                    </w:rPr>
                  </w:pPr>
                  <w:r>
                    <w:rPr>
                      <w:rFonts w:hint="default" w:ascii="Times New Roman" w:hAnsi="Times New Roman" w:eastAsia="宋体" w:cs="Times New Roman"/>
                      <w:b/>
                      <w:color w:val="auto"/>
                      <w:sz w:val="22"/>
                      <w:szCs w:val="22"/>
                      <w:u w:val="none" w:color="auto"/>
                    </w:rPr>
                    <w:t>建设内容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2782" w:type="dxa"/>
                  <w:gridSpan w:val="2"/>
                  <w:vMerge w:val="restart"/>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主体工程</w:t>
                  </w:r>
                </w:p>
              </w:tc>
              <w:tc>
                <w:tcPr>
                  <w:tcW w:w="1680" w:type="dxa"/>
                  <w:tcBorders>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lang w:val="en-US" w:eastAsia="zh-CN"/>
                    </w:rPr>
                  </w:pPr>
                  <w:r>
                    <w:rPr>
                      <w:rFonts w:hint="eastAsia" w:cs="Times New Roman"/>
                      <w:bCs/>
                      <w:color w:val="auto"/>
                      <w:sz w:val="22"/>
                      <w:szCs w:val="22"/>
                      <w:u w:val="none" w:color="auto"/>
                      <w:lang w:val="en-US" w:eastAsia="zh-CN"/>
                    </w:rPr>
                    <w:t>厂房三</w:t>
                  </w:r>
                </w:p>
              </w:tc>
              <w:tc>
                <w:tcPr>
                  <w:tcW w:w="4606" w:type="dxa"/>
                  <w:tcBorders>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lang w:val="en-US" w:eastAsia="zh-CN"/>
                    </w:rPr>
                  </w:pPr>
                  <w:r>
                    <w:rPr>
                      <w:rFonts w:hint="eastAsia" w:cs="Times New Roman"/>
                      <w:bCs/>
                      <w:color w:val="auto"/>
                      <w:sz w:val="22"/>
                      <w:szCs w:val="22"/>
                      <w:u w:val="none" w:color="auto"/>
                      <w:lang w:eastAsia="zh-CN"/>
                    </w:rPr>
                    <w:t>建筑面积为</w:t>
                  </w:r>
                  <w:r>
                    <w:rPr>
                      <w:rFonts w:hint="eastAsia" w:cs="Times New Roman"/>
                      <w:bCs/>
                      <w:color w:val="auto"/>
                      <w:sz w:val="22"/>
                      <w:szCs w:val="22"/>
                      <w:u w:val="none" w:color="auto"/>
                      <w:lang w:val="en-US" w:eastAsia="zh-CN"/>
                    </w:rPr>
                    <w:t>1200m</w:t>
                  </w:r>
                  <w:r>
                    <w:rPr>
                      <w:rFonts w:hint="eastAsia" w:cs="Times New Roman"/>
                      <w:bCs/>
                      <w:color w:val="auto"/>
                      <w:sz w:val="22"/>
                      <w:szCs w:val="22"/>
                      <w:u w:val="none" w:color="auto"/>
                      <w:vertAlign w:val="superscript"/>
                      <w:lang w:val="en-US" w:eastAsia="zh-CN"/>
                    </w:rPr>
                    <w:t>2</w:t>
                  </w:r>
                  <w:r>
                    <w:rPr>
                      <w:rFonts w:hint="eastAsia" w:cs="Times New Roman"/>
                      <w:bCs/>
                      <w:color w:val="auto"/>
                      <w:sz w:val="22"/>
                      <w:szCs w:val="22"/>
                      <w:u w:val="none" w:color="auto"/>
                      <w:lang w:val="en-US" w:eastAsia="zh-CN"/>
                    </w:rPr>
                    <w:t>，车间主要为喷漆（1号喷漆房）、晾干区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6" w:hRule="atLeast"/>
                <w:jc w:val="center"/>
              </w:trPr>
              <w:tc>
                <w:tcPr>
                  <w:tcW w:w="2782"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eastAsia" w:cs="Times New Roman"/>
                      <w:bCs/>
                      <w:color w:val="auto"/>
                      <w:sz w:val="22"/>
                      <w:szCs w:val="22"/>
                      <w:u w:val="none" w:color="auto"/>
                      <w:lang w:val="en-US" w:eastAsia="zh-CN"/>
                    </w:rPr>
                    <w:t>厂房二</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eastAsia" w:cs="Times New Roman"/>
                      <w:bCs/>
                      <w:color w:val="auto"/>
                      <w:sz w:val="22"/>
                      <w:szCs w:val="22"/>
                      <w:u w:val="none" w:color="auto"/>
                      <w:lang w:eastAsia="zh-CN"/>
                    </w:rPr>
                    <w:t>建筑面积为</w:t>
                  </w:r>
                  <w:r>
                    <w:rPr>
                      <w:rFonts w:hint="eastAsia" w:cs="Times New Roman"/>
                      <w:bCs/>
                      <w:color w:val="auto"/>
                      <w:sz w:val="22"/>
                      <w:szCs w:val="22"/>
                      <w:u w:val="none" w:color="auto"/>
                      <w:lang w:val="en-US" w:eastAsia="zh-CN"/>
                    </w:rPr>
                    <w:t>4728m</w:t>
                  </w:r>
                  <w:r>
                    <w:rPr>
                      <w:rFonts w:hint="eastAsia" w:cs="Times New Roman"/>
                      <w:bCs/>
                      <w:color w:val="auto"/>
                      <w:sz w:val="22"/>
                      <w:szCs w:val="22"/>
                      <w:u w:val="none" w:color="auto"/>
                      <w:vertAlign w:val="superscript"/>
                      <w:lang w:val="en-US" w:eastAsia="zh-CN"/>
                    </w:rPr>
                    <w:t>2</w:t>
                  </w:r>
                  <w:r>
                    <w:rPr>
                      <w:rFonts w:hint="eastAsia" w:cs="Times New Roman"/>
                      <w:bCs/>
                      <w:color w:val="auto"/>
                      <w:sz w:val="22"/>
                      <w:szCs w:val="22"/>
                      <w:u w:val="none" w:color="auto"/>
                      <w:lang w:val="en-US" w:eastAsia="zh-CN"/>
                    </w:rPr>
                    <w:t>，车间主要为机加工（主要为（油浸式变压器、干式变压器、</w:t>
                  </w:r>
                  <w:r>
                    <w:rPr>
                      <w:rFonts w:hint="eastAsia" w:cs="Times New Roman"/>
                      <w:bCs/>
                      <w:color w:val="auto"/>
                      <w:sz w:val="22"/>
                      <w:szCs w:val="22"/>
                      <w:u w:val="none" w:color="auto"/>
                      <w:lang w:eastAsia="zh-CN"/>
                    </w:rPr>
                    <w:t>箱式变压器</w:t>
                  </w:r>
                  <w:r>
                    <w:rPr>
                      <w:rFonts w:hint="eastAsia" w:cs="Times New Roman"/>
                      <w:bCs/>
                      <w:color w:val="auto"/>
                      <w:sz w:val="22"/>
                      <w:szCs w:val="22"/>
                      <w:u w:val="none" w:color="auto"/>
                      <w:lang w:val="en-US" w:eastAsia="zh-CN"/>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8" w:hRule="atLeast"/>
                <w:jc w:val="center"/>
              </w:trPr>
              <w:tc>
                <w:tcPr>
                  <w:tcW w:w="2782" w:type="dxa"/>
                  <w:gridSpan w:val="2"/>
                  <w:vMerge w:val="continue"/>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680" w:type="dxa"/>
                  <w:tcBorders>
                    <w:top w:val="single" w:color="auto" w:sz="4" w:space="0"/>
                    <w:bottom w:val="single" w:color="auto" w:sz="4" w:space="0"/>
                    <w:right w:val="single" w:color="auto" w:sz="4" w:space="0"/>
                  </w:tcBorders>
                  <w:vAlign w:val="center"/>
                </w:tcPr>
                <w:p>
                  <w:pPr>
                    <w:adjustRightInd w:val="0"/>
                    <w:snapToGrid w:val="0"/>
                    <w:spacing w:line="360" w:lineRule="auto"/>
                    <w:jc w:val="center"/>
                    <w:rPr>
                      <w:rFonts w:hint="eastAsia" w:ascii="Times New Roman" w:hAnsi="Times New Roman" w:eastAsia="宋体" w:cs="Times New Roman"/>
                      <w:bCs/>
                      <w:color w:val="auto"/>
                      <w:sz w:val="22"/>
                      <w:szCs w:val="22"/>
                      <w:u w:val="none" w:color="auto"/>
                      <w:lang w:eastAsia="zh-CN"/>
                    </w:rPr>
                  </w:pPr>
                  <w:r>
                    <w:rPr>
                      <w:rFonts w:hint="eastAsia" w:cs="Times New Roman"/>
                      <w:bCs/>
                      <w:color w:val="auto"/>
                      <w:sz w:val="22"/>
                      <w:szCs w:val="22"/>
                      <w:u w:val="none" w:color="auto"/>
                      <w:lang w:eastAsia="zh-CN"/>
                    </w:rPr>
                    <w:t>办公楼</w:t>
                  </w:r>
                </w:p>
              </w:tc>
              <w:tc>
                <w:tcPr>
                  <w:tcW w:w="4606" w:type="dxa"/>
                  <w:tcBorders>
                    <w:top w:val="single" w:color="auto" w:sz="4" w:space="0"/>
                    <w:left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bCs/>
                      <w:color w:val="auto"/>
                      <w:sz w:val="22"/>
                      <w:szCs w:val="22"/>
                      <w:u w:val="none" w:color="auto"/>
                    </w:rPr>
                  </w:pPr>
                  <w:r>
                    <w:rPr>
                      <w:rFonts w:hint="eastAsia" w:cs="Times New Roman"/>
                      <w:bCs/>
                      <w:color w:val="auto"/>
                      <w:sz w:val="22"/>
                      <w:szCs w:val="22"/>
                      <w:u w:val="none" w:color="auto"/>
                      <w:lang w:eastAsia="zh-CN"/>
                    </w:rPr>
                    <w:t>项目共</w:t>
                  </w:r>
                  <w:r>
                    <w:rPr>
                      <w:rFonts w:hint="eastAsia" w:cs="Times New Roman"/>
                      <w:bCs/>
                      <w:color w:val="auto"/>
                      <w:sz w:val="22"/>
                      <w:szCs w:val="22"/>
                      <w:u w:val="none" w:color="auto"/>
                      <w:lang w:val="en-US" w:eastAsia="zh-CN"/>
                    </w:rPr>
                    <w:t>2F，总建筑面积为6720m</w:t>
                  </w:r>
                  <w:r>
                    <w:rPr>
                      <w:rFonts w:hint="eastAsia" w:cs="Times New Roman"/>
                      <w:bCs/>
                      <w:color w:val="auto"/>
                      <w:sz w:val="22"/>
                      <w:szCs w:val="22"/>
                      <w:u w:val="none" w:color="auto"/>
                      <w:vertAlign w:val="superscript"/>
                      <w:lang w:val="en-US" w:eastAsia="zh-CN"/>
                    </w:rPr>
                    <w:t>2</w:t>
                  </w:r>
                  <w:r>
                    <w:rPr>
                      <w:rFonts w:hint="eastAsia" w:cs="Times New Roman"/>
                      <w:bCs/>
                      <w:color w:val="auto"/>
                      <w:sz w:val="22"/>
                      <w:szCs w:val="22"/>
                      <w:u w:val="none" w:color="auto"/>
                      <w:lang w:val="en-US" w:eastAsia="zh-CN"/>
                    </w:rPr>
                    <w:t>，主要为办公生活用房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restart"/>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公用工程</w:t>
                  </w:r>
                </w:p>
              </w:tc>
              <w:tc>
                <w:tcPr>
                  <w:tcW w:w="1961" w:type="dxa"/>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供电系统</w:t>
                  </w:r>
                </w:p>
              </w:tc>
              <w:tc>
                <w:tcPr>
                  <w:tcW w:w="6286"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使用</w:t>
                  </w:r>
                  <w:r>
                    <w:rPr>
                      <w:rFonts w:hint="eastAsia" w:cs="Times New Roman"/>
                      <w:bCs/>
                      <w:color w:val="auto"/>
                      <w:sz w:val="22"/>
                      <w:szCs w:val="22"/>
                      <w:u w:val="none" w:color="auto"/>
                      <w:lang w:eastAsia="zh-CN"/>
                    </w:rPr>
                    <w:t>国家电网</w:t>
                  </w:r>
                  <w:r>
                    <w:rPr>
                      <w:rFonts w:hint="default" w:ascii="Times New Roman" w:hAnsi="Times New Roman" w:eastAsia="宋体" w:cs="Times New Roman"/>
                      <w:bCs/>
                      <w:color w:val="auto"/>
                      <w:sz w:val="22"/>
                      <w:szCs w:val="22"/>
                      <w:u w:val="none" w:color="auto"/>
                    </w:rPr>
                    <w:t>供电系统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给水系统</w:t>
                  </w:r>
                </w:p>
              </w:tc>
              <w:tc>
                <w:tcPr>
                  <w:tcW w:w="6286" w:type="dxa"/>
                  <w:gridSpan w:val="2"/>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市政给水管网给水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6" w:hRule="atLeast"/>
                <w:jc w:val="center"/>
              </w:trPr>
              <w:tc>
                <w:tcPr>
                  <w:tcW w:w="821" w:type="dxa"/>
                  <w:vMerge w:val="continue"/>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排水系统</w:t>
                  </w:r>
                </w:p>
              </w:tc>
              <w:tc>
                <w:tcPr>
                  <w:tcW w:w="6286" w:type="dxa"/>
                  <w:gridSpan w:val="2"/>
                  <w:vAlign w:val="center"/>
                </w:tcPr>
                <w:p>
                  <w:pPr>
                    <w:adjustRightInd w:val="0"/>
                    <w:snapToGrid w:val="0"/>
                    <w:spacing w:line="360" w:lineRule="auto"/>
                    <w:jc w:val="center"/>
                    <w:rPr>
                      <w:rFonts w:hint="eastAsia" w:ascii="Times New Roman" w:hAnsi="Times New Roman" w:eastAsia="宋体" w:cs="Times New Roman"/>
                      <w:bCs/>
                      <w:color w:val="auto"/>
                      <w:sz w:val="22"/>
                      <w:szCs w:val="22"/>
                      <w:u w:val="none" w:color="auto"/>
                      <w:lang w:val="en-US" w:eastAsia="zh-CN"/>
                    </w:rPr>
                  </w:pPr>
                  <w:r>
                    <w:rPr>
                      <w:rFonts w:hint="default" w:ascii="Times New Roman" w:hAnsi="Times New Roman" w:eastAsia="宋体" w:cs="Times New Roman"/>
                      <w:color w:val="auto"/>
                      <w:sz w:val="22"/>
                      <w:szCs w:val="22"/>
                      <w:u w:val="none" w:color="auto"/>
                    </w:rPr>
                    <w:t>实行“雨污分流”排水方式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821" w:type="dxa"/>
                  <w:vMerge w:val="restart"/>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环保工程</w:t>
                  </w:r>
                </w:p>
              </w:tc>
              <w:tc>
                <w:tcPr>
                  <w:tcW w:w="1961"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废水</w:t>
                  </w:r>
                </w:p>
              </w:tc>
              <w:tc>
                <w:tcPr>
                  <w:tcW w:w="6286" w:type="dxa"/>
                  <w:gridSpan w:val="2"/>
                  <w:vAlign w:val="center"/>
                </w:tcPr>
                <w:p>
                  <w:pPr>
                    <w:adjustRightInd w:val="0"/>
                    <w:snapToGrid w:val="0"/>
                    <w:spacing w:line="360" w:lineRule="auto"/>
                    <w:rPr>
                      <w:rFonts w:hint="default" w:ascii="Times New Roman" w:hAnsi="Times New Roman" w:eastAsia="宋体" w:cs="Times New Roman"/>
                      <w:bCs/>
                      <w:color w:val="auto"/>
                      <w:sz w:val="22"/>
                      <w:szCs w:val="22"/>
                      <w:u w:val="none" w:color="auto"/>
                    </w:rPr>
                  </w:pPr>
                  <w:r>
                    <w:rPr>
                      <w:color w:val="auto"/>
                      <w:sz w:val="22"/>
                      <w:szCs w:val="22"/>
                      <w:u w:val="none" w:color="auto"/>
                    </w:rPr>
                    <w:t>雨污分流，雨水进入园区雨水管网；</w:t>
                  </w:r>
                  <w:r>
                    <w:rPr>
                      <w:rFonts w:hint="eastAsia"/>
                      <w:color w:val="auto"/>
                      <w:sz w:val="22"/>
                      <w:szCs w:val="22"/>
                      <w:u w:val="none" w:color="auto"/>
                      <w:lang w:eastAsia="zh-CN"/>
                    </w:rPr>
                    <w:t>喷漆废气处理废水经沉淀后循环使用，生活污水和地面清洁废水经隔油化粪池处理后排入园区污水管网，进入湘阴县第二污水处理厂</w:t>
                  </w:r>
                  <w:r>
                    <w:rPr>
                      <w:color w:val="auto"/>
                      <w:sz w:val="22"/>
                      <w:szCs w:val="22"/>
                      <w:u w:val="none" w:color="auto"/>
                    </w:rPr>
                    <w:t>，处理达到《城镇污水处理厂污染物排放标准（GB18918—2002）》中一级标准的A类标准后，最终汇入湘江</w:t>
                  </w:r>
                  <w:r>
                    <w:rPr>
                      <w:rFonts w:hint="default" w:ascii="Times New Roman" w:hAnsi="Times New Roman" w:eastAsia="宋体" w:cs="Times New Roman"/>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噪声</w:t>
                  </w:r>
                </w:p>
              </w:tc>
              <w:tc>
                <w:tcPr>
                  <w:tcW w:w="6286" w:type="dxa"/>
                  <w:gridSpan w:val="2"/>
                  <w:vAlign w:val="center"/>
                </w:tcPr>
                <w:p>
                  <w:pPr>
                    <w:adjustRightInd w:val="0"/>
                    <w:snapToGrid w:val="0"/>
                    <w:spacing w:line="360" w:lineRule="auto"/>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合理布局，</w:t>
                  </w:r>
                  <w:r>
                    <w:rPr>
                      <w:rFonts w:hint="default" w:ascii="Times New Roman" w:hAnsi="Times New Roman" w:eastAsia="宋体" w:cs="Times New Roman"/>
                      <w:color w:val="auto"/>
                      <w:sz w:val="22"/>
                      <w:szCs w:val="22"/>
                      <w:u w:val="none" w:color="auto"/>
                    </w:rPr>
                    <w:t>对高噪设备采取隔声、减振措施进行处理。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vMerge w:val="restart"/>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废气</w:t>
                  </w:r>
                </w:p>
              </w:tc>
              <w:tc>
                <w:tcPr>
                  <w:tcW w:w="6286" w:type="dxa"/>
                  <w:gridSpan w:val="2"/>
                  <w:vAlign w:val="center"/>
                </w:tcPr>
                <w:p>
                  <w:pPr>
                    <w:adjustRightInd w:val="0"/>
                    <w:snapToGrid w:val="0"/>
                    <w:spacing w:line="360" w:lineRule="auto"/>
                    <w:rPr>
                      <w:rFonts w:hint="eastAsia" w:ascii="Times New Roman" w:hAnsi="Times New Roman" w:eastAsia="宋体" w:cs="Times New Roman"/>
                      <w:bCs/>
                      <w:color w:val="auto"/>
                      <w:sz w:val="22"/>
                      <w:szCs w:val="22"/>
                      <w:u w:val="none" w:color="auto"/>
                      <w:lang w:eastAsia="zh-CN"/>
                    </w:rPr>
                  </w:pPr>
                  <w:r>
                    <w:rPr>
                      <w:rFonts w:hint="eastAsia" w:cs="Times New Roman"/>
                      <w:bCs/>
                      <w:color w:val="auto"/>
                      <w:sz w:val="22"/>
                      <w:szCs w:val="22"/>
                      <w:u w:val="none" w:color="auto"/>
                      <w:lang w:eastAsia="zh-CN"/>
                    </w:rPr>
                    <w:t>焊接烟尘无组织排放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9"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6286" w:type="dxa"/>
                  <w:gridSpan w:val="2"/>
                  <w:tcBorders>
                    <w:top w:val="single" w:color="auto" w:sz="4" w:space="0"/>
                    <w:bottom w:val="single" w:color="auto" w:sz="4" w:space="0"/>
                  </w:tcBorders>
                  <w:vAlign w:val="center"/>
                </w:tcPr>
                <w:p>
                  <w:pPr>
                    <w:adjustRightInd w:val="0"/>
                    <w:snapToGrid w:val="0"/>
                    <w:spacing w:line="360" w:lineRule="auto"/>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烤房废气（水蒸气）经抽风系统集中收集后由</w:t>
                  </w:r>
                  <w:r>
                    <w:rPr>
                      <w:rFonts w:hint="eastAsia" w:cs="Times New Roman"/>
                      <w:color w:val="auto"/>
                      <w:sz w:val="22"/>
                      <w:szCs w:val="22"/>
                      <w:u w:val="none" w:color="auto"/>
                      <w:lang w:val="en-US" w:eastAsia="zh-CN"/>
                    </w:rPr>
                    <w:t>15m高排气筒高空排放（只作为变压器内部水分烘干，不是喷漆后烘干，原料为电）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1"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6286" w:type="dxa"/>
                  <w:gridSpan w:val="2"/>
                  <w:tcBorders>
                    <w:top w:val="single" w:color="auto" w:sz="4" w:space="0"/>
                    <w:bottom w:val="single" w:color="auto" w:sz="4" w:space="0"/>
                  </w:tcBorders>
                  <w:vAlign w:val="center"/>
                </w:tcPr>
                <w:p>
                  <w:pPr>
                    <w:adjustRightInd w:val="0"/>
                    <w:snapToGrid w:val="0"/>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喷漆</w:t>
                  </w:r>
                  <w:r>
                    <w:rPr>
                      <w:rFonts w:hint="eastAsia" w:cs="Times New Roman"/>
                      <w:color w:val="auto"/>
                      <w:sz w:val="22"/>
                      <w:szCs w:val="22"/>
                      <w:u w:val="none" w:color="auto"/>
                      <w:lang w:eastAsia="zh-CN"/>
                    </w:rPr>
                    <w:t>废气</w:t>
                  </w:r>
                  <w:r>
                    <w:rPr>
                      <w:rFonts w:hint="default" w:ascii="Times New Roman" w:hAnsi="Times New Roman" w:cs="Times New Roman"/>
                      <w:color w:val="auto"/>
                      <w:sz w:val="22"/>
                      <w:szCs w:val="22"/>
                      <w:u w:val="none" w:color="auto"/>
                      <w:lang w:eastAsia="zh-CN"/>
                    </w:rPr>
                    <w:t>经</w:t>
                  </w:r>
                  <w:r>
                    <w:rPr>
                      <w:rFonts w:hint="eastAsia" w:cs="Times New Roman"/>
                      <w:color w:val="auto"/>
                      <w:sz w:val="22"/>
                      <w:szCs w:val="22"/>
                      <w:u w:val="none" w:color="auto"/>
                      <w:lang w:eastAsia="zh-CN"/>
                    </w:rPr>
                    <w:t>水膜净化装置</w:t>
                  </w:r>
                  <w:r>
                    <w:rPr>
                      <w:rFonts w:hint="eastAsia" w:cs="Times New Roman"/>
                      <w:color w:val="auto"/>
                      <w:sz w:val="22"/>
                      <w:szCs w:val="22"/>
                      <w:u w:val="none" w:color="auto"/>
                      <w:lang w:val="en-US" w:eastAsia="zh-CN"/>
                    </w:rPr>
                    <w:t>+活性炭处</w:t>
                  </w:r>
                  <w:r>
                    <w:rPr>
                      <w:rFonts w:hint="default" w:ascii="Times New Roman" w:hAnsi="Times New Roman" w:cs="Times New Roman"/>
                      <w:color w:val="auto"/>
                      <w:sz w:val="22"/>
                      <w:szCs w:val="22"/>
                      <w:u w:val="none" w:color="auto"/>
                      <w:lang w:eastAsia="zh-CN"/>
                    </w:rPr>
                    <w:t>理后</w:t>
                  </w:r>
                  <w:r>
                    <w:rPr>
                      <w:rFonts w:hint="default" w:ascii="Times New Roman" w:hAnsi="Times New Roman" w:eastAsia="宋体" w:cs="Times New Roman"/>
                      <w:color w:val="auto"/>
                      <w:sz w:val="22"/>
                      <w:szCs w:val="22"/>
                      <w:u w:val="none" w:color="auto"/>
                    </w:rPr>
                    <w:t>通过 15m 排气筒排放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8" w:hRule="atLeast"/>
                <w:jc w:val="center"/>
              </w:trPr>
              <w:tc>
                <w:tcPr>
                  <w:tcW w:w="821" w:type="dxa"/>
                  <w:vMerge w:val="continue"/>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vMerge w:val="continue"/>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6286" w:type="dxa"/>
                  <w:gridSpan w:val="2"/>
                  <w:tcBorders>
                    <w:top w:val="single" w:color="auto" w:sz="4" w:space="0"/>
                  </w:tcBorders>
                  <w:vAlign w:val="center"/>
                </w:tcPr>
                <w:p>
                  <w:pPr>
                    <w:adjustRightInd w:val="0"/>
                    <w:snapToGrid w:val="0"/>
                    <w:spacing w:line="360" w:lineRule="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食堂油烟经油烟净化器处理后由高于屋顶的管道排放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21" w:type="dxa"/>
                  <w:tcBorders>
                    <w:righ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p>
              </w:tc>
              <w:tc>
                <w:tcPr>
                  <w:tcW w:w="1961" w:type="dxa"/>
                  <w:tcBorders>
                    <w:left w:val="single" w:color="auto" w:sz="4" w:space="0"/>
                  </w:tcBorders>
                  <w:vAlign w:val="center"/>
                </w:tcPr>
                <w:p>
                  <w:pPr>
                    <w:adjustRightInd w:val="0"/>
                    <w:snapToGrid w:val="0"/>
                    <w:spacing w:line="360" w:lineRule="auto"/>
                    <w:jc w:val="center"/>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固废</w:t>
                  </w:r>
                </w:p>
              </w:tc>
              <w:tc>
                <w:tcPr>
                  <w:tcW w:w="6286" w:type="dxa"/>
                  <w:gridSpan w:val="2"/>
                  <w:vAlign w:val="center"/>
                </w:tcPr>
                <w:p>
                  <w:pPr>
                    <w:adjustRightInd w:val="0"/>
                    <w:snapToGrid w:val="0"/>
                    <w:spacing w:line="360" w:lineRule="auto"/>
                    <w:rPr>
                      <w:rFonts w:hint="default" w:ascii="Times New Roman" w:hAnsi="Times New Roman" w:eastAsia="宋体" w:cs="Times New Roman"/>
                      <w:bCs/>
                      <w:color w:val="auto"/>
                      <w:sz w:val="22"/>
                      <w:szCs w:val="22"/>
                      <w:u w:val="none" w:color="auto"/>
                    </w:rPr>
                  </w:pPr>
                  <w:r>
                    <w:rPr>
                      <w:rFonts w:hint="default" w:ascii="Times New Roman" w:hAnsi="Times New Roman" w:eastAsia="宋体" w:cs="Times New Roman"/>
                      <w:bCs/>
                      <w:color w:val="auto"/>
                      <w:sz w:val="22"/>
                      <w:szCs w:val="22"/>
                      <w:u w:val="none" w:color="auto"/>
                    </w:rPr>
                    <w:t>设置垃圾收集箱若干，1座</w:t>
                  </w:r>
                  <w:r>
                    <w:rPr>
                      <w:rFonts w:hint="eastAsia" w:cs="Times New Roman"/>
                      <w:bCs/>
                      <w:color w:val="auto"/>
                      <w:sz w:val="22"/>
                      <w:szCs w:val="22"/>
                      <w:u w:val="none" w:color="auto"/>
                      <w:lang w:eastAsia="zh-CN"/>
                    </w:rPr>
                    <w:t>危险废物</w:t>
                  </w:r>
                  <w:r>
                    <w:rPr>
                      <w:rFonts w:hint="default" w:ascii="Times New Roman" w:hAnsi="Times New Roman" w:eastAsia="宋体" w:cs="Times New Roman"/>
                      <w:bCs/>
                      <w:color w:val="auto"/>
                      <w:sz w:val="22"/>
                      <w:szCs w:val="22"/>
                      <w:u w:val="none" w:color="auto"/>
                    </w:rPr>
                    <w:t>暂存间（</w:t>
                  </w:r>
                  <w:r>
                    <w:rPr>
                      <w:rFonts w:hint="eastAsia" w:cs="Times New Roman"/>
                      <w:bCs/>
                      <w:color w:val="auto"/>
                      <w:sz w:val="22"/>
                      <w:szCs w:val="22"/>
                      <w:u w:val="none" w:color="auto"/>
                      <w:lang w:eastAsia="zh-CN"/>
                    </w:rPr>
                    <w:t>位于厂房三东侧</w:t>
                  </w:r>
                  <w:r>
                    <w:rPr>
                      <w:rFonts w:hint="default" w:ascii="Times New Roman" w:hAnsi="Times New Roman" w:eastAsia="宋体" w:cs="Times New Roman"/>
                      <w:bCs/>
                      <w:color w:val="auto"/>
                      <w:sz w:val="22"/>
                      <w:szCs w:val="22"/>
                      <w:u w:val="none" w:color="auto"/>
                    </w:rPr>
                    <w:t>）</w:t>
                  </w:r>
                  <w:r>
                    <w:rPr>
                      <w:rFonts w:hint="eastAsia" w:cs="Times New Roman"/>
                      <w:bCs/>
                      <w:color w:val="auto"/>
                      <w:sz w:val="22"/>
                      <w:szCs w:val="22"/>
                      <w:u w:val="none" w:color="auto"/>
                      <w:lang w:eastAsia="zh-CN"/>
                    </w:rPr>
                    <w:t>、一般固废堆放区</w:t>
                  </w:r>
                  <w:r>
                    <w:rPr>
                      <w:rFonts w:hint="default" w:ascii="Times New Roman" w:hAnsi="Times New Roman" w:eastAsia="宋体" w:cs="Times New Roman"/>
                      <w:bCs/>
                      <w:color w:val="auto"/>
                      <w:sz w:val="22"/>
                      <w:szCs w:val="22"/>
                      <w:u w:val="none" w:color="auto"/>
                    </w:rPr>
                    <w:t>。生活垃圾交由环卫部门处理，</w:t>
                  </w:r>
                  <w:r>
                    <w:rPr>
                      <w:rFonts w:hint="eastAsia" w:cs="Times New Roman"/>
                      <w:bCs/>
                      <w:color w:val="auto"/>
                      <w:sz w:val="22"/>
                      <w:szCs w:val="22"/>
                      <w:u w:val="none" w:color="auto"/>
                      <w:lang w:eastAsia="zh-CN"/>
                    </w:rPr>
                    <w:t>一般固废收集后交由安全处置，危险废物收集于危险废物储存间，再交由湖南瀚洋环保科技有限公司进行处理</w:t>
                  </w:r>
                  <w:r>
                    <w:rPr>
                      <w:rFonts w:hint="default" w:ascii="Times New Roman" w:hAnsi="Times New Roman" w:eastAsia="宋体" w:cs="Times New Roman"/>
                      <w:bCs/>
                      <w:color w:val="auto"/>
                      <w:sz w:val="22"/>
                      <w:szCs w:val="22"/>
                      <w:u w:val="none" w:color="auto"/>
                    </w:rPr>
                    <w:t>。</w:t>
                  </w:r>
                </w:p>
              </w:tc>
            </w:tr>
          </w:tbl>
          <w:p>
            <w:pPr>
              <w:pStyle w:val="17"/>
              <w:keepNext w:val="0"/>
              <w:keepLines w:val="0"/>
              <w:pageBreakBefore w:val="0"/>
              <w:widowControl w:val="0"/>
              <w:tabs>
                <w:tab w:val="left" w:pos="780"/>
              </w:tabs>
              <w:kinsoku/>
              <w:wordWrap/>
              <w:overflowPunct/>
              <w:topLinePunct w:val="0"/>
              <w:autoSpaceDE/>
              <w:autoSpaceDN/>
              <w:bidi w:val="0"/>
              <w:adjustRightInd/>
              <w:snapToGrid/>
              <w:spacing w:after="0" w:line="360" w:lineRule="auto"/>
              <w:ind w:left="0" w:leftChars="0" w:firstLine="482" w:firstLineChars="200"/>
              <w:textAlignment w:val="auto"/>
              <w:outlineLvl w:val="2"/>
              <w:rPr>
                <w:rFonts w:hint="default" w:ascii="Times New Roman" w:hAnsi="Times New Roman" w:cs="Times New Roman"/>
                <w:b/>
                <w:color w:val="auto"/>
                <w:sz w:val="24"/>
                <w:u w:val="none" w:color="auto"/>
              </w:rPr>
            </w:pPr>
            <w:r>
              <w:rPr>
                <w:rFonts w:hint="default" w:ascii="Times New Roman" w:hAnsi="Times New Roman" w:cs="Times New Roman"/>
                <w:b/>
                <w:bCs/>
                <w:color w:val="auto"/>
                <w:sz w:val="24"/>
                <w:u w:val="none" w:color="auto"/>
                <w:lang w:val="en-US" w:eastAsia="zh-CN"/>
              </w:rPr>
              <w:t>2</w:t>
            </w:r>
            <w:r>
              <w:rPr>
                <w:rFonts w:hint="default" w:ascii="Times New Roman" w:hAnsi="Times New Roman" w:cs="Times New Roman"/>
                <w:b/>
                <w:color w:val="auto"/>
                <w:sz w:val="24"/>
                <w:u w:val="none" w:color="auto"/>
              </w:rPr>
              <w:t>产品方案</w:t>
            </w:r>
          </w:p>
          <w:p>
            <w:pPr>
              <w:jc w:val="center"/>
              <w:rPr>
                <w:rFonts w:hint="default" w:ascii="Times New Roman" w:hAnsi="Times New Roman" w:cs="Times New Roman"/>
                <w:color w:val="auto"/>
                <w:sz w:val="24"/>
                <w:szCs w:val="24"/>
                <w:u w:val="none" w:color="auto"/>
              </w:rPr>
            </w:pPr>
            <w:r>
              <w:rPr>
                <w:rFonts w:hint="default" w:ascii="Times New Roman" w:hAnsi="Times New Roman" w:cs="Times New Roman"/>
                <w:b/>
                <w:bCs/>
                <w:color w:val="auto"/>
                <w:sz w:val="24"/>
                <w:szCs w:val="24"/>
                <w:u w:val="none" w:color="auto"/>
              </w:rPr>
              <w:t>表1-</w:t>
            </w:r>
            <w:r>
              <w:rPr>
                <w:rFonts w:hint="eastAsia" w:cs="Times New Roman"/>
                <w:b/>
                <w:bCs/>
                <w:color w:val="auto"/>
                <w:sz w:val="24"/>
                <w:szCs w:val="24"/>
                <w:u w:val="none" w:color="auto"/>
                <w:lang w:val="en-US" w:eastAsia="zh-CN"/>
              </w:rPr>
              <w:t>8</w:t>
            </w:r>
            <w:r>
              <w:rPr>
                <w:rFonts w:hint="default" w:ascii="Times New Roman" w:hAnsi="Times New Roman" w:cs="Times New Roman"/>
                <w:b/>
                <w:bCs/>
                <w:color w:val="auto"/>
                <w:sz w:val="24"/>
                <w:szCs w:val="24"/>
                <w:u w:val="none" w:color="auto"/>
              </w:rPr>
              <w:t xml:space="preserve">  产品方案一览表</w:t>
            </w:r>
          </w:p>
          <w:tbl>
            <w:tblPr>
              <w:tblStyle w:val="4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5783"/>
              <w:gridCol w:w="32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21" w:hRule="atLeast"/>
                <w:jc w:val="center"/>
              </w:trPr>
              <w:tc>
                <w:tcPr>
                  <w:tcW w:w="3188" w:type="pct"/>
                  <w:vAlign w:val="center"/>
                </w:tcPr>
                <w:p>
                  <w:pPr>
                    <w:pStyle w:val="169"/>
                    <w:spacing w:line="360" w:lineRule="auto"/>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b/>
                      <w:color w:val="auto"/>
                      <w:sz w:val="22"/>
                      <w:szCs w:val="22"/>
                      <w:u w:val="none" w:color="auto"/>
                    </w:rPr>
                    <w:t>产品名称</w:t>
                  </w:r>
                </w:p>
              </w:tc>
              <w:tc>
                <w:tcPr>
                  <w:tcW w:w="1811" w:type="pct"/>
                  <w:vAlign w:val="center"/>
                </w:tcPr>
                <w:p>
                  <w:pPr>
                    <w:pStyle w:val="169"/>
                    <w:spacing w:line="360" w:lineRule="auto"/>
                    <w:rPr>
                      <w:rFonts w:hint="default" w:ascii="Times New Roman" w:hAnsi="Times New Roman" w:eastAsia="宋体" w:cs="Times New Roman"/>
                      <w:color w:val="auto"/>
                      <w:sz w:val="22"/>
                      <w:szCs w:val="22"/>
                      <w:u w:val="none" w:color="auto"/>
                      <w:lang w:val="en-US" w:eastAsia="zh-CN"/>
                    </w:rPr>
                  </w:pPr>
                  <w:r>
                    <w:rPr>
                      <w:rFonts w:hint="default" w:ascii="Times New Roman" w:hAnsi="Times New Roman" w:cs="Times New Roman"/>
                      <w:b/>
                      <w:color w:val="auto"/>
                      <w:sz w:val="22"/>
                      <w:szCs w:val="22"/>
                      <w:u w:val="none" w:color="auto"/>
                    </w:rPr>
                    <w:t>年</w:t>
                  </w:r>
                  <w:r>
                    <w:rPr>
                      <w:rFonts w:hint="eastAsia" w:cs="Times New Roman"/>
                      <w:b/>
                      <w:color w:val="auto"/>
                      <w:sz w:val="22"/>
                      <w:szCs w:val="22"/>
                      <w:u w:val="none" w:color="auto"/>
                      <w:lang w:eastAsia="zh-CN"/>
                    </w:rPr>
                    <w:t>产量（台）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77" w:hRule="atLeast"/>
                <w:jc w:val="center"/>
              </w:trPr>
              <w:tc>
                <w:tcPr>
                  <w:tcW w:w="3188" w:type="pct"/>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180MVA变压器</w:t>
                  </w:r>
                </w:p>
              </w:tc>
              <w:tc>
                <w:tcPr>
                  <w:tcW w:w="1811" w:type="pct"/>
                  <w:vAlign w:val="center"/>
                </w:tcPr>
                <w:p>
                  <w:pPr>
                    <w:pStyle w:val="169"/>
                    <w:spacing w:line="360" w:lineRule="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1500</w:t>
                  </w:r>
                </w:p>
              </w:tc>
            </w:tr>
          </w:tbl>
          <w:p>
            <w:pPr>
              <w:pStyle w:val="17"/>
              <w:tabs>
                <w:tab w:val="left" w:pos="780"/>
              </w:tabs>
              <w:spacing w:after="0" w:line="360" w:lineRule="auto"/>
              <w:outlineLvl w:val="2"/>
              <w:rPr>
                <w:rFonts w:hint="default" w:ascii="Times New Roman" w:hAnsi="Times New Roman" w:cs="Times New Roman"/>
                <w:b/>
                <w:bCs/>
                <w:color w:val="auto"/>
                <w:sz w:val="24"/>
                <w:u w:val="none" w:color="auto"/>
              </w:rPr>
            </w:pPr>
            <w:r>
              <w:rPr>
                <w:rFonts w:hint="default" w:ascii="Times New Roman" w:hAnsi="Times New Roman" w:cs="Times New Roman"/>
                <w:b/>
                <w:bCs/>
                <w:color w:val="auto"/>
                <w:sz w:val="24"/>
                <w:u w:val="none" w:color="auto"/>
                <w:lang w:val="en-US" w:eastAsia="zh-CN"/>
              </w:rPr>
              <w:t>3</w:t>
            </w:r>
            <w:r>
              <w:rPr>
                <w:rFonts w:hint="default" w:ascii="Times New Roman" w:hAnsi="Times New Roman" w:cs="Times New Roman"/>
                <w:b/>
                <w:bCs/>
                <w:color w:val="auto"/>
                <w:sz w:val="24"/>
                <w:u w:val="none" w:color="auto"/>
              </w:rPr>
              <w:t>原项目主要原辅材料及能耗消耗情况</w:t>
            </w:r>
          </w:p>
          <w:p>
            <w:pPr>
              <w:spacing w:line="360" w:lineRule="auto"/>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表1-</w:t>
            </w:r>
            <w:r>
              <w:rPr>
                <w:rFonts w:hint="eastAsia" w:cs="Times New Roman"/>
                <w:b/>
                <w:color w:val="auto"/>
                <w:sz w:val="24"/>
                <w:szCs w:val="24"/>
                <w:u w:val="none" w:color="auto"/>
                <w:lang w:val="en-US" w:eastAsia="zh-CN"/>
              </w:rPr>
              <w:t>9</w:t>
            </w:r>
            <w:r>
              <w:rPr>
                <w:rFonts w:hint="default" w:ascii="Times New Roman" w:hAnsi="Times New Roman" w:cs="Times New Roman"/>
                <w:b/>
                <w:color w:val="auto"/>
                <w:sz w:val="24"/>
                <w:szCs w:val="24"/>
                <w:u w:val="none" w:color="auto"/>
              </w:rPr>
              <w:t xml:space="preserve">   原项目主要原材料消耗和能源消耗情况</w:t>
            </w:r>
          </w:p>
          <w:tbl>
            <w:tblPr>
              <w:tblStyle w:val="4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16"/>
              <w:gridCol w:w="3175"/>
              <w:gridCol w:w="38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b/>
                      <w:color w:val="auto"/>
                      <w:sz w:val="22"/>
                      <w:szCs w:val="22"/>
                      <w:u w:val="none" w:color="auto"/>
                    </w:rPr>
                    <w:t>序号</w:t>
                  </w:r>
                </w:p>
              </w:tc>
              <w:tc>
                <w:tcPr>
                  <w:tcW w:w="1750"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b/>
                      <w:color w:val="auto"/>
                      <w:sz w:val="22"/>
                      <w:szCs w:val="22"/>
                      <w:u w:val="none" w:color="auto"/>
                    </w:rPr>
                    <w:t>名称</w:t>
                  </w:r>
                </w:p>
              </w:tc>
              <w:tc>
                <w:tcPr>
                  <w:tcW w:w="2137"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default" w:ascii="Times New Roman" w:hAnsi="Times New Roman" w:eastAsia="宋体" w:cs="Times New Roman"/>
                      <w:b/>
                      <w:color w:val="auto"/>
                      <w:sz w:val="22"/>
                      <w:szCs w:val="22"/>
                      <w:u w:val="none" w:color="auto"/>
                    </w:rPr>
                    <w:t>年用量</w:t>
                  </w:r>
                  <w:r>
                    <w:rPr>
                      <w:rFonts w:hint="eastAsia" w:eastAsia="宋体" w:cs="Times New Roman"/>
                      <w:b/>
                      <w:color w:val="auto"/>
                      <w:sz w:val="22"/>
                      <w:szCs w:val="22"/>
                      <w:u w:val="none" w:color="auto"/>
                      <w:lang w:eastAsia="zh-CN"/>
                    </w:rPr>
                    <w:t>（</w:t>
                  </w:r>
                  <w:r>
                    <w:rPr>
                      <w:rFonts w:hint="eastAsia" w:eastAsia="宋体" w:cs="Times New Roman"/>
                      <w:b/>
                      <w:color w:val="auto"/>
                      <w:sz w:val="22"/>
                      <w:szCs w:val="22"/>
                      <w:u w:val="none" w:color="auto"/>
                      <w:lang w:val="en-US" w:eastAsia="zh-CN"/>
                    </w:rPr>
                    <w:t>t</w:t>
                  </w:r>
                  <w:r>
                    <w:rPr>
                      <w:rFonts w:hint="eastAsia" w:eastAsia="宋体" w:cs="Times New Roman"/>
                      <w:b/>
                      <w:color w:val="auto"/>
                      <w:sz w:val="22"/>
                      <w:szCs w:val="22"/>
                      <w:u w:val="none" w:color="auto"/>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w:t>
                  </w:r>
                </w:p>
              </w:tc>
              <w:tc>
                <w:tcPr>
                  <w:tcW w:w="1750" w:type="pct"/>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硅钢片</w:t>
                  </w:r>
                </w:p>
              </w:tc>
              <w:tc>
                <w:tcPr>
                  <w:tcW w:w="2137" w:type="pct"/>
                  <w:tcBorders>
                    <w:tl2br w:val="nil"/>
                    <w:tr2bl w:val="nil"/>
                  </w:tcBorders>
                  <w:vAlign w:val="bottom"/>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280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2</w:t>
                  </w:r>
                </w:p>
              </w:tc>
              <w:tc>
                <w:tcPr>
                  <w:tcW w:w="1750"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铜线</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1600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3</w:t>
                  </w:r>
                </w:p>
              </w:tc>
              <w:tc>
                <w:tcPr>
                  <w:tcW w:w="1750" w:type="pct"/>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钢材</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4</w:t>
                  </w:r>
                </w:p>
              </w:tc>
              <w:tc>
                <w:tcPr>
                  <w:tcW w:w="1750" w:type="pct"/>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变压器油</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5</w:t>
                  </w:r>
                </w:p>
              </w:tc>
              <w:tc>
                <w:tcPr>
                  <w:tcW w:w="1750" w:type="pct"/>
                  <w:tcBorders>
                    <w:tl2br w:val="nil"/>
                    <w:tr2bl w:val="nil"/>
                  </w:tcBorders>
                  <w:vAlign w:val="center"/>
                </w:tcPr>
                <w:p>
                  <w:pPr>
                    <w:pStyle w:val="170"/>
                    <w:spacing w:before="48" w:after="48" w:line="360" w:lineRule="auto"/>
                    <w:rPr>
                      <w:rFonts w:hint="eastAsia"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绝缘纸板</w:t>
                  </w:r>
                </w:p>
              </w:tc>
              <w:tc>
                <w:tcPr>
                  <w:tcW w:w="2137" w:type="pct"/>
                  <w:tcBorders>
                    <w:tl2br w:val="nil"/>
                    <w:tr2bl w:val="nil"/>
                  </w:tcBorders>
                  <w:vAlign w:val="bottom"/>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6</w:t>
                  </w:r>
                </w:p>
              </w:tc>
              <w:tc>
                <w:tcPr>
                  <w:tcW w:w="1750"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定型木材</w:t>
                  </w:r>
                </w:p>
              </w:tc>
              <w:tc>
                <w:tcPr>
                  <w:tcW w:w="2137"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7</w:t>
                  </w:r>
                </w:p>
              </w:tc>
              <w:tc>
                <w:tcPr>
                  <w:tcW w:w="1750"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油性漆</w:t>
                  </w:r>
                </w:p>
              </w:tc>
              <w:tc>
                <w:tcPr>
                  <w:tcW w:w="2137"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8</w:t>
                  </w:r>
                </w:p>
              </w:tc>
              <w:tc>
                <w:tcPr>
                  <w:tcW w:w="1750"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水</w:t>
                  </w:r>
                </w:p>
              </w:tc>
              <w:tc>
                <w:tcPr>
                  <w:tcW w:w="2137"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13740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9</w:t>
                  </w:r>
                </w:p>
              </w:tc>
              <w:tc>
                <w:tcPr>
                  <w:tcW w:w="1750" w:type="pct"/>
                  <w:tcBorders>
                    <w:tl2br w:val="nil"/>
                    <w:tr2bl w:val="nil"/>
                  </w:tcBorders>
                  <w:vAlign w:val="center"/>
                </w:tcPr>
                <w:p>
                  <w:pPr>
                    <w:pStyle w:val="170"/>
                    <w:spacing w:before="48" w:after="48" w:line="360" w:lineRule="auto"/>
                    <w:rPr>
                      <w:rFonts w:hint="eastAsia" w:ascii="Times New Roman" w:hAnsi="Times New Roman" w:eastAsia="宋体" w:cs="Times New Roman"/>
                      <w:color w:val="auto"/>
                      <w:sz w:val="22"/>
                      <w:szCs w:val="22"/>
                      <w:u w:val="none" w:color="auto"/>
                      <w:lang w:eastAsia="zh-CN"/>
                    </w:rPr>
                  </w:pPr>
                  <w:r>
                    <w:rPr>
                      <w:rFonts w:hint="eastAsia" w:eastAsia="宋体" w:cs="Times New Roman"/>
                      <w:color w:val="auto"/>
                      <w:sz w:val="22"/>
                      <w:szCs w:val="22"/>
                      <w:u w:val="none" w:color="auto"/>
                      <w:lang w:eastAsia="zh-CN"/>
                    </w:rPr>
                    <w:t>电</w:t>
                  </w:r>
                </w:p>
              </w:tc>
              <w:tc>
                <w:tcPr>
                  <w:tcW w:w="2137"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15万KWA/a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10</w:t>
                  </w:r>
                </w:p>
              </w:tc>
              <w:tc>
                <w:tcPr>
                  <w:tcW w:w="1750" w:type="pct"/>
                  <w:tcBorders>
                    <w:tl2br w:val="nil"/>
                    <w:tr2bl w:val="nil"/>
                  </w:tcBorders>
                  <w:vAlign w:val="center"/>
                </w:tcPr>
                <w:p>
                  <w:pPr>
                    <w:spacing w:before="48" w:after="48" w:line="360" w:lineRule="auto"/>
                    <w:jc w:val="center"/>
                    <w:rPr>
                      <w:rFonts w:hint="default" w:eastAsia="宋体" w:cs="Times New Roman"/>
                      <w:color w:val="auto"/>
                      <w:sz w:val="22"/>
                      <w:szCs w:val="22"/>
                      <w:u w:val="none" w:color="auto"/>
                      <w:lang w:val="en-US" w:eastAsia="zh-CN"/>
                    </w:rPr>
                  </w:pPr>
                  <w:r>
                    <w:rPr>
                      <w:rFonts w:hint="eastAsia" w:cs="Times New Roman"/>
                      <w:color w:val="auto"/>
                      <w:sz w:val="22"/>
                      <w:szCs w:val="22"/>
                      <w:u w:val="none" w:color="auto"/>
                      <w:lang w:eastAsia="zh-CN"/>
                    </w:rPr>
                    <w:t>焊条</w:t>
                  </w:r>
                </w:p>
              </w:tc>
              <w:tc>
                <w:tcPr>
                  <w:tcW w:w="2137" w:type="pct"/>
                  <w:tcBorders>
                    <w:tl2br w:val="nil"/>
                    <w:tr2bl w:val="nil"/>
                  </w:tcBorders>
                  <w:vAlign w:val="center"/>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0.3t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11</w:t>
                  </w:r>
                </w:p>
              </w:tc>
              <w:tc>
                <w:tcPr>
                  <w:tcW w:w="1750" w:type="pct"/>
                  <w:tcBorders>
                    <w:tl2br w:val="nil"/>
                    <w:tr2bl w:val="nil"/>
                  </w:tcBorders>
                  <w:vAlign w:val="center"/>
                </w:tcPr>
                <w:p>
                  <w:pPr>
                    <w:spacing w:before="48" w:after="48" w:line="360" w:lineRule="auto"/>
                    <w:jc w:val="center"/>
                    <w:rPr>
                      <w:rFonts w:hint="eastAsia" w:eastAsia="宋体" w:cs="Times New Roman"/>
                      <w:color w:val="auto"/>
                      <w:sz w:val="22"/>
                      <w:szCs w:val="22"/>
                      <w:u w:val="none" w:color="auto"/>
                      <w:lang w:eastAsia="zh-CN"/>
                    </w:rPr>
                  </w:pPr>
                  <w:r>
                    <w:rPr>
                      <w:rFonts w:hint="eastAsia" w:cs="Times New Roman"/>
                      <w:color w:val="auto"/>
                      <w:sz w:val="22"/>
                      <w:szCs w:val="22"/>
                      <w:u w:val="none" w:color="auto"/>
                      <w:lang w:eastAsia="zh-CN"/>
                    </w:rPr>
                    <w:t>二氧化碳</w:t>
                  </w:r>
                </w:p>
              </w:tc>
              <w:tc>
                <w:tcPr>
                  <w:tcW w:w="2137" w:type="pct"/>
                  <w:tcBorders>
                    <w:tl2br w:val="nil"/>
                    <w:tr2bl w:val="nil"/>
                  </w:tcBorders>
                  <w:vAlign w:val="center"/>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0.10t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12</w:t>
                  </w:r>
                </w:p>
              </w:tc>
              <w:tc>
                <w:tcPr>
                  <w:tcW w:w="1750" w:type="pct"/>
                  <w:tcBorders>
                    <w:tl2br w:val="nil"/>
                    <w:tr2bl w:val="nil"/>
                  </w:tcBorders>
                  <w:vAlign w:val="center"/>
                </w:tcPr>
                <w:p>
                  <w:pPr>
                    <w:spacing w:before="48" w:after="48" w:line="360" w:lineRule="auto"/>
                    <w:jc w:val="center"/>
                    <w:rPr>
                      <w:rFonts w:hint="eastAsia" w:eastAsia="宋体" w:cs="Times New Roman"/>
                      <w:color w:val="auto"/>
                      <w:sz w:val="22"/>
                      <w:szCs w:val="22"/>
                      <w:u w:val="none" w:color="auto"/>
                      <w:lang w:eastAsia="zh-CN"/>
                    </w:rPr>
                  </w:pPr>
                  <w:r>
                    <w:rPr>
                      <w:rFonts w:hint="eastAsia" w:cs="Times New Roman"/>
                      <w:color w:val="auto"/>
                      <w:sz w:val="22"/>
                      <w:szCs w:val="22"/>
                      <w:u w:val="none" w:color="auto"/>
                      <w:lang w:eastAsia="zh-CN"/>
                    </w:rPr>
                    <w:t>乙炔</w:t>
                  </w:r>
                </w:p>
              </w:tc>
              <w:tc>
                <w:tcPr>
                  <w:tcW w:w="2137" w:type="pct"/>
                  <w:tcBorders>
                    <w:tl2br w:val="nil"/>
                    <w:tr2bl w:val="nil"/>
                  </w:tcBorders>
                  <w:vAlign w:val="center"/>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0.2t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12" w:type="pct"/>
                  <w:tcBorders>
                    <w:tl2br w:val="nil"/>
                    <w:tr2bl w:val="nil"/>
                  </w:tcBorders>
                  <w:vAlign w:val="center"/>
                </w:tcPr>
                <w:p>
                  <w:pPr>
                    <w:pStyle w:val="170"/>
                    <w:spacing w:before="48" w:after="48" w:line="360" w:lineRule="auto"/>
                    <w:rPr>
                      <w:rFonts w:hint="default" w:ascii="Times New Roman" w:hAnsi="Times New Roman"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13</w:t>
                  </w:r>
                </w:p>
              </w:tc>
              <w:tc>
                <w:tcPr>
                  <w:tcW w:w="1750" w:type="pct"/>
                  <w:tcBorders>
                    <w:tl2br w:val="nil"/>
                    <w:tr2bl w:val="nil"/>
                  </w:tcBorders>
                  <w:vAlign w:val="center"/>
                </w:tcPr>
                <w:p>
                  <w:pPr>
                    <w:spacing w:before="48" w:after="48" w:line="360" w:lineRule="auto"/>
                    <w:jc w:val="center"/>
                    <w:rPr>
                      <w:rFonts w:hint="eastAsia" w:eastAsia="宋体" w:cs="Times New Roman"/>
                      <w:color w:val="auto"/>
                      <w:sz w:val="22"/>
                      <w:szCs w:val="22"/>
                      <w:u w:val="none" w:color="auto"/>
                      <w:lang w:eastAsia="zh-CN"/>
                    </w:rPr>
                  </w:pPr>
                  <w:r>
                    <w:rPr>
                      <w:rFonts w:hint="eastAsia" w:cs="Times New Roman"/>
                      <w:color w:val="auto"/>
                      <w:sz w:val="22"/>
                      <w:szCs w:val="22"/>
                      <w:u w:val="none" w:color="auto"/>
                      <w:lang w:eastAsia="zh-CN"/>
                    </w:rPr>
                    <w:t>氩气</w:t>
                  </w:r>
                </w:p>
              </w:tc>
              <w:tc>
                <w:tcPr>
                  <w:tcW w:w="2137" w:type="pct"/>
                  <w:tcBorders>
                    <w:tl2br w:val="nil"/>
                    <w:tr2bl w:val="nil"/>
                  </w:tcBorders>
                  <w:vAlign w:val="center"/>
                </w:tcPr>
                <w:p>
                  <w:pPr>
                    <w:pStyle w:val="170"/>
                    <w:spacing w:before="48" w:after="48" w:line="360" w:lineRule="auto"/>
                    <w:rPr>
                      <w:rFonts w:hint="default" w:eastAsia="宋体" w:cs="Times New Roman"/>
                      <w:color w:val="auto"/>
                      <w:sz w:val="22"/>
                      <w:szCs w:val="22"/>
                      <w:u w:val="none" w:color="auto"/>
                      <w:lang w:val="en-US" w:eastAsia="zh-CN"/>
                    </w:rPr>
                  </w:pPr>
                  <w:r>
                    <w:rPr>
                      <w:rFonts w:hint="eastAsia" w:eastAsia="宋体" w:cs="Times New Roman"/>
                      <w:color w:val="auto"/>
                      <w:sz w:val="22"/>
                      <w:szCs w:val="22"/>
                      <w:u w:val="none" w:color="auto"/>
                      <w:lang w:val="en-US" w:eastAsia="zh-CN"/>
                    </w:rPr>
                    <w:t>0.4t</w:t>
                  </w:r>
                </w:p>
              </w:tc>
            </w:tr>
          </w:tbl>
          <w:p>
            <w:pPr>
              <w:pStyle w:val="17"/>
              <w:tabs>
                <w:tab w:val="left" w:pos="780"/>
              </w:tabs>
              <w:spacing w:after="0" w:line="360" w:lineRule="auto"/>
              <w:ind w:left="0" w:leftChars="0" w:firstLine="480" w:firstLineChars="200"/>
              <w:outlineLvl w:val="2"/>
              <w:rPr>
                <w:rFonts w:hint="eastAsia" w:ascii="Times New Roman" w:hAnsi="Times New Roman" w:eastAsia="宋体" w:cs="Times New Roman"/>
                <w:b w:val="0"/>
                <w:bCs w:val="0"/>
                <w:color w:val="auto"/>
                <w:sz w:val="24"/>
                <w:u w:val="none" w:color="auto"/>
                <w:lang w:val="en-US" w:eastAsia="zh-CN"/>
              </w:rPr>
            </w:pPr>
            <w:r>
              <w:rPr>
                <w:rFonts w:hint="eastAsia" w:cs="Times New Roman"/>
                <w:b w:val="0"/>
                <w:bCs w:val="0"/>
                <w:color w:val="auto"/>
                <w:sz w:val="24"/>
                <w:u w:val="none" w:color="auto"/>
                <w:lang w:val="en-US" w:eastAsia="zh-CN"/>
              </w:rPr>
              <w:t>注：原项目油性漆改为水性油漆，原项目油性漆使用量为1.5t，先改为水性漆，其使用量为1.2t。</w:t>
            </w:r>
          </w:p>
          <w:p>
            <w:pPr>
              <w:pStyle w:val="17"/>
              <w:tabs>
                <w:tab w:val="left" w:pos="780"/>
              </w:tabs>
              <w:spacing w:after="0" w:line="360" w:lineRule="auto"/>
              <w:ind w:left="0" w:leftChars="0" w:firstLine="482" w:firstLineChars="200"/>
              <w:outlineLvl w:val="2"/>
              <w:rPr>
                <w:rFonts w:hint="default" w:ascii="Times New Roman" w:hAnsi="Times New Roman" w:cs="Times New Roman"/>
                <w:b/>
                <w:bCs/>
                <w:color w:val="auto"/>
                <w:sz w:val="24"/>
                <w:u w:val="none" w:color="auto"/>
              </w:rPr>
            </w:pPr>
            <w:r>
              <w:rPr>
                <w:rFonts w:hint="default" w:ascii="Times New Roman" w:hAnsi="Times New Roman" w:cs="Times New Roman"/>
                <w:b/>
                <w:bCs/>
                <w:color w:val="auto"/>
                <w:sz w:val="24"/>
                <w:u w:val="none" w:color="auto"/>
                <w:lang w:val="en-US" w:eastAsia="zh-CN"/>
              </w:rPr>
              <w:t>4</w:t>
            </w:r>
            <w:r>
              <w:rPr>
                <w:rFonts w:hint="default" w:ascii="Times New Roman" w:hAnsi="Times New Roman" w:cs="Times New Roman"/>
                <w:b/>
                <w:bCs/>
                <w:color w:val="auto"/>
                <w:sz w:val="24"/>
                <w:u w:val="none" w:color="auto"/>
              </w:rPr>
              <w:t>原项目主要生产设备配置</w:t>
            </w:r>
          </w:p>
          <w:p>
            <w:pPr>
              <w:pStyle w:val="34"/>
              <w:jc w:val="center"/>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rPr>
              <w:t>表1-</w:t>
            </w:r>
            <w:r>
              <w:rPr>
                <w:rFonts w:hint="eastAsia" w:cs="Times New Roman"/>
                <w:b/>
                <w:color w:val="auto"/>
                <w:sz w:val="24"/>
                <w:u w:val="none" w:color="auto"/>
                <w:lang w:val="en-US" w:eastAsia="zh-CN"/>
              </w:rPr>
              <w:t>10</w:t>
            </w:r>
            <w:r>
              <w:rPr>
                <w:rFonts w:hint="default" w:ascii="Times New Roman" w:hAnsi="Times New Roman" w:cs="Times New Roman"/>
                <w:b/>
                <w:color w:val="auto"/>
                <w:sz w:val="24"/>
                <w:u w:val="none" w:color="auto"/>
              </w:rPr>
              <w:t xml:space="preserve">   </w:t>
            </w:r>
            <w:r>
              <w:rPr>
                <w:rFonts w:hint="eastAsia" w:cs="Times New Roman"/>
                <w:b/>
                <w:color w:val="auto"/>
                <w:sz w:val="24"/>
                <w:u w:val="none" w:color="auto"/>
                <w:lang w:eastAsia="zh-CN"/>
              </w:rPr>
              <w:t>原项目</w:t>
            </w:r>
            <w:r>
              <w:rPr>
                <w:rFonts w:hint="default" w:ascii="Times New Roman" w:hAnsi="Times New Roman" w:cs="Times New Roman"/>
                <w:b/>
                <w:color w:val="auto"/>
                <w:sz w:val="24"/>
                <w:u w:val="none" w:color="auto"/>
              </w:rPr>
              <w:t>主要生产设备一览表</w:t>
            </w:r>
          </w:p>
          <w:tbl>
            <w:tblPr>
              <w:tblStyle w:val="40"/>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1244"/>
              <w:gridCol w:w="4426"/>
              <w:gridCol w:w="1724"/>
              <w:gridCol w:w="169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7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none" w:color="auto"/>
                    </w:rPr>
                  </w:pPr>
                  <w:r>
                    <w:rPr>
                      <w:rFonts w:hint="default" w:ascii="Times New Roman" w:hAnsi="Times New Roman" w:eastAsia="宋体" w:cs="Times New Roman"/>
                      <w:b/>
                      <w:i w:val="0"/>
                      <w:color w:val="auto"/>
                      <w:kern w:val="0"/>
                      <w:sz w:val="22"/>
                      <w:szCs w:val="22"/>
                      <w:u w:val="none" w:color="auto"/>
                      <w:lang w:val="en-US" w:eastAsia="zh-CN" w:bidi="ar"/>
                    </w:rPr>
                    <w:t>序号</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b/>
                      <w:i w:val="0"/>
                      <w:color w:val="auto"/>
                      <w:sz w:val="22"/>
                      <w:szCs w:val="22"/>
                      <w:u w:val="none" w:color="auto"/>
                    </w:rPr>
                  </w:pPr>
                  <w:r>
                    <w:rPr>
                      <w:rFonts w:hint="default" w:ascii="Times New Roman" w:hAnsi="Times New Roman" w:eastAsia="宋体" w:cs="Times New Roman"/>
                      <w:b/>
                      <w:i w:val="0"/>
                      <w:color w:val="auto"/>
                      <w:kern w:val="0"/>
                      <w:sz w:val="22"/>
                      <w:szCs w:val="22"/>
                      <w:u w:val="none" w:color="auto"/>
                      <w:lang w:val="en-US" w:eastAsia="zh-CN" w:bidi="ar"/>
                    </w:rPr>
                    <w:t>设备名称</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数量</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单位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数控绕线机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绕线圈磨具</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2</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3</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瓦楞机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4</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切纸机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5</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变压器铁芯组装台</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rPr>
                  </w:pPr>
                  <w:r>
                    <w:rPr>
                      <w:rFonts w:hint="eastAsia"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6</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真空滤油机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7</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板式滤油机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8</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烘烤房</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9</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油漆房</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10</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数控卷铁芯绕线机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11</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切阀机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12</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eastAsia="zh-CN"/>
                    </w:rPr>
                    <w:t>油罐</w:t>
                  </w:r>
                  <w:r>
                    <w:rPr>
                      <w:rFonts w:hint="eastAsia" w:cs="Times New Roman"/>
                      <w:i w:val="0"/>
                      <w:color w:val="auto"/>
                      <w:sz w:val="22"/>
                      <w:szCs w:val="22"/>
                      <w:u w:val="none" w:color="auto"/>
                      <w:lang w:val="en-US" w:eastAsia="zh-CN"/>
                    </w:rPr>
                    <w:t>10吨</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13</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eastAsia="zh-CN"/>
                    </w:rPr>
                    <w:t>油罐</w:t>
                  </w:r>
                  <w:r>
                    <w:rPr>
                      <w:rFonts w:hint="eastAsia" w:cs="Times New Roman"/>
                      <w:i w:val="0"/>
                      <w:color w:val="auto"/>
                      <w:sz w:val="22"/>
                      <w:szCs w:val="22"/>
                      <w:u w:val="none" w:color="auto"/>
                      <w:lang w:val="en-US" w:eastAsia="zh-CN"/>
                    </w:rPr>
                    <w:t>5吨</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个</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14</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变压器全套试验设备</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15</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电焊机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2</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16</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氧焊设备</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2</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17</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空气压缩机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18</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lang w:val="en-US" w:eastAsia="zh-CN"/>
                    </w:rPr>
                  </w:pPr>
                  <w:r>
                    <w:rPr>
                      <w:rFonts w:hint="eastAsia" w:cs="Times New Roman"/>
                      <w:i w:val="0"/>
                      <w:color w:val="auto"/>
                      <w:sz w:val="22"/>
                      <w:szCs w:val="22"/>
                      <w:u w:val="none" w:color="auto"/>
                      <w:lang w:eastAsia="zh-CN"/>
                    </w:rPr>
                    <w:t>手拖车</w:t>
                  </w:r>
                  <w:r>
                    <w:rPr>
                      <w:rFonts w:hint="eastAsia" w:cs="Times New Roman"/>
                      <w:i w:val="0"/>
                      <w:color w:val="auto"/>
                      <w:sz w:val="22"/>
                      <w:szCs w:val="22"/>
                      <w:u w:val="none" w:color="auto"/>
                      <w:lang w:val="en-US" w:eastAsia="zh-CN"/>
                    </w:rPr>
                    <w:t>5吨、3吨</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2</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19</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台钻</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20</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剪板机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21</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母线加工机</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22</w:t>
                  </w:r>
                </w:p>
              </w:tc>
              <w:tc>
                <w:tcPr>
                  <w:tcW w:w="2433"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auto"/>
                      <w:sz w:val="22"/>
                      <w:szCs w:val="22"/>
                      <w:u w:val="none" w:color="auto"/>
                      <w:lang w:eastAsia="zh-CN"/>
                    </w:rPr>
                  </w:pPr>
                  <w:r>
                    <w:rPr>
                      <w:rFonts w:hint="eastAsia" w:cs="Times New Roman"/>
                      <w:i w:val="0"/>
                      <w:color w:val="auto"/>
                      <w:sz w:val="22"/>
                      <w:szCs w:val="22"/>
                      <w:u w:val="none" w:color="auto"/>
                      <w:lang w:eastAsia="zh-CN"/>
                    </w:rPr>
                    <w:t>变压器</w:t>
                  </w:r>
                </w:p>
              </w:tc>
              <w:tc>
                <w:tcPr>
                  <w:tcW w:w="948"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eastAsia" w:cs="Times New Roman"/>
                      <w:i w:val="0"/>
                      <w:color w:val="auto"/>
                      <w:kern w:val="0"/>
                      <w:sz w:val="22"/>
                      <w:szCs w:val="22"/>
                      <w:u w:val="none" w:color="auto"/>
                      <w:lang w:val="en-US" w:eastAsia="zh-CN" w:bidi="ar"/>
                    </w:rPr>
                    <w:t>1</w:t>
                  </w:r>
                </w:p>
              </w:tc>
              <w:tc>
                <w:tcPr>
                  <w:tcW w:w="934" w:type="pct"/>
                  <w:tcBorders>
                    <w:tl2br w:val="nil"/>
                    <w:tr2bl w:val="nil"/>
                  </w:tcBorders>
                  <w:shd w:val="clear" w:color="auto" w:fill="auto"/>
                  <w:noWrap/>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auto"/>
                      <w:sz w:val="22"/>
                      <w:szCs w:val="22"/>
                      <w:u w:val="none" w:color="auto"/>
                    </w:rPr>
                  </w:pPr>
                  <w:r>
                    <w:rPr>
                      <w:rFonts w:hint="default" w:ascii="Times New Roman" w:hAnsi="Times New Roman" w:eastAsia="宋体" w:cs="Times New Roman"/>
                      <w:i w:val="0"/>
                      <w:color w:val="auto"/>
                      <w:kern w:val="0"/>
                      <w:sz w:val="22"/>
                      <w:szCs w:val="22"/>
                      <w:u w:val="none" w:color="auto"/>
                      <w:lang w:val="en-US" w:eastAsia="zh-CN" w:bidi="ar"/>
                    </w:rPr>
                    <w:t>台</w:t>
                  </w:r>
                </w:p>
              </w:tc>
            </w:tr>
          </w:tbl>
          <w:p>
            <w:pPr>
              <w:ind w:firstLine="482" w:firstLineChars="200"/>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lang w:val="en-US" w:eastAsia="zh-CN"/>
              </w:rPr>
              <w:t>5</w:t>
            </w:r>
            <w:r>
              <w:rPr>
                <w:rFonts w:hint="default" w:ascii="Times New Roman" w:hAnsi="Times New Roman" w:cs="Times New Roman"/>
                <w:b/>
                <w:color w:val="auto"/>
                <w:sz w:val="24"/>
                <w:u w:val="none" w:color="auto"/>
              </w:rPr>
              <w:t>原项目生产工艺</w:t>
            </w:r>
          </w:p>
          <w:p>
            <w:pPr>
              <w:ind w:firstLine="420" w:firstLineChars="200"/>
              <w:rPr>
                <w:rFonts w:hint="default" w:ascii="Times New Roman" w:hAnsi="Times New Roman" w:cs="Times New Roman"/>
                <w:bCs/>
                <w:color w:val="auto"/>
                <w:sz w:val="24"/>
                <w:u w:val="none" w:color="auto"/>
              </w:rPr>
            </w:pPr>
            <w:r>
              <w:rPr>
                <w:u w:val="none" w:color="auto"/>
              </w:rPr>
              <w:drawing>
                <wp:anchor distT="0" distB="0" distL="114300" distR="114300" simplePos="0" relativeHeight="1709942784" behindDoc="0" locked="0" layoutInCell="1" allowOverlap="1">
                  <wp:simplePos x="0" y="0"/>
                  <wp:positionH relativeFrom="column">
                    <wp:posOffset>409575</wp:posOffset>
                  </wp:positionH>
                  <wp:positionV relativeFrom="paragraph">
                    <wp:posOffset>167640</wp:posOffset>
                  </wp:positionV>
                  <wp:extent cx="5105400" cy="3457575"/>
                  <wp:effectExtent l="0" t="0" r="0" b="9525"/>
                  <wp:wrapNone/>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2"/>
                          <a:stretch>
                            <a:fillRect/>
                          </a:stretch>
                        </pic:blipFill>
                        <pic:spPr>
                          <a:xfrm>
                            <a:off x="0" y="0"/>
                            <a:ext cx="5105400" cy="3457575"/>
                          </a:xfrm>
                          <a:prstGeom prst="rect">
                            <a:avLst/>
                          </a:prstGeom>
                          <a:noFill/>
                          <a:ln>
                            <a:noFill/>
                          </a:ln>
                        </pic:spPr>
                      </pic:pic>
                    </a:graphicData>
                  </a:graphic>
                </wp:anchor>
              </w:drawing>
            </w:r>
          </w:p>
          <w:p>
            <w:pPr>
              <w:jc w:val="center"/>
              <w:rPr>
                <w:rFonts w:hint="default" w:ascii="Times New Roman" w:hAnsi="Times New Roman" w:cs="Times New Roman"/>
                <w:bCs/>
                <w:color w:val="auto"/>
                <w:sz w:val="24"/>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bidi w:val="0"/>
              <w:rPr>
                <w:rFonts w:hint="default"/>
                <w:u w:val="none" w:color="auto"/>
              </w:rPr>
            </w:pPr>
          </w:p>
          <w:p>
            <w:pPr>
              <w:pStyle w:val="5"/>
              <w:rPr>
                <w:rFonts w:hint="default"/>
                <w:u w:val="none" w:color="auto"/>
              </w:rPr>
            </w:pPr>
          </w:p>
          <w:p>
            <w:pPr>
              <w:rPr>
                <w:rFonts w:hint="default"/>
                <w:u w:val="none" w:color="auto"/>
              </w:rPr>
            </w:pPr>
          </w:p>
          <w:p>
            <w:pPr>
              <w:rPr>
                <w:rFonts w:hint="default"/>
              </w:rPr>
            </w:pPr>
          </w:p>
          <w:p>
            <w:pPr>
              <w:jc w:val="center"/>
              <w:rPr>
                <w:rFonts w:hint="default" w:ascii="Times New Roman" w:hAnsi="Times New Roman" w:eastAsia="宋体" w:cs="Times New Roman"/>
                <w:b/>
                <w:color w:val="auto"/>
                <w:szCs w:val="21"/>
                <w:u w:val="none" w:color="auto"/>
                <w:lang w:eastAsia="zh-CN"/>
              </w:rPr>
            </w:pPr>
            <w:r>
              <w:rPr>
                <w:rFonts w:hint="default" w:ascii="Times New Roman" w:hAnsi="Times New Roman" w:cs="Times New Roman"/>
                <w:b/>
                <w:color w:val="auto"/>
                <w:szCs w:val="21"/>
                <w:u w:val="none" w:color="auto"/>
              </w:rPr>
              <w:t>图1-</w:t>
            </w:r>
            <w:r>
              <w:rPr>
                <w:rFonts w:hint="eastAsia" w:cs="Times New Roman"/>
                <w:b/>
                <w:color w:val="auto"/>
                <w:szCs w:val="21"/>
                <w:u w:val="none" w:color="auto"/>
                <w:lang w:val="en-US" w:eastAsia="zh-CN"/>
              </w:rPr>
              <w:t>2</w:t>
            </w:r>
            <w:r>
              <w:rPr>
                <w:rFonts w:hint="default" w:ascii="Times New Roman" w:hAnsi="Times New Roman" w:cs="Times New Roman"/>
                <w:b/>
                <w:color w:val="auto"/>
                <w:szCs w:val="21"/>
                <w:u w:val="none" w:color="auto"/>
              </w:rPr>
              <w:t xml:space="preserve">  项目</w:t>
            </w:r>
            <w:r>
              <w:rPr>
                <w:rFonts w:hint="eastAsia" w:cs="Times New Roman"/>
                <w:b/>
                <w:color w:val="auto"/>
                <w:szCs w:val="21"/>
                <w:u w:val="none" w:color="auto"/>
                <w:lang w:eastAsia="zh-CN"/>
              </w:rPr>
              <w:t>变压器</w:t>
            </w:r>
            <w:r>
              <w:rPr>
                <w:rFonts w:hint="default" w:ascii="Times New Roman" w:hAnsi="Times New Roman" w:cs="Times New Roman"/>
                <w:b/>
                <w:color w:val="auto"/>
                <w:szCs w:val="21"/>
                <w:u w:val="none" w:color="auto"/>
                <w:lang w:eastAsia="zh-CN"/>
              </w:rPr>
              <w:t>生产工艺流程图</w:t>
            </w:r>
          </w:p>
          <w:p>
            <w:pPr>
              <w:spacing w:line="360" w:lineRule="auto"/>
              <w:ind w:firstLine="480" w:firstLineChars="200"/>
              <w:rPr>
                <w:rFonts w:hint="default" w:ascii="Times New Roman" w:hAnsi="Times New Roman" w:cs="Times New Roman"/>
                <w:color w:val="auto"/>
                <w:sz w:val="24"/>
                <w:u w:val="none" w:color="auto"/>
              </w:rPr>
            </w:pPr>
          </w:p>
          <w:p>
            <w:pPr>
              <w:spacing w:line="360" w:lineRule="auto"/>
              <w:ind w:firstLine="480"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工艺说明：</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冷作制作：项目冷作制作主要为箱体进行</w:t>
            </w:r>
            <w:r>
              <w:rPr>
                <w:rFonts w:hint="eastAsia" w:cs="Times New Roman"/>
                <w:color w:val="auto"/>
                <w:sz w:val="24"/>
                <w:szCs w:val="24"/>
                <w:u w:val="none" w:color="auto"/>
                <w:lang w:val="en-US" w:eastAsia="zh-CN"/>
              </w:rPr>
              <w:t>抛丸</w:t>
            </w:r>
            <w:r>
              <w:rPr>
                <w:rFonts w:hint="default" w:ascii="Times New Roman" w:hAnsi="Times New Roman" w:cs="Times New Roman"/>
                <w:color w:val="auto"/>
                <w:sz w:val="24"/>
                <w:szCs w:val="24"/>
                <w:u w:val="none" w:color="auto"/>
                <w:lang w:val="en-US" w:eastAsia="zh-CN"/>
              </w:rPr>
              <w:t>、切割、焊接、喷漆制作，喷漆后的箱体不进行烘烤，期间会产生噪声、固废、废气。</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绝缘件制作：按照规定的尺寸要求对绝缘纸板进行分割。期间会产生噪声、固废。</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绕线圈制作：项目按照规格进行线圈绕制，期间会产生噪声、固废。</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铁芯制作：根据公司内部调整，项目铁芯不在厂内进行制作，直接外购成品。</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组装：将绝缘件、线圈、铁芯进行组装，期间会产生噪声。</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烘烤：由于产品对水分有一定的要求，故需要对组装件</w:t>
            </w:r>
            <w:r>
              <w:rPr>
                <w:rFonts w:hint="eastAsia" w:ascii="Times New Roman" w:hAnsi="Times New Roman" w:cs="Times New Roman"/>
                <w:color w:val="auto"/>
                <w:sz w:val="24"/>
                <w:szCs w:val="24"/>
                <w:u w:val="none" w:color="auto"/>
                <w:lang w:val="en-US" w:eastAsia="zh-CN"/>
              </w:rPr>
              <w:t>（内芯）</w:t>
            </w:r>
            <w:r>
              <w:rPr>
                <w:rFonts w:hint="default" w:ascii="Times New Roman" w:hAnsi="Times New Roman" w:cs="Times New Roman"/>
                <w:color w:val="auto"/>
                <w:sz w:val="24"/>
                <w:szCs w:val="24"/>
                <w:u w:val="none" w:color="auto"/>
                <w:lang w:val="en-US" w:eastAsia="zh-CN"/>
              </w:rPr>
              <w:t>进行烘烤水分，烘烤房以电为原料，期间会产生少量的水蒸气。</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整装：将烘烤后的半成品放入箱体中，在加入变压器油，期间会产生噪声、固废。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u w:val="none" w:color="auto"/>
              </w:rPr>
            </w:pPr>
            <w:r>
              <w:rPr>
                <w:rFonts w:hint="eastAsia"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val="en-US" w:eastAsia="zh-CN"/>
              </w:rPr>
              <w:t>对其产品进行检验</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bidi w:val="0"/>
              <w:spacing w:line="360" w:lineRule="auto"/>
              <w:ind w:firstLine="482" w:firstLineChars="200"/>
              <w:textAlignment w:val="auto"/>
              <w:rPr>
                <w:rFonts w:hint="default" w:ascii="Times New Roman" w:hAnsi="Times New Roman" w:cs="Times New Roman"/>
                <w:b/>
                <w:color w:val="auto"/>
                <w:sz w:val="24"/>
                <w:u w:val="none" w:color="auto"/>
              </w:rPr>
            </w:pPr>
            <w:r>
              <w:rPr>
                <w:rFonts w:hint="default" w:ascii="Times New Roman" w:hAnsi="Times New Roman" w:cs="Times New Roman"/>
                <w:b/>
                <w:color w:val="auto"/>
                <w:sz w:val="24"/>
                <w:u w:val="none" w:color="auto"/>
                <w:lang w:val="en-US" w:eastAsia="zh-CN"/>
              </w:rPr>
              <w:t>6</w:t>
            </w:r>
            <w:r>
              <w:rPr>
                <w:rFonts w:hint="default" w:ascii="Times New Roman" w:hAnsi="Times New Roman" w:cs="Times New Roman"/>
                <w:b/>
                <w:color w:val="auto"/>
                <w:sz w:val="24"/>
                <w:u w:val="none" w:color="auto"/>
              </w:rPr>
              <w:t>原项目污染物排放情况及污染治理措施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原项目产生的污染物主要为生活废水、废气、设备噪声及固废。根据</w:t>
            </w:r>
            <w:r>
              <w:rPr>
                <w:rFonts w:hint="default" w:ascii="Times New Roman" w:hAnsi="Times New Roman" w:cs="Times New Roman"/>
                <w:color w:val="auto"/>
                <w:sz w:val="24"/>
                <w:u w:val="none" w:color="auto"/>
                <w:lang w:eastAsia="zh-CN"/>
              </w:rPr>
              <w:t>业主提供</w:t>
            </w:r>
            <w:r>
              <w:rPr>
                <w:rFonts w:hint="eastAsia" w:cs="Times New Roman"/>
                <w:color w:val="auto"/>
                <w:sz w:val="24"/>
                <w:u w:val="none" w:color="auto"/>
                <w:lang w:eastAsia="zh-CN"/>
              </w:rPr>
              <w:t>的原项目环评报告及验收可知</w:t>
            </w:r>
            <w:r>
              <w:rPr>
                <w:rFonts w:hint="default" w:ascii="Times New Roman" w:hAnsi="Times New Roman" w:cs="Times New Roman"/>
                <w:color w:val="auto"/>
                <w:sz w:val="24"/>
                <w:u w:val="none" w:color="auto"/>
              </w:rPr>
              <w:t>，现有项目主要污染物排放情况如下：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1</w:t>
            </w: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rPr>
              <w:t>废气</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cs="Times New Roman"/>
                <w:color w:val="auto"/>
                <w:sz w:val="24"/>
                <w:u w:val="single" w:color="auto"/>
                <w:lang w:val="en-US" w:eastAsia="zh-CN"/>
              </w:rPr>
            </w:pPr>
            <w:r>
              <w:rPr>
                <w:rFonts w:hint="default" w:ascii="Times New Roman" w:hAnsi="Times New Roman" w:cs="Times New Roman"/>
                <w:color w:val="auto"/>
                <w:sz w:val="24"/>
                <w:u w:val="single" w:color="auto"/>
              </w:rPr>
              <w:t>原项目营运期废气主要是粉尘</w:t>
            </w:r>
            <w:r>
              <w:rPr>
                <w:rFonts w:hint="eastAsia" w:cs="Times New Roman"/>
                <w:color w:val="auto"/>
                <w:sz w:val="24"/>
                <w:u w:val="single" w:color="auto"/>
                <w:lang w:eastAsia="zh-CN"/>
              </w:rPr>
              <w:t>、有机废气</w:t>
            </w:r>
            <w:r>
              <w:rPr>
                <w:rFonts w:hint="default" w:ascii="Times New Roman" w:hAnsi="Times New Roman" w:cs="Times New Roman"/>
                <w:color w:val="auto"/>
                <w:sz w:val="24"/>
                <w:u w:val="single" w:color="auto"/>
              </w:rPr>
              <w:t>，主要来源有</w:t>
            </w:r>
            <w:r>
              <w:rPr>
                <w:rFonts w:hint="eastAsia" w:cs="Times New Roman"/>
                <w:color w:val="auto"/>
                <w:sz w:val="24"/>
                <w:u w:val="single" w:color="auto"/>
                <w:lang w:eastAsia="zh-CN"/>
              </w:rPr>
              <w:t>焊接烟尘、喷漆废气、烘烤的水蒸气（烘烤原料为电）</w:t>
            </w:r>
            <w:r>
              <w:rPr>
                <w:rFonts w:hint="default" w:ascii="Times New Roman" w:hAnsi="Times New Roman" w:cs="Times New Roman"/>
                <w:color w:val="auto"/>
                <w:sz w:val="24"/>
                <w:u w:val="single" w:color="auto"/>
                <w:lang w:eastAsia="zh-CN"/>
              </w:rPr>
              <w:t>。</w:t>
            </w:r>
            <w:r>
              <w:rPr>
                <w:rFonts w:hint="eastAsia" w:cs="Times New Roman"/>
                <w:color w:val="auto"/>
                <w:sz w:val="24"/>
                <w:u w:val="single" w:color="auto"/>
                <w:lang w:eastAsia="zh-CN"/>
              </w:rPr>
              <w:t>其中焊接烟尘均经通风后无组织排放，烘烤废气（水蒸气）经收集后由排气筒高空排放，喷漆废气经水膜净化装置</w:t>
            </w:r>
            <w:r>
              <w:rPr>
                <w:rFonts w:hint="eastAsia" w:cs="Times New Roman"/>
                <w:color w:val="auto"/>
                <w:sz w:val="24"/>
                <w:u w:val="single" w:color="auto"/>
                <w:lang w:val="en-US" w:eastAsia="zh-CN"/>
              </w:rPr>
              <w:t>+活性炭处理</w:t>
            </w:r>
            <w:r>
              <w:rPr>
                <w:rFonts w:hint="eastAsia" w:cs="Times New Roman"/>
                <w:color w:val="auto"/>
                <w:sz w:val="24"/>
                <w:u w:val="single" w:color="auto"/>
                <w:lang w:eastAsia="zh-CN"/>
              </w:rPr>
              <w:t>后由</w:t>
            </w:r>
            <w:r>
              <w:rPr>
                <w:rFonts w:hint="eastAsia" w:cs="Times New Roman"/>
                <w:color w:val="auto"/>
                <w:sz w:val="24"/>
                <w:u w:val="single" w:color="auto"/>
                <w:lang w:val="en-US" w:eastAsia="zh-CN"/>
              </w:rPr>
              <w:t>15m高排气筒高空排放</w:t>
            </w:r>
            <w:r>
              <w:rPr>
                <w:rFonts w:hint="default" w:ascii="Times New Roman" w:hAnsi="Times New Roman" w:cs="Times New Roman"/>
                <w:color w:val="auto"/>
                <w:sz w:val="24"/>
                <w:u w:val="single" w:color="auto"/>
                <w:lang w:eastAsia="zh-CN"/>
              </w:rPr>
              <w:t>。</w:t>
            </w:r>
            <w:r>
              <w:rPr>
                <w:rFonts w:hint="default" w:ascii="Times New Roman" w:hAnsi="Times New Roman" w:cs="Times New Roman"/>
                <w:color w:val="auto"/>
                <w:sz w:val="24"/>
                <w:u w:val="single" w:color="auto"/>
              </w:rPr>
              <w:t>根据</w:t>
            </w:r>
            <w:r>
              <w:rPr>
                <w:rFonts w:hint="eastAsia" w:cs="Times New Roman"/>
                <w:color w:val="auto"/>
                <w:sz w:val="24"/>
                <w:u w:val="single" w:color="auto"/>
                <w:lang w:eastAsia="zh-CN"/>
              </w:rPr>
              <w:t>湖南精准通检测技术有限公司于</w:t>
            </w:r>
            <w:r>
              <w:rPr>
                <w:rFonts w:hint="eastAsia" w:cs="Times New Roman"/>
                <w:color w:val="auto"/>
                <w:sz w:val="24"/>
                <w:u w:val="single" w:color="auto"/>
                <w:lang w:val="en-US" w:eastAsia="zh-CN"/>
              </w:rPr>
              <w:t>2019年10月24日对其喷漆废气排气筒及厂界上风向、下风向进行了监测分析，监测期间项目正常生产，其生产负荷达到了75%，具体见表1-11、表1-12。</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ascii="Times New Roman" w:hAnsi="Times New Roman" w:eastAsia="宋体" w:cs="Times New Roman"/>
                <w:color w:val="auto"/>
                <w:sz w:val="24"/>
                <w:u w:val="none" w:color="auto"/>
                <w:lang w:val="en-US" w:eastAsia="zh-CN"/>
              </w:rPr>
            </w:pPr>
            <w:r>
              <w:rPr>
                <w:rFonts w:hint="eastAsia" w:cs="Times New Roman"/>
                <w:color w:val="auto"/>
                <w:sz w:val="24"/>
                <w:u w:val="none" w:color="auto"/>
                <w:lang w:eastAsia="zh-CN"/>
              </w:rPr>
              <w:t>表</w:t>
            </w:r>
            <w:r>
              <w:rPr>
                <w:rFonts w:hint="eastAsia" w:cs="Times New Roman"/>
                <w:color w:val="auto"/>
                <w:sz w:val="24"/>
                <w:u w:val="none" w:color="auto"/>
                <w:lang w:val="en-US" w:eastAsia="zh-CN"/>
              </w:rPr>
              <w:t>1-11 喷漆废气排气筒检测结果</w:t>
            </w:r>
          </w:p>
          <w:tbl>
            <w:tblPr>
              <w:tblStyle w:val="41"/>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8"/>
              <w:gridCol w:w="1289"/>
              <w:gridCol w:w="1334"/>
              <w:gridCol w:w="1116"/>
              <w:gridCol w:w="1116"/>
              <w:gridCol w:w="1116"/>
              <w:gridCol w:w="1005"/>
              <w:gridCol w:w="10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58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eastAsia="zh-CN"/>
                    </w:rPr>
                  </w:pPr>
                  <w:r>
                    <w:rPr>
                      <w:rFonts w:hint="eastAsia" w:cs="Times New Roman"/>
                      <w:color w:val="auto"/>
                      <w:sz w:val="24"/>
                      <w:u w:val="none" w:color="auto"/>
                      <w:vertAlign w:val="baseline"/>
                      <w:lang w:eastAsia="zh-CN"/>
                    </w:rPr>
                    <w:t>采样</w:t>
                  </w:r>
                </w:p>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点位</w:t>
                  </w:r>
                </w:p>
              </w:tc>
              <w:tc>
                <w:tcPr>
                  <w:tcW w:w="1440" w:type="pct"/>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检测项目</w:t>
                  </w:r>
                </w:p>
              </w:tc>
              <w:tc>
                <w:tcPr>
                  <w:tcW w:w="1838"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检测结果</w:t>
                  </w:r>
                </w:p>
              </w:tc>
              <w:tc>
                <w:tcPr>
                  <w:tcW w:w="55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eastAsia="zh-CN"/>
                    </w:rPr>
                  </w:pPr>
                  <w:r>
                    <w:rPr>
                      <w:rFonts w:hint="eastAsia" w:cs="Times New Roman"/>
                      <w:color w:val="auto"/>
                      <w:sz w:val="24"/>
                      <w:u w:val="none" w:color="auto"/>
                      <w:vertAlign w:val="baseline"/>
                      <w:lang w:eastAsia="zh-CN"/>
                    </w:rPr>
                    <w:t>标准</w:t>
                  </w:r>
                </w:p>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限值</w:t>
                  </w:r>
                </w:p>
              </w:tc>
              <w:tc>
                <w:tcPr>
                  <w:tcW w:w="58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eastAsia="zh-CN"/>
                    </w:rPr>
                  </w:pPr>
                  <w:r>
                    <w:rPr>
                      <w:rFonts w:hint="eastAsia" w:cs="Times New Roman"/>
                      <w:color w:val="auto"/>
                      <w:sz w:val="24"/>
                      <w:u w:val="none" w:color="auto"/>
                      <w:vertAlign w:val="baseline"/>
                      <w:lang w:eastAsia="zh-CN"/>
                    </w:rPr>
                    <w:t>是否</w:t>
                  </w:r>
                </w:p>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eastAsia="zh-CN"/>
                    </w:rPr>
                  </w:pPr>
                  <w:r>
                    <w:rPr>
                      <w:rFonts w:hint="eastAsia" w:cs="Times New Roman"/>
                      <w:color w:val="auto"/>
                      <w:sz w:val="24"/>
                      <w:u w:val="none" w:color="auto"/>
                      <w:vertAlign w:val="baseline"/>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58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440"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38" w:type="pct"/>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val="en-US" w:eastAsia="zh-CN"/>
                    </w:rPr>
                    <w:t>监测时间：2019年10月24日</w:t>
                  </w:r>
                </w:p>
              </w:tc>
              <w:tc>
                <w:tcPr>
                  <w:tcW w:w="554"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58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440" w:type="pct"/>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第一次</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第二次</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第三次</w:t>
                  </w:r>
                </w:p>
              </w:tc>
              <w:tc>
                <w:tcPr>
                  <w:tcW w:w="554"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1" w:hRule="atLeast"/>
              </w:trPr>
              <w:tc>
                <w:tcPr>
                  <w:tcW w:w="58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喷漆废气排气筒出口</w:t>
                  </w:r>
                </w:p>
              </w:tc>
              <w:tc>
                <w:tcPr>
                  <w:tcW w:w="1440"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标杆流量</w:t>
                  </w:r>
                  <w:r>
                    <w:rPr>
                      <w:rFonts w:hint="default" w:ascii="Times New Roman" w:hAnsi="Times New Roman" w:cs="Times New Roman"/>
                      <w:color w:val="auto"/>
                      <w:sz w:val="24"/>
                      <w:u w:val="none" w:color="auto"/>
                      <w:vertAlign w:val="baseline"/>
                      <w:lang w:eastAsia="zh-CN"/>
                    </w:rPr>
                    <w:t>（</w:t>
                  </w:r>
                  <w:r>
                    <w:rPr>
                      <w:rFonts w:hint="default" w:ascii="Times New Roman" w:hAnsi="Times New Roman" w:cs="Times New Roman"/>
                      <w:color w:val="auto"/>
                      <w:sz w:val="24"/>
                      <w:u w:val="none" w:color="auto"/>
                      <w:vertAlign w:val="baseline"/>
                      <w:lang w:val="en-US" w:eastAsia="zh-CN"/>
                    </w:rPr>
                    <w:t>N</w:t>
                  </w:r>
                  <w:r>
                    <w:rPr>
                      <w:rFonts w:hint="default" w:ascii="Times New Roman" w:hAnsi="Times New Roman" w:eastAsia="微软雅黑" w:cs="Times New Roman"/>
                      <w:color w:val="auto"/>
                      <w:sz w:val="24"/>
                      <w:u w:val="none" w:color="auto"/>
                      <w:vertAlign w:val="baseline"/>
                      <w:lang w:val="en-US" w:eastAsia="zh-CN"/>
                    </w:rPr>
                    <w:t>▪m</w:t>
                  </w:r>
                  <w:r>
                    <w:rPr>
                      <w:rFonts w:hint="default" w:ascii="Times New Roman" w:hAnsi="Times New Roman" w:eastAsia="微软雅黑" w:cs="Times New Roman"/>
                      <w:color w:val="auto"/>
                      <w:sz w:val="24"/>
                      <w:u w:val="none" w:color="auto"/>
                      <w:vertAlign w:val="superscript"/>
                      <w:lang w:val="en-US" w:eastAsia="zh-CN"/>
                    </w:rPr>
                    <w:t>3</w:t>
                  </w:r>
                  <w:r>
                    <w:rPr>
                      <w:rFonts w:hint="default" w:ascii="Times New Roman" w:hAnsi="Times New Roman" w:eastAsia="微软雅黑" w:cs="Times New Roman"/>
                      <w:color w:val="auto"/>
                      <w:sz w:val="24"/>
                      <w:u w:val="none" w:color="auto"/>
                      <w:vertAlign w:val="baseline"/>
                      <w:lang w:val="en-US" w:eastAsia="zh-CN"/>
                    </w:rPr>
                    <w:t>/h</w:t>
                  </w:r>
                  <w:r>
                    <w:rPr>
                      <w:rFonts w:hint="default" w:ascii="Times New Roman" w:hAnsi="Times New Roman"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3617</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3569</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3647</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3" w:hRule="atLeast"/>
              </w:trPr>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苯</w:t>
                  </w: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实测浓度（</w:t>
                  </w:r>
                  <w:r>
                    <w:rPr>
                      <w:rFonts w:hint="eastAsia" w:cs="Times New Roman"/>
                      <w:color w:val="auto"/>
                      <w:sz w:val="24"/>
                      <w:u w:val="none" w:color="auto"/>
                      <w:vertAlign w:val="baseline"/>
                      <w:lang w:val="en-US" w:eastAsia="zh-CN"/>
                    </w:rPr>
                    <w:t>mg/m</w:t>
                  </w:r>
                  <w:r>
                    <w:rPr>
                      <w:rFonts w:hint="eastAsia" w:cs="Times New Roman"/>
                      <w:color w:val="auto"/>
                      <w:sz w:val="24"/>
                      <w:u w:val="none" w:color="auto"/>
                      <w:vertAlign w:val="superscript"/>
                      <w:lang w:val="en-US" w:eastAsia="zh-CN"/>
                    </w:rPr>
                    <w:t>3</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0.015</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0.013</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0.016</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1</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val="en-US" w:eastAsia="zh-CN"/>
                    </w:rPr>
                  </w:pPr>
                  <w:r>
                    <w:rPr>
                      <w:rFonts w:hint="eastAsia" w:cs="Times New Roman"/>
                      <w:color w:val="auto"/>
                      <w:sz w:val="24"/>
                      <w:u w:val="none" w:color="auto"/>
                      <w:vertAlign w:val="baseline"/>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排放速率（</w:t>
                  </w:r>
                  <w:r>
                    <w:rPr>
                      <w:rFonts w:hint="eastAsia" w:cs="Times New Roman"/>
                      <w:color w:val="auto"/>
                      <w:sz w:val="24"/>
                      <w:u w:val="none" w:color="auto"/>
                      <w:vertAlign w:val="baseline"/>
                      <w:lang w:val="en-US" w:eastAsia="zh-CN"/>
                    </w:rPr>
                    <w:t>kg/h</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0.000054</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0.000046</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0.000058</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3" w:hRule="atLeast"/>
              </w:trPr>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甲苯</w:t>
                  </w: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实测浓度（</w:t>
                  </w:r>
                  <w:r>
                    <w:rPr>
                      <w:rFonts w:hint="eastAsia" w:cs="Times New Roman"/>
                      <w:color w:val="auto"/>
                      <w:sz w:val="24"/>
                      <w:u w:val="none" w:color="auto"/>
                      <w:vertAlign w:val="baseline"/>
                      <w:lang w:val="en-US" w:eastAsia="zh-CN"/>
                    </w:rPr>
                    <w:t>mg/m</w:t>
                  </w:r>
                  <w:r>
                    <w:rPr>
                      <w:rFonts w:hint="eastAsia" w:cs="Times New Roman"/>
                      <w:color w:val="auto"/>
                      <w:sz w:val="24"/>
                      <w:u w:val="none" w:color="auto"/>
                      <w:vertAlign w:val="superscript"/>
                      <w:lang w:val="en-US" w:eastAsia="zh-CN"/>
                    </w:rPr>
                    <w:t>3</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0.013</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0.014</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0.011</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3</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val="en-US" w:eastAsia="zh-CN"/>
                    </w:rPr>
                  </w:pPr>
                  <w:r>
                    <w:rPr>
                      <w:rFonts w:hint="eastAsia" w:cs="Times New Roman"/>
                      <w:color w:val="auto"/>
                      <w:sz w:val="24"/>
                      <w:u w:val="none" w:color="auto"/>
                      <w:vertAlign w:val="baseline"/>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3" w:hRule="atLeast"/>
              </w:trPr>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排放速率（</w:t>
                  </w:r>
                  <w:r>
                    <w:rPr>
                      <w:rFonts w:hint="eastAsia" w:cs="Times New Roman"/>
                      <w:color w:val="auto"/>
                      <w:sz w:val="24"/>
                      <w:u w:val="none" w:color="auto"/>
                      <w:vertAlign w:val="baseline"/>
                      <w:lang w:val="en-US" w:eastAsia="zh-CN"/>
                    </w:rPr>
                    <w:t>kg/h</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0.000047</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0.000050</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0.000040</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8" w:hRule="atLeast"/>
              </w:trPr>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二甲苯</w:t>
                  </w: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实测浓度（</w:t>
                  </w:r>
                  <w:r>
                    <w:rPr>
                      <w:rFonts w:hint="eastAsia" w:cs="Times New Roman"/>
                      <w:color w:val="auto"/>
                      <w:sz w:val="24"/>
                      <w:u w:val="none" w:color="auto"/>
                      <w:vertAlign w:val="baseline"/>
                      <w:lang w:val="en-US" w:eastAsia="zh-CN"/>
                    </w:rPr>
                    <w:t>mg/m</w:t>
                  </w:r>
                  <w:r>
                    <w:rPr>
                      <w:rFonts w:hint="eastAsia" w:cs="Times New Roman"/>
                      <w:color w:val="auto"/>
                      <w:sz w:val="24"/>
                      <w:u w:val="none" w:color="auto"/>
                      <w:vertAlign w:val="superscript"/>
                      <w:lang w:val="en-US" w:eastAsia="zh-CN"/>
                    </w:rPr>
                    <w:t>3</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0.015</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0.018</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0.019</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17</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val="en-US" w:eastAsia="zh-CN"/>
                    </w:rPr>
                  </w:pPr>
                  <w:r>
                    <w:rPr>
                      <w:rFonts w:hint="eastAsia" w:cs="Times New Roman"/>
                      <w:color w:val="auto"/>
                      <w:sz w:val="24"/>
                      <w:u w:val="none" w:color="auto"/>
                      <w:vertAlign w:val="baseline"/>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排放速率（</w:t>
                  </w:r>
                  <w:r>
                    <w:rPr>
                      <w:rFonts w:hint="eastAsia" w:cs="Times New Roman"/>
                      <w:color w:val="auto"/>
                      <w:sz w:val="24"/>
                      <w:u w:val="none" w:color="auto"/>
                      <w:vertAlign w:val="baseline"/>
                      <w:lang w:val="en-US" w:eastAsia="zh-CN"/>
                    </w:rPr>
                    <w:t>kg/h</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0.000054</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0.000064</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0.000069</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挥发性有机物（</w:t>
                  </w:r>
                  <w:r>
                    <w:rPr>
                      <w:rFonts w:hint="eastAsia" w:cs="Times New Roman"/>
                      <w:color w:val="auto"/>
                      <w:sz w:val="24"/>
                      <w:u w:val="none" w:color="auto"/>
                      <w:vertAlign w:val="baseline"/>
                      <w:lang w:val="en-US" w:eastAsia="zh-CN"/>
                    </w:rPr>
                    <w:t>VOC</w:t>
                  </w:r>
                  <w:r>
                    <w:rPr>
                      <w:rFonts w:hint="eastAsia" w:cs="Times New Roman"/>
                      <w:color w:val="auto"/>
                      <w:sz w:val="24"/>
                      <w:u w:val="none" w:color="auto"/>
                      <w:vertAlign w:val="subscript"/>
                      <w:lang w:val="en-US" w:eastAsia="zh-CN"/>
                    </w:rPr>
                    <w:t>S</w:t>
                  </w:r>
                  <w:r>
                    <w:rPr>
                      <w:rFonts w:hint="eastAsia" w:cs="Times New Roman"/>
                      <w:color w:val="auto"/>
                      <w:sz w:val="24"/>
                      <w:u w:val="none" w:color="auto"/>
                      <w:vertAlign w:val="baseline"/>
                      <w:lang w:eastAsia="zh-CN"/>
                    </w:rPr>
                    <w:t>）</w:t>
                  </w: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实测浓度（</w:t>
                  </w:r>
                  <w:r>
                    <w:rPr>
                      <w:rFonts w:hint="eastAsia" w:cs="Times New Roman"/>
                      <w:color w:val="auto"/>
                      <w:sz w:val="24"/>
                      <w:u w:val="none" w:color="auto"/>
                      <w:vertAlign w:val="baseline"/>
                      <w:lang w:val="en-US" w:eastAsia="zh-CN"/>
                    </w:rPr>
                    <w:t>mg/m</w:t>
                  </w:r>
                  <w:r>
                    <w:rPr>
                      <w:rFonts w:hint="eastAsia" w:cs="Times New Roman"/>
                      <w:color w:val="auto"/>
                      <w:sz w:val="24"/>
                      <w:u w:val="none" w:color="auto"/>
                      <w:vertAlign w:val="superscript"/>
                      <w:lang w:val="en-US" w:eastAsia="zh-CN"/>
                    </w:rPr>
                    <w:t>3</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1.43</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1.54</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1.46</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50</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val="en-US" w:eastAsia="zh-CN"/>
                    </w:rPr>
                  </w:pPr>
                  <w:r>
                    <w:rPr>
                      <w:rFonts w:hint="eastAsia" w:cs="Times New Roman"/>
                      <w:color w:val="auto"/>
                      <w:sz w:val="24"/>
                      <w:u w:val="none" w:color="auto"/>
                      <w:vertAlign w:val="baseline"/>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3" w:type="pct"/>
                  <w:vMerge w:val="continue"/>
                  <w:tcBorders>
                    <w:tl2br w:val="nil"/>
                    <w:tr2bl w:val="nil"/>
                  </w:tcBorders>
                </w:tcPr>
                <w:p>
                  <w:pPr>
                    <w:keepNext w:val="0"/>
                    <w:keepLines w:val="0"/>
                    <w:pageBreakBefore w:val="0"/>
                    <w:widowControl w:val="0"/>
                    <w:kinsoku/>
                    <w:wordWrap/>
                    <w:overflowPunct/>
                    <w:topLinePunct w:val="0"/>
                    <w:autoSpaceDE/>
                    <w:autoSpaceDN/>
                    <w:bidi w:val="0"/>
                    <w:adjustRightInd/>
                    <w:spacing w:line="360" w:lineRule="auto"/>
                    <w:textAlignment w:val="auto"/>
                    <w:rPr>
                      <w:rFonts w:hint="default" w:ascii="Times New Roman" w:hAnsi="Times New Roman" w:cs="Times New Roman"/>
                      <w:color w:val="auto"/>
                      <w:sz w:val="24"/>
                      <w:u w:val="none" w:color="auto"/>
                      <w:vertAlign w:val="baseline"/>
                    </w:rPr>
                  </w:pPr>
                </w:p>
              </w:tc>
              <w:tc>
                <w:tcPr>
                  <w:tcW w:w="70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7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排放速率（</w:t>
                  </w:r>
                  <w:r>
                    <w:rPr>
                      <w:rFonts w:hint="eastAsia" w:cs="Times New Roman"/>
                      <w:color w:val="auto"/>
                      <w:sz w:val="24"/>
                      <w:u w:val="none" w:color="auto"/>
                      <w:vertAlign w:val="baseline"/>
                      <w:lang w:val="en-US" w:eastAsia="zh-CN"/>
                    </w:rPr>
                    <w:t>kg/h</w:t>
                  </w:r>
                  <w:r>
                    <w:rPr>
                      <w:rFonts w:hint="eastAsia" w:cs="Times New Roman"/>
                      <w:color w:val="auto"/>
                      <w:sz w:val="24"/>
                      <w:u w:val="none" w:color="auto"/>
                      <w:vertAlign w:val="baseline"/>
                      <w:lang w:eastAsia="zh-CN"/>
                    </w:rPr>
                    <w:t>）</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0.0052</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0.0055</w:t>
                  </w:r>
                </w:p>
              </w:tc>
              <w:tc>
                <w:tcPr>
                  <w:tcW w:w="6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0.0053</w:t>
                  </w:r>
                </w:p>
              </w:tc>
              <w:tc>
                <w:tcPr>
                  <w:tcW w:w="5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c>
                <w:tcPr>
                  <w:tcW w:w="58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ascii="Times New Roman" w:hAnsi="Times New Roman" w:eastAsia="宋体" w:cs="Times New Roman"/>
                <w:color w:val="auto"/>
                <w:sz w:val="24"/>
                <w:u w:val="none" w:color="auto"/>
                <w:lang w:val="en-US" w:eastAsia="zh-CN"/>
              </w:rPr>
            </w:pPr>
            <w:r>
              <w:rPr>
                <w:rFonts w:hint="eastAsia" w:cs="Times New Roman"/>
                <w:color w:val="auto"/>
                <w:sz w:val="24"/>
                <w:u w:val="none" w:color="auto"/>
                <w:lang w:eastAsia="zh-CN"/>
              </w:rPr>
              <w:t>表</w:t>
            </w:r>
            <w:r>
              <w:rPr>
                <w:rFonts w:hint="eastAsia" w:cs="Times New Roman"/>
                <w:color w:val="auto"/>
                <w:sz w:val="24"/>
                <w:u w:val="none" w:color="auto"/>
                <w:lang w:val="en-US" w:eastAsia="zh-CN"/>
              </w:rPr>
              <w:t>1-12 无组废气检测结果</w:t>
            </w:r>
          </w:p>
          <w:tbl>
            <w:tblPr>
              <w:tblStyle w:val="41"/>
              <w:tblW w:w="9098"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9"/>
              <w:gridCol w:w="1819"/>
              <w:gridCol w:w="1820"/>
              <w:gridCol w:w="1820"/>
              <w:gridCol w:w="18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采样点位</w:t>
                  </w:r>
                </w:p>
              </w:tc>
              <w:tc>
                <w:tcPr>
                  <w:tcW w:w="3639"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采样日期</w:t>
                  </w:r>
                </w:p>
              </w:tc>
              <w:tc>
                <w:tcPr>
                  <w:tcW w:w="3640"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检测结果（</w:t>
                  </w:r>
                  <w:r>
                    <w:rPr>
                      <w:rFonts w:hint="eastAsia" w:cs="Times New Roman"/>
                      <w:color w:val="auto"/>
                      <w:sz w:val="24"/>
                      <w:u w:val="none" w:color="auto"/>
                      <w:vertAlign w:val="baseline"/>
                      <w:lang w:val="en-US" w:eastAsia="zh-CN"/>
                    </w:rPr>
                    <w:t>mg/m</w:t>
                  </w:r>
                  <w:r>
                    <w:rPr>
                      <w:rFonts w:hint="eastAsia" w:cs="Times New Roman"/>
                      <w:color w:val="auto"/>
                      <w:sz w:val="24"/>
                      <w:u w:val="none" w:color="auto"/>
                      <w:vertAlign w:val="superscript"/>
                      <w:lang w:val="en-US" w:eastAsia="zh-CN"/>
                    </w:rPr>
                    <w:t>3</w:t>
                  </w:r>
                  <w:r>
                    <w:rPr>
                      <w:rFonts w:hint="eastAsia" w:cs="Times New Roman"/>
                      <w:color w:val="auto"/>
                      <w:sz w:val="24"/>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3639"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颗粒物</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挥发性有机物（</w:t>
                  </w:r>
                  <w:r>
                    <w:rPr>
                      <w:rFonts w:hint="eastAsia" w:cs="Times New Roman"/>
                      <w:color w:val="auto"/>
                      <w:sz w:val="24"/>
                      <w:u w:val="none" w:color="auto"/>
                      <w:vertAlign w:val="baseline"/>
                      <w:lang w:val="en-US" w:eastAsia="zh-CN"/>
                    </w:rPr>
                    <w:t>VOC</w:t>
                  </w:r>
                  <w:r>
                    <w:rPr>
                      <w:rFonts w:hint="eastAsia" w:cs="Times New Roman"/>
                      <w:color w:val="auto"/>
                      <w:sz w:val="24"/>
                      <w:u w:val="none" w:color="auto"/>
                      <w:vertAlign w:val="subscript"/>
                      <w:lang w:val="en-US" w:eastAsia="zh-CN"/>
                    </w:rPr>
                    <w:t>S</w:t>
                  </w:r>
                  <w:r>
                    <w:rPr>
                      <w:rFonts w:hint="eastAsia" w:cs="Times New Roman"/>
                      <w:color w:val="auto"/>
                      <w:sz w:val="24"/>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厂界上风向</w:t>
                  </w:r>
                </w:p>
              </w:tc>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2019.10.24</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第一次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0.192</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第二次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0.205</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第三次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0.222</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eastAsia="zh-CN"/>
                    </w:rPr>
                    <w:t>厂界下风向</w:t>
                  </w:r>
                  <w:r>
                    <w:rPr>
                      <w:rFonts w:hint="eastAsia" w:cs="Times New Roman"/>
                      <w:color w:val="auto"/>
                      <w:sz w:val="24"/>
                      <w:u w:val="none" w:color="auto"/>
                      <w:vertAlign w:val="baseline"/>
                      <w:lang w:val="en-US" w:eastAsia="zh-CN"/>
                    </w:rPr>
                    <w:t>1#</w:t>
                  </w:r>
                </w:p>
              </w:tc>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val="en-US" w:eastAsia="zh-CN"/>
                    </w:rPr>
                    <w:t>2019.10.24</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第一次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0.286</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第二次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0.309</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第三次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0.312</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eastAsia="zh-CN"/>
                    </w:rPr>
                    <w:t>厂界下风向</w:t>
                  </w:r>
                  <w:r>
                    <w:rPr>
                      <w:rFonts w:hint="eastAsia" w:cs="Times New Roman"/>
                      <w:color w:val="auto"/>
                      <w:sz w:val="24"/>
                      <w:u w:val="none" w:color="auto"/>
                      <w:vertAlign w:val="baseline"/>
                      <w:lang w:val="en-US" w:eastAsia="zh-CN"/>
                    </w:rPr>
                    <w:t>2#</w:t>
                  </w:r>
                </w:p>
              </w:tc>
              <w:tc>
                <w:tcPr>
                  <w:tcW w:w="181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val="en-US" w:eastAsia="zh-CN"/>
                    </w:rPr>
                    <w:t>2019.10.24</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第一次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0.229</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第二次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0.241</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1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第三次</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0.257</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0.363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8"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4"/>
                      <w:u w:val="none" w:color="auto"/>
                      <w:vertAlign w:val="baseline"/>
                      <w:lang w:eastAsia="zh-CN"/>
                    </w:rPr>
                  </w:pPr>
                  <w:r>
                    <w:rPr>
                      <w:rFonts w:hint="eastAsia" w:cs="Times New Roman"/>
                      <w:color w:val="auto"/>
                      <w:sz w:val="24"/>
                      <w:u w:val="none" w:color="auto"/>
                      <w:vertAlign w:val="baseline"/>
                      <w:lang w:eastAsia="zh-CN"/>
                    </w:rPr>
                    <w:t>标准限值</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1.0</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4"/>
                      <w:u w:val="none" w:color="auto"/>
                      <w:vertAlign w:val="baseline"/>
                      <w:lang w:val="en-US" w:eastAsia="zh-CN"/>
                    </w:rPr>
                  </w:pPr>
                  <w:r>
                    <w:rPr>
                      <w:rFonts w:hint="eastAsia" w:cs="Times New Roman"/>
                      <w:color w:val="auto"/>
                      <w:sz w:val="24"/>
                      <w:u w:val="none" w:color="auto"/>
                      <w:vertAlign w:val="baseli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58"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4"/>
                      <w:u w:val="none" w:color="auto"/>
                      <w:vertAlign w:val="baseline"/>
                      <w:lang w:eastAsia="zh-CN"/>
                    </w:rPr>
                  </w:pPr>
                  <w:r>
                    <w:rPr>
                      <w:rFonts w:hint="eastAsia" w:cs="Times New Roman"/>
                      <w:color w:val="auto"/>
                      <w:sz w:val="24"/>
                      <w:u w:val="none" w:color="auto"/>
                      <w:vertAlign w:val="baseline"/>
                      <w:lang w:eastAsia="zh-CN"/>
                    </w:rPr>
                    <w:t>是否达标</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达标</w:t>
                  </w:r>
                </w:p>
              </w:tc>
              <w:tc>
                <w:tcPr>
                  <w:tcW w:w="182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4"/>
                      <w:u w:val="none" w:color="auto"/>
                      <w:vertAlign w:val="baseline"/>
                    </w:rPr>
                  </w:pPr>
                  <w:r>
                    <w:rPr>
                      <w:rFonts w:hint="eastAsia" w:cs="Times New Roman"/>
                      <w:color w:val="auto"/>
                      <w:sz w:val="24"/>
                      <w:u w:val="none" w:color="auto"/>
                      <w:vertAlign w:val="baseline"/>
                      <w:lang w:eastAsia="zh-CN"/>
                    </w:rPr>
                    <w:t>达标</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ascii="Times New Roman" w:hAnsi="Times New Roman" w:eastAsia="宋体" w:cs="Times New Roman"/>
                <w:color w:val="auto"/>
                <w:sz w:val="24"/>
                <w:u w:val="none" w:color="auto"/>
                <w:lang w:eastAsia="zh-CN"/>
              </w:rPr>
            </w:pPr>
            <w:r>
              <w:rPr>
                <w:rFonts w:hint="eastAsia" w:cs="Times New Roman"/>
                <w:color w:val="auto"/>
                <w:sz w:val="24"/>
                <w:u w:val="none" w:color="auto"/>
                <w:lang w:eastAsia="zh-CN"/>
              </w:rPr>
              <w:t>由上表可知，项目喷漆废气排气筒中苯、甲苯、二甲苯、挥发性有机物检测结果均达到了《表面涂装（汽车制造及维修）挥发性有机物、镍排放标准》（</w:t>
            </w:r>
            <w:r>
              <w:rPr>
                <w:rFonts w:hint="eastAsia" w:cs="Times New Roman"/>
                <w:color w:val="auto"/>
                <w:sz w:val="24"/>
                <w:u w:val="none" w:color="auto"/>
                <w:lang w:val="en-US" w:eastAsia="zh-CN"/>
              </w:rPr>
              <w:t>DB43/1356-2017</w:t>
            </w:r>
            <w:r>
              <w:rPr>
                <w:rFonts w:hint="eastAsia" w:cs="Times New Roman"/>
                <w:color w:val="auto"/>
                <w:sz w:val="24"/>
                <w:u w:val="none" w:color="auto"/>
                <w:lang w:eastAsia="zh-CN"/>
              </w:rPr>
              <w:t>）中排放标准；厂界无组织排放点中挥发性有机物检测结果达到了（参照执行）《表面涂装（汽车制造及维修）挥发性有机物、镍排放标准》（</w:t>
            </w:r>
            <w:r>
              <w:rPr>
                <w:rFonts w:hint="eastAsia" w:cs="Times New Roman"/>
                <w:color w:val="auto"/>
                <w:sz w:val="24"/>
                <w:u w:val="none" w:color="auto"/>
                <w:lang w:val="en-US" w:eastAsia="zh-CN"/>
              </w:rPr>
              <w:t>DB43/1356-2017</w:t>
            </w:r>
            <w:r>
              <w:rPr>
                <w:rFonts w:hint="eastAsia" w:cs="Times New Roman"/>
                <w:color w:val="auto"/>
                <w:sz w:val="24"/>
                <w:u w:val="none" w:color="auto"/>
                <w:lang w:eastAsia="zh-CN"/>
              </w:rPr>
              <w:t>）中排放标准、颗粒物检测结果达到了《大气污染物综合排放标准》（</w:t>
            </w:r>
            <w:r>
              <w:rPr>
                <w:rFonts w:hint="eastAsia" w:cs="Times New Roman"/>
                <w:color w:val="auto"/>
                <w:sz w:val="24"/>
                <w:u w:val="none" w:color="auto"/>
                <w:lang w:val="en-US" w:eastAsia="zh-CN"/>
              </w:rPr>
              <w:t>GB16297-1996</w:t>
            </w:r>
            <w:r>
              <w:rPr>
                <w:rFonts w:hint="eastAsia" w:cs="Times New Roman"/>
                <w:color w:val="auto"/>
                <w:sz w:val="24"/>
                <w:u w:val="none" w:color="auto"/>
                <w:lang w:eastAsia="zh-CN"/>
              </w:rPr>
              <w:t>）中无组织排放标准限值要求。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strike/>
                <w:color w:val="auto"/>
                <w:sz w:val="24"/>
                <w:u w:val="none" w:color="auto"/>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2</w:t>
            </w:r>
            <w:r>
              <w:rPr>
                <w:rFonts w:hint="default" w:ascii="Times New Roman" w:hAnsi="Times New Roman" w:cs="Times New Roman"/>
                <w:color w:val="auto"/>
                <w:sz w:val="24"/>
                <w:u w:val="none" w:color="auto"/>
              </w:rPr>
              <w:t>废水</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eastAsia" w:cs="Times New Roman"/>
                <w:color w:val="auto"/>
                <w:sz w:val="24"/>
                <w:u w:val="none" w:color="auto"/>
                <w:lang w:val="en-US" w:eastAsia="zh-CN"/>
              </w:rPr>
            </w:pPr>
            <w:r>
              <w:rPr>
                <w:rFonts w:hint="default" w:ascii="Times New Roman" w:hAnsi="Times New Roman" w:cs="Times New Roman"/>
                <w:color w:val="auto"/>
                <w:sz w:val="24"/>
                <w:u w:val="none" w:color="auto"/>
              </w:rPr>
              <w:t>原项目营运期无</w:t>
            </w:r>
            <w:r>
              <w:rPr>
                <w:rFonts w:hint="eastAsia" w:cs="Times New Roman"/>
                <w:color w:val="auto"/>
                <w:sz w:val="24"/>
                <w:u w:val="none" w:color="auto"/>
                <w:lang w:eastAsia="zh-CN"/>
              </w:rPr>
              <w:t>生产</w:t>
            </w:r>
            <w:r>
              <w:rPr>
                <w:rFonts w:hint="default" w:ascii="Times New Roman" w:hAnsi="Times New Roman" w:cs="Times New Roman"/>
                <w:color w:val="auto"/>
                <w:sz w:val="24"/>
                <w:u w:val="none" w:color="auto"/>
              </w:rPr>
              <w:t>废水产生</w:t>
            </w:r>
            <w:r>
              <w:rPr>
                <w:rFonts w:hint="default" w:ascii="Times New Roman" w:hAnsi="Times New Roman" w:cs="Times New Roman"/>
                <w:color w:val="auto"/>
                <w:sz w:val="24"/>
                <w:u w:val="none" w:color="auto"/>
                <w:lang w:eastAsia="zh-CN"/>
              </w:rPr>
              <w:t>；生活污水经</w:t>
            </w:r>
            <w:r>
              <w:rPr>
                <w:rFonts w:hint="eastAsia" w:ascii="Times New Roman" w:hAnsi="Times New Roman" w:cs="Times New Roman"/>
                <w:color w:val="auto"/>
                <w:sz w:val="24"/>
                <w:u w:val="none" w:color="auto"/>
                <w:lang w:eastAsia="zh-CN"/>
              </w:rPr>
              <w:t>化粪池</w:t>
            </w:r>
            <w:r>
              <w:rPr>
                <w:rFonts w:hint="default" w:ascii="Times New Roman" w:hAnsi="Times New Roman" w:cs="Times New Roman"/>
                <w:color w:val="auto"/>
                <w:sz w:val="24"/>
                <w:u w:val="none" w:color="auto"/>
                <w:lang w:eastAsia="zh-CN"/>
              </w:rPr>
              <w:t>处理</w:t>
            </w:r>
            <w:r>
              <w:rPr>
                <w:rFonts w:hint="eastAsia" w:cs="Times New Roman"/>
                <w:color w:val="auto"/>
                <w:sz w:val="24"/>
                <w:u w:val="none" w:color="auto"/>
                <w:lang w:eastAsia="zh-CN"/>
              </w:rPr>
              <w:t>后排入园区污水管网，进入湘阴县第二污水处理厂，根据湖南精准通检测技术有限公司于</w:t>
            </w:r>
            <w:r>
              <w:rPr>
                <w:rFonts w:hint="eastAsia" w:cs="Times New Roman"/>
                <w:color w:val="auto"/>
                <w:sz w:val="24"/>
                <w:u w:val="none" w:color="auto"/>
                <w:lang w:val="en-US" w:eastAsia="zh-CN"/>
              </w:rPr>
              <w:t>2019年10月24日对其废水排放口检测，具体检测结果见表1-13。</w:t>
            </w:r>
          </w:p>
          <w:p>
            <w:pPr>
              <w:keepNext w:val="0"/>
              <w:keepLines w:val="0"/>
              <w:pageBreakBefore w:val="0"/>
              <w:widowControl w:val="0"/>
              <w:kinsoku/>
              <w:wordWrap/>
              <w:overflowPunct/>
              <w:topLinePunct w:val="0"/>
              <w:autoSpaceDE/>
              <w:autoSpaceDN/>
              <w:bidi w:val="0"/>
              <w:adjustRightInd/>
              <w:spacing w:line="360" w:lineRule="auto"/>
              <w:ind w:firstLine="480" w:firstLineChars="200"/>
              <w:jc w:val="center"/>
              <w:textAlignment w:val="auto"/>
              <w:rPr>
                <w:rFonts w:hint="default" w:cs="Times New Roman"/>
                <w:color w:val="auto"/>
                <w:sz w:val="24"/>
                <w:u w:val="none" w:color="auto"/>
                <w:lang w:val="en-US" w:eastAsia="zh-CN"/>
              </w:rPr>
            </w:pPr>
            <w:r>
              <w:rPr>
                <w:rFonts w:hint="eastAsia" w:cs="Times New Roman"/>
                <w:color w:val="auto"/>
                <w:sz w:val="24"/>
                <w:u w:val="none" w:color="auto"/>
                <w:lang w:val="en-US" w:eastAsia="zh-CN"/>
              </w:rPr>
              <w:t>表1-13 废水检测结果</w:t>
            </w:r>
          </w:p>
          <w:tbl>
            <w:tblPr>
              <w:tblStyle w:val="4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296"/>
              <w:gridCol w:w="1116"/>
              <w:gridCol w:w="897"/>
              <w:gridCol w:w="941"/>
              <w:gridCol w:w="1186"/>
              <w:gridCol w:w="818"/>
              <w:gridCol w:w="946"/>
              <w:gridCol w:w="9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采样</w:t>
                  </w:r>
                </w:p>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点位</w:t>
                  </w:r>
                </w:p>
              </w:tc>
              <w:tc>
                <w:tcPr>
                  <w:tcW w:w="2412" w:type="dxa"/>
                  <w:gridSpan w:val="2"/>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采样日期</w:t>
                  </w:r>
                </w:p>
              </w:tc>
              <w:tc>
                <w:tcPr>
                  <w:tcW w:w="5739" w:type="dxa"/>
                  <w:gridSpan w:val="6"/>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eastAsia="zh-CN"/>
                    </w:rPr>
                    <w:t>检测结果（</w:t>
                  </w:r>
                  <w:r>
                    <w:rPr>
                      <w:rFonts w:hint="eastAsia" w:cs="Times New Roman"/>
                      <w:color w:val="auto"/>
                      <w:sz w:val="22"/>
                      <w:szCs w:val="22"/>
                      <w:u w:val="none" w:color="auto"/>
                      <w:vertAlign w:val="baseline"/>
                      <w:lang w:val="en-US" w:eastAsia="zh-CN"/>
                    </w:rPr>
                    <w:t>mg/L，pH值:无量纲</w:t>
                  </w:r>
                  <w:r>
                    <w:rPr>
                      <w:rFonts w:hint="eastAsia"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2412" w:type="dxa"/>
                  <w:gridSpan w:val="2"/>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r>
                    <w:rPr>
                      <w:rFonts w:hint="eastAsia" w:cs="Times New Roman"/>
                      <w:color w:val="auto"/>
                      <w:sz w:val="22"/>
                      <w:szCs w:val="22"/>
                      <w:u w:val="none" w:color="auto"/>
                      <w:vertAlign w:val="baseline"/>
                      <w:lang w:val="en-US" w:eastAsia="zh-CN"/>
                    </w:rPr>
                    <w:t>pH值</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化学需氧量</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五日生化需氧量</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氨氮</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悬浮物</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动植物油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废水总排口</w:t>
                  </w:r>
                </w:p>
              </w:tc>
              <w:tc>
                <w:tcPr>
                  <w:tcW w:w="129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2019.10.24</w:t>
                  </w:r>
                </w:p>
              </w:tc>
              <w:tc>
                <w:tcPr>
                  <w:tcW w:w="11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第一次</w:t>
                  </w: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6.65</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98</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27.4</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0.913</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36</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2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第二次</w:t>
                  </w: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6.81</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102</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25.6</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0.946</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38</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2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第三次</w:t>
                  </w: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6.63</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111</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29.3</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1.387</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36</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4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2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color w:val="auto"/>
                      <w:sz w:val="22"/>
                      <w:szCs w:val="22"/>
                      <w:u w:val="none" w:color="auto"/>
                      <w:vertAlign w:val="baseline"/>
                    </w:rPr>
                  </w:pPr>
                </w:p>
              </w:tc>
              <w:tc>
                <w:tcPr>
                  <w:tcW w:w="111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第四次</w:t>
                  </w: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6.76</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106</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27.5</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1.456</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41</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54"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ascii="Times New Roman" w:hAnsi="Times New Roman" w:eastAsia="宋体"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标准限值</w:t>
                  </w: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6-9</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500</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300</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400</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eastAsia="宋体"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54" w:type="dxa"/>
                  <w:gridSpan w:val="3"/>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是否达标</w:t>
                  </w:r>
                </w:p>
              </w:tc>
              <w:tc>
                <w:tcPr>
                  <w:tcW w:w="89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达标</w:t>
                  </w:r>
                </w:p>
              </w:tc>
              <w:tc>
                <w:tcPr>
                  <w:tcW w:w="9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达标</w:t>
                  </w:r>
                </w:p>
              </w:tc>
              <w:tc>
                <w:tcPr>
                  <w:tcW w:w="118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达标</w:t>
                  </w:r>
                </w:p>
              </w:tc>
              <w:tc>
                <w:tcPr>
                  <w:tcW w:w="81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达标</w:t>
                  </w:r>
                </w:p>
              </w:tc>
              <w:tc>
                <w:tcPr>
                  <w:tcW w:w="9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360" w:lineRule="auto"/>
                    <w:jc w:val="center"/>
                    <w:textAlignment w:val="auto"/>
                    <w:rPr>
                      <w:rFonts w:hint="eastAsia"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eastAsia="zh-CN"/>
                    </w:rPr>
                    <w:t>达标</w:t>
                  </w:r>
                </w:p>
              </w:tc>
            </w:tr>
          </w:tbl>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auto"/>
                <w:sz w:val="24"/>
                <w:u w:val="none" w:color="auto"/>
              </w:rPr>
            </w:pPr>
            <w:r>
              <w:rPr>
                <w:rFonts w:hint="eastAsia" w:cs="Times New Roman"/>
                <w:color w:val="auto"/>
                <w:sz w:val="24"/>
                <w:u w:val="none" w:color="auto"/>
                <w:lang w:eastAsia="zh-CN"/>
              </w:rPr>
              <w:t>由上表可知，项目废水总排口中检测因子均达到了《污水综合排放标准》（</w:t>
            </w:r>
            <w:r>
              <w:rPr>
                <w:rFonts w:hint="eastAsia" w:cs="Times New Roman"/>
                <w:color w:val="auto"/>
                <w:sz w:val="24"/>
                <w:u w:val="none" w:color="auto"/>
                <w:lang w:val="en-US" w:eastAsia="zh-CN"/>
              </w:rPr>
              <w:t>GB8978-1996</w:t>
            </w:r>
            <w:r>
              <w:rPr>
                <w:rFonts w:hint="eastAsia" w:cs="Times New Roman"/>
                <w:color w:val="auto"/>
                <w:sz w:val="24"/>
                <w:u w:val="none" w:color="auto"/>
                <w:lang w:eastAsia="zh-CN"/>
              </w:rPr>
              <w:t>）中三级排放标准</w:t>
            </w:r>
            <w:r>
              <w:rPr>
                <w:rFonts w:hint="default" w:ascii="Times New Roman" w:hAnsi="Times New Roman" w:cs="Times New Roman"/>
                <w:color w:val="auto"/>
                <w:sz w:val="24"/>
                <w:u w:val="none" w:color="auto"/>
              </w:rPr>
              <w:t>。</w:t>
            </w:r>
          </w:p>
          <w:p>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3</w:t>
            </w: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rPr>
              <w:t>噪声</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eastAsia="宋体" w:cs="Times New Roman"/>
                <w:color w:val="auto"/>
                <w:sz w:val="24"/>
                <w:u w:val="none" w:color="auto"/>
                <w:lang w:val="en-US" w:eastAsia="zh-CN"/>
              </w:rPr>
            </w:pPr>
            <w:r>
              <w:rPr>
                <w:rFonts w:hint="default" w:ascii="Times New Roman" w:hAnsi="Times New Roman" w:cs="Times New Roman"/>
                <w:color w:val="auto"/>
                <w:sz w:val="24"/>
                <w:u w:val="none" w:color="auto"/>
              </w:rPr>
              <w:t>原项目营运期产生的噪声主要是</w:t>
            </w:r>
            <w:r>
              <w:rPr>
                <w:rFonts w:hint="eastAsia" w:cs="Times New Roman"/>
                <w:color w:val="auto"/>
                <w:sz w:val="24"/>
                <w:u w:val="none" w:color="auto"/>
                <w:lang w:eastAsia="zh-CN"/>
              </w:rPr>
              <w:t>喷枪、焊接</w:t>
            </w:r>
            <w:r>
              <w:rPr>
                <w:rFonts w:hint="default" w:ascii="Times New Roman" w:hAnsi="Times New Roman" w:cs="Times New Roman"/>
                <w:color w:val="auto"/>
                <w:sz w:val="24"/>
                <w:u w:val="none" w:color="auto"/>
              </w:rPr>
              <w:t>等设备运行产生的噪声，噪声值约为75～90dB（A）。对发声设备采取防震、消声、隔音措施，同时加强设备的维护，确保设备处于良好的运转状态，杜绝因设备不正常运行产生的高噪声现象。厂内各噪声源与厂界设置隔离带，在隔离带种树木花草进行场区绿化，</w:t>
            </w:r>
            <w:r>
              <w:rPr>
                <w:rFonts w:hint="eastAsia" w:cs="Times New Roman"/>
                <w:color w:val="auto"/>
                <w:sz w:val="24"/>
                <w:u w:val="none" w:color="auto"/>
                <w:lang w:eastAsia="zh-CN"/>
              </w:rPr>
              <w:t>根据湖南精准通检测技术有限公司于</w:t>
            </w:r>
            <w:r>
              <w:rPr>
                <w:rFonts w:hint="eastAsia" w:cs="Times New Roman"/>
                <w:color w:val="auto"/>
                <w:sz w:val="24"/>
                <w:u w:val="none" w:color="auto"/>
                <w:lang w:val="en-US" w:eastAsia="zh-CN"/>
              </w:rPr>
              <w:t>2019年10月24日对其厂界东、南、西、北侧噪声进行监测，</w:t>
            </w:r>
            <w:r>
              <w:rPr>
                <w:rFonts w:hint="eastAsia" w:cs="Times New Roman"/>
                <w:color w:val="auto"/>
                <w:sz w:val="24"/>
                <w:u w:val="single" w:color="auto"/>
                <w:lang w:val="en-US" w:eastAsia="zh-CN"/>
              </w:rPr>
              <w:t>监测期间项目正常生产，其生产负荷达到了75%</w:t>
            </w:r>
            <w:r>
              <w:rPr>
                <w:rFonts w:hint="eastAsia" w:cs="Times New Roman"/>
                <w:color w:val="auto"/>
                <w:sz w:val="24"/>
                <w:u w:val="none" w:color="auto"/>
                <w:lang w:val="en-US" w:eastAsia="zh-CN"/>
              </w:rPr>
              <w:t>，具体见表1-14。</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center"/>
              <w:textAlignment w:val="auto"/>
              <w:rPr>
                <w:rFonts w:hint="eastAsia" w:cs="Times New Roman"/>
                <w:color w:val="auto"/>
                <w:sz w:val="24"/>
                <w:u w:val="none" w:color="auto"/>
                <w:lang w:eastAsia="zh-CN"/>
              </w:rPr>
            </w:pP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center"/>
              <w:textAlignment w:val="auto"/>
              <w:rPr>
                <w:rFonts w:hint="eastAsia" w:cs="Times New Roman"/>
                <w:color w:val="auto"/>
                <w:sz w:val="24"/>
                <w:u w:val="none" w:color="auto"/>
                <w:lang w:eastAsia="zh-CN"/>
              </w:rPr>
            </w:pP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jc w:val="center"/>
              <w:textAlignment w:val="auto"/>
              <w:rPr>
                <w:rFonts w:hint="eastAsia" w:cs="Times New Roman"/>
                <w:color w:val="auto"/>
                <w:sz w:val="24"/>
                <w:u w:val="none" w:color="auto"/>
                <w:lang w:val="en-US" w:eastAsia="zh-CN"/>
              </w:rPr>
            </w:pPr>
            <w:r>
              <w:rPr>
                <w:rFonts w:hint="eastAsia" w:cs="Times New Roman"/>
                <w:color w:val="auto"/>
                <w:sz w:val="24"/>
                <w:u w:val="none" w:color="auto"/>
                <w:lang w:eastAsia="zh-CN"/>
              </w:rPr>
              <w:t>表</w:t>
            </w:r>
            <w:r>
              <w:rPr>
                <w:rFonts w:hint="eastAsia" w:cs="Times New Roman"/>
                <w:color w:val="auto"/>
                <w:sz w:val="24"/>
                <w:u w:val="none" w:color="auto"/>
                <w:lang w:val="en-US" w:eastAsia="zh-CN"/>
              </w:rPr>
              <w:t>1-14 噪声监测结果</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9"/>
              <w:gridCol w:w="3030"/>
              <w:gridCol w:w="3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Merge w:val="restart"/>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监测点位</w:t>
                  </w:r>
                </w:p>
              </w:tc>
              <w:tc>
                <w:tcPr>
                  <w:tcW w:w="6059" w:type="dxa"/>
                  <w:gridSpan w:val="2"/>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Merge w:val="continue"/>
                  <w:vAlign w:val="center"/>
                </w:tcPr>
                <w:p>
                  <w:pPr>
                    <w:bidi w:val="0"/>
                    <w:spacing w:line="360" w:lineRule="auto"/>
                    <w:jc w:val="center"/>
                    <w:rPr>
                      <w:rFonts w:hint="default"/>
                      <w:sz w:val="22"/>
                      <w:szCs w:val="22"/>
                      <w:vertAlign w:val="baseline"/>
                      <w:lang w:val="en-US" w:eastAsia="zh-CN"/>
                    </w:rPr>
                  </w:pPr>
                </w:p>
              </w:tc>
              <w:tc>
                <w:tcPr>
                  <w:tcW w:w="6059" w:type="dxa"/>
                  <w:gridSpan w:val="2"/>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2019.10.24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Merge w:val="continue"/>
                  <w:vAlign w:val="center"/>
                </w:tcPr>
                <w:p>
                  <w:pPr>
                    <w:bidi w:val="0"/>
                    <w:spacing w:line="360" w:lineRule="auto"/>
                    <w:jc w:val="center"/>
                    <w:rPr>
                      <w:rFonts w:hint="default"/>
                      <w:sz w:val="22"/>
                      <w:szCs w:val="22"/>
                      <w:vertAlign w:val="baseline"/>
                      <w:lang w:val="en-US" w:eastAsia="zh-CN"/>
                    </w:rPr>
                  </w:pP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昼间</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厂界东侧</w:t>
                  </w: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54.6</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厂界北侧</w:t>
                  </w: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52.8</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38.6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Align w:val="center"/>
                </w:tcPr>
                <w:p>
                  <w:pPr>
                    <w:bidi w:val="0"/>
                    <w:spacing w:line="360" w:lineRule="auto"/>
                    <w:jc w:val="center"/>
                    <w:rPr>
                      <w:rFonts w:hint="eastAsia"/>
                      <w:sz w:val="22"/>
                      <w:szCs w:val="22"/>
                      <w:vertAlign w:val="baseline"/>
                      <w:lang w:val="en-US" w:eastAsia="zh-CN"/>
                    </w:rPr>
                  </w:pPr>
                  <w:r>
                    <w:rPr>
                      <w:rFonts w:hint="eastAsia"/>
                      <w:sz w:val="22"/>
                      <w:szCs w:val="22"/>
                      <w:vertAlign w:val="baseline"/>
                      <w:lang w:val="en-US" w:eastAsia="zh-CN"/>
                    </w:rPr>
                    <w:t>执行标准（3类）</w:t>
                  </w: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65</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Align w:val="center"/>
                </w:tcPr>
                <w:p>
                  <w:pPr>
                    <w:bidi w:val="0"/>
                    <w:spacing w:line="360" w:lineRule="auto"/>
                    <w:jc w:val="center"/>
                    <w:rPr>
                      <w:rFonts w:hint="eastAsia"/>
                      <w:sz w:val="22"/>
                      <w:szCs w:val="22"/>
                      <w:vertAlign w:val="baseline"/>
                      <w:lang w:val="en-US" w:eastAsia="zh-CN"/>
                    </w:rPr>
                  </w:pPr>
                  <w:r>
                    <w:rPr>
                      <w:rFonts w:hint="eastAsia"/>
                      <w:sz w:val="22"/>
                      <w:szCs w:val="22"/>
                      <w:vertAlign w:val="baseline"/>
                      <w:lang w:val="en-US" w:eastAsia="zh-CN"/>
                    </w:rPr>
                    <w:t>厂界南侧</w:t>
                  </w: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61.7</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Align w:val="center"/>
                </w:tcPr>
                <w:p>
                  <w:pPr>
                    <w:bidi w:val="0"/>
                    <w:spacing w:line="360" w:lineRule="auto"/>
                    <w:jc w:val="center"/>
                    <w:rPr>
                      <w:rFonts w:hint="eastAsia"/>
                      <w:sz w:val="22"/>
                      <w:szCs w:val="22"/>
                      <w:vertAlign w:val="baseline"/>
                      <w:lang w:val="en-US" w:eastAsia="zh-CN"/>
                    </w:rPr>
                  </w:pPr>
                  <w:r>
                    <w:rPr>
                      <w:rFonts w:hint="eastAsia"/>
                      <w:sz w:val="22"/>
                      <w:szCs w:val="22"/>
                      <w:vertAlign w:val="baseline"/>
                      <w:lang w:val="en-US" w:eastAsia="zh-CN"/>
                    </w:rPr>
                    <w:t>厂界西侧</w:t>
                  </w: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60.4</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9" w:type="dxa"/>
                  <w:vAlign w:val="center"/>
                </w:tcPr>
                <w:p>
                  <w:pPr>
                    <w:bidi w:val="0"/>
                    <w:spacing w:line="360" w:lineRule="auto"/>
                    <w:jc w:val="center"/>
                    <w:rPr>
                      <w:rFonts w:hint="eastAsia"/>
                      <w:sz w:val="22"/>
                      <w:szCs w:val="22"/>
                      <w:vertAlign w:val="baseline"/>
                      <w:lang w:val="en-US" w:eastAsia="zh-CN"/>
                    </w:rPr>
                  </w:pPr>
                  <w:r>
                    <w:rPr>
                      <w:rFonts w:hint="eastAsia"/>
                      <w:sz w:val="22"/>
                      <w:szCs w:val="22"/>
                      <w:vertAlign w:val="baseline"/>
                      <w:lang w:val="en-US" w:eastAsia="zh-CN"/>
                    </w:rPr>
                    <w:t>执行标准（4类）</w:t>
                  </w:r>
                </w:p>
              </w:tc>
              <w:tc>
                <w:tcPr>
                  <w:tcW w:w="3030"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70</w:t>
                  </w:r>
                </w:p>
              </w:tc>
              <w:tc>
                <w:tcPr>
                  <w:tcW w:w="3029" w:type="dxa"/>
                  <w:vAlign w:val="center"/>
                </w:tcPr>
                <w:p>
                  <w:pPr>
                    <w:bidi w:val="0"/>
                    <w:spacing w:line="360" w:lineRule="auto"/>
                    <w:jc w:val="center"/>
                    <w:rPr>
                      <w:rFonts w:hint="default"/>
                      <w:sz w:val="22"/>
                      <w:szCs w:val="22"/>
                      <w:vertAlign w:val="baseline"/>
                      <w:lang w:val="en-US" w:eastAsia="zh-CN"/>
                    </w:rPr>
                  </w:pPr>
                  <w:r>
                    <w:rPr>
                      <w:rFonts w:hint="eastAsia"/>
                      <w:sz w:val="22"/>
                      <w:szCs w:val="22"/>
                      <w:vertAlign w:val="baseline"/>
                      <w:lang w:val="en-US" w:eastAsia="zh-CN"/>
                    </w:rPr>
                    <w:t>55</w:t>
                  </w:r>
                </w:p>
              </w:tc>
            </w:tr>
          </w:tbl>
          <w:p>
            <w:pPr>
              <w:bidi w:val="0"/>
              <w:rPr>
                <w:rFonts w:hint="default"/>
                <w:lang w:val="en-US" w:eastAsia="zh-CN"/>
              </w:rPr>
            </w:pP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cs="Times New Roman"/>
                <w:color w:val="auto"/>
                <w:spacing w:val="10"/>
                <w:kern w:val="24"/>
                <w:sz w:val="24"/>
                <w:u w:val="none" w:color="auto"/>
              </w:rPr>
            </w:pPr>
            <w:r>
              <w:rPr>
                <w:rFonts w:hint="eastAsia" w:cs="Times New Roman"/>
                <w:color w:val="auto"/>
                <w:sz w:val="24"/>
                <w:u w:val="none" w:color="auto"/>
                <w:lang w:eastAsia="zh-CN"/>
              </w:rPr>
              <w:t>由上表监测结果可知，项目厂界噪声</w:t>
            </w:r>
            <w:r>
              <w:rPr>
                <w:rFonts w:hint="default" w:ascii="Times New Roman" w:hAnsi="Times New Roman" w:cs="Times New Roman"/>
                <w:color w:val="auto"/>
                <w:sz w:val="24"/>
                <w:u w:val="none" w:color="auto"/>
              </w:rPr>
              <w:t>监测结果</w:t>
            </w:r>
            <w:r>
              <w:rPr>
                <w:rFonts w:hint="eastAsia" w:cs="Times New Roman"/>
                <w:color w:val="auto"/>
                <w:sz w:val="24"/>
                <w:u w:val="none" w:color="auto"/>
                <w:lang w:eastAsia="zh-CN"/>
              </w:rPr>
              <w:t>达到了</w:t>
            </w:r>
            <w:r>
              <w:rPr>
                <w:rFonts w:hint="default" w:ascii="Times New Roman" w:hAnsi="Times New Roman" w:cs="Times New Roman"/>
                <w:color w:val="auto"/>
                <w:sz w:val="24"/>
                <w:u w:val="none" w:color="auto"/>
              </w:rPr>
              <w:t>《工业企业厂界环境噪声排放标准》(GB12348-2008)3</w:t>
            </w:r>
            <w:r>
              <w:rPr>
                <w:rFonts w:hint="eastAsia" w:cs="Times New Roman"/>
                <w:color w:val="auto"/>
                <w:sz w:val="24"/>
                <w:u w:val="none" w:color="auto"/>
                <w:lang w:eastAsia="zh-CN"/>
              </w:rPr>
              <w:t>、</w:t>
            </w:r>
            <w:r>
              <w:rPr>
                <w:rFonts w:hint="eastAsia" w:cs="Times New Roman"/>
                <w:color w:val="auto"/>
                <w:sz w:val="24"/>
                <w:u w:val="none" w:color="auto"/>
                <w:lang w:val="en-US" w:eastAsia="zh-CN"/>
              </w:rPr>
              <w:t>4</w:t>
            </w:r>
            <w:r>
              <w:rPr>
                <w:rFonts w:hint="default" w:ascii="Times New Roman" w:hAnsi="Times New Roman" w:cs="Times New Roman"/>
                <w:color w:val="auto"/>
                <w:sz w:val="24"/>
                <w:u w:val="none" w:color="auto"/>
              </w:rPr>
              <w:t>类标准限值</w:t>
            </w:r>
            <w:r>
              <w:rPr>
                <w:rFonts w:hint="default" w:ascii="Times New Roman" w:hAnsi="Times New Roman" w:cs="Times New Roman"/>
                <w:color w:val="auto"/>
                <w:spacing w:val="10"/>
                <w:kern w:val="24"/>
                <w:sz w:val="24"/>
                <w:u w:val="none" w:color="auto"/>
              </w:rPr>
              <w:t>。</w:t>
            </w:r>
          </w:p>
          <w:p>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cs="Times New Roman"/>
                <w:color w:val="auto"/>
                <w:spacing w:val="10"/>
                <w:kern w:val="24"/>
                <w:sz w:val="24"/>
                <w:u w:val="none" w:color="auto"/>
              </w:rPr>
            </w:pP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lang w:val="en-US" w:eastAsia="zh-CN"/>
              </w:rPr>
              <w:t>4</w:t>
            </w:r>
            <w:r>
              <w:rPr>
                <w:rFonts w:hint="default" w:ascii="Times New Roman" w:hAnsi="Times New Roman" w:cs="Times New Roman"/>
                <w:color w:val="auto"/>
                <w:sz w:val="24"/>
                <w:u w:val="none" w:color="auto"/>
                <w:lang w:eastAsia="zh-CN"/>
              </w:rPr>
              <w:t>）</w:t>
            </w:r>
            <w:r>
              <w:rPr>
                <w:rFonts w:hint="default" w:ascii="Times New Roman" w:hAnsi="Times New Roman" w:cs="Times New Roman"/>
                <w:color w:val="auto"/>
                <w:sz w:val="24"/>
                <w:u w:val="none" w:color="auto"/>
              </w:rPr>
              <w:t>固废</w:t>
            </w:r>
          </w:p>
          <w:p>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lang w:eastAsia="zh-CN"/>
              </w:rPr>
              <w:t>原</w:t>
            </w:r>
            <w:r>
              <w:rPr>
                <w:rFonts w:hint="default" w:ascii="Times New Roman" w:hAnsi="Times New Roman" w:cs="Times New Roman"/>
                <w:color w:val="auto"/>
                <w:sz w:val="24"/>
                <w:u w:val="none" w:color="auto"/>
              </w:rPr>
              <w:t>项目营运期产生固废主要是职工生活垃圾、</w:t>
            </w:r>
            <w:r>
              <w:rPr>
                <w:rFonts w:hint="eastAsia" w:cs="Times New Roman"/>
                <w:color w:val="auto"/>
                <w:sz w:val="24"/>
                <w:u w:val="none" w:color="auto"/>
                <w:lang w:eastAsia="zh-CN"/>
              </w:rPr>
              <w:t>废边角料、废油漆桶、漆渣、废活性炭</w:t>
            </w:r>
            <w:r>
              <w:rPr>
                <w:rFonts w:hint="default" w:ascii="Times New Roman" w:hAnsi="Times New Roman" w:cs="Times New Roman"/>
                <w:color w:val="auto"/>
                <w:sz w:val="24"/>
                <w:u w:val="none" w:color="auto"/>
              </w:rPr>
              <w:t>。生活垃圾由环卫部门统一收集，送至生活垃圾填埋场；</w:t>
            </w:r>
            <w:r>
              <w:rPr>
                <w:rFonts w:hint="eastAsia" w:cs="Times New Roman"/>
                <w:color w:val="auto"/>
                <w:sz w:val="24"/>
                <w:u w:val="none" w:color="auto"/>
                <w:lang w:eastAsia="zh-CN"/>
              </w:rPr>
              <w:t>废边角料收集后外售废品回收站回收利用，废油漆桶、漆渣、废活性炭收集于危险废物储存间内，</w:t>
            </w:r>
            <w:r>
              <w:rPr>
                <w:rFonts w:hint="default" w:ascii="Times New Roman" w:hAnsi="Times New Roman" w:cs="Times New Roman"/>
                <w:color w:val="auto"/>
                <w:sz w:val="24"/>
                <w:u w:val="none" w:color="auto"/>
              </w:rPr>
              <w:t>定期收集后交由</w:t>
            </w:r>
            <w:r>
              <w:rPr>
                <w:rFonts w:hint="eastAsia" w:cs="Times New Roman"/>
                <w:color w:val="auto"/>
                <w:sz w:val="24"/>
                <w:u w:val="none" w:color="auto"/>
                <w:lang w:eastAsia="zh-CN"/>
              </w:rPr>
              <w:t>湖南瀚洋环保科技有限公司进行</w:t>
            </w:r>
            <w:r>
              <w:rPr>
                <w:rFonts w:hint="default" w:ascii="Times New Roman" w:hAnsi="Times New Roman" w:cs="Times New Roman"/>
                <w:color w:val="auto"/>
                <w:sz w:val="24"/>
                <w:u w:val="none" w:color="auto"/>
              </w:rPr>
              <w:t>处置。</w:t>
            </w:r>
          </w:p>
          <w:p>
            <w:pPr>
              <w:keepNext w:val="0"/>
              <w:keepLines w:val="0"/>
              <w:pageBreakBefore w:val="0"/>
              <w:widowControl w:val="0"/>
              <w:kinsoku/>
              <w:wordWrap/>
              <w:overflowPunct/>
              <w:topLinePunct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u w:val="none" w:color="auto"/>
              </w:rPr>
            </w:pPr>
            <w:r>
              <w:rPr>
                <w:rFonts w:hint="default" w:ascii="Times New Roman" w:hAnsi="Times New Roman" w:cs="Times New Roman"/>
                <w:b/>
                <w:bCs/>
                <w:color w:val="auto"/>
                <w:sz w:val="24"/>
                <w:u w:val="none" w:color="auto"/>
                <w:lang w:val="en-US" w:eastAsia="zh-CN"/>
              </w:rPr>
              <w:t>7</w:t>
            </w:r>
            <w:r>
              <w:rPr>
                <w:rFonts w:hint="default" w:ascii="Times New Roman" w:hAnsi="Times New Roman" w:cs="Times New Roman"/>
                <w:b/>
                <w:bCs/>
                <w:color w:val="auto"/>
                <w:sz w:val="24"/>
                <w:u w:val="none" w:color="auto"/>
              </w:rPr>
              <w:t>原项目环评批复及落实情况</w:t>
            </w:r>
          </w:p>
          <w:p>
            <w:pPr>
              <w:keepNext w:val="0"/>
              <w:keepLines w:val="0"/>
              <w:pageBreakBefore w:val="0"/>
              <w:widowControl w:val="0"/>
              <w:kinsoku/>
              <w:wordWrap/>
              <w:overflowPunct/>
              <w:topLinePunct w:val="0"/>
              <w:bidi w:val="0"/>
              <w:spacing w:line="360" w:lineRule="auto"/>
              <w:ind w:firstLine="480" w:firstLineChars="200"/>
              <w:jc w:val="left"/>
              <w:textAlignment w:val="auto"/>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lang w:eastAsia="zh-CN"/>
              </w:rPr>
              <w:t>根据建设方提供验收资料，公司</w:t>
            </w:r>
            <w:r>
              <w:rPr>
                <w:rFonts w:hint="eastAsia" w:cs="Times New Roman"/>
                <w:color w:val="auto"/>
                <w:sz w:val="24"/>
                <w:u w:val="none" w:color="auto"/>
                <w:lang w:eastAsia="zh-CN"/>
              </w:rPr>
              <w:t>年产</w:t>
            </w:r>
            <w:r>
              <w:rPr>
                <w:rFonts w:hint="eastAsia" w:cs="Times New Roman"/>
                <w:color w:val="auto"/>
                <w:sz w:val="24"/>
                <w:u w:val="none" w:color="auto"/>
                <w:lang w:val="en-US" w:eastAsia="zh-CN"/>
              </w:rPr>
              <w:t>1500台180MVA变压器</w:t>
            </w:r>
            <w:r>
              <w:rPr>
                <w:rFonts w:hint="default" w:ascii="Times New Roman" w:hAnsi="Times New Roman" w:cs="Times New Roman"/>
                <w:color w:val="auto"/>
                <w:sz w:val="24"/>
                <w:u w:val="none" w:color="auto"/>
              </w:rPr>
              <w:t>建设项目环评批复原有项目要求及落实情况见表</w:t>
            </w:r>
            <w:r>
              <w:rPr>
                <w:rFonts w:hint="default" w:ascii="Times New Roman" w:hAnsi="Times New Roman" w:cs="Times New Roman"/>
                <w:color w:val="auto"/>
                <w:sz w:val="24"/>
                <w:u w:val="none" w:color="auto"/>
                <w:lang w:val="en-US" w:eastAsia="zh-CN"/>
              </w:rPr>
              <w:t>1-</w:t>
            </w:r>
            <w:r>
              <w:rPr>
                <w:rFonts w:hint="eastAsia" w:cs="Times New Roman"/>
                <w:color w:val="auto"/>
                <w:sz w:val="24"/>
                <w:u w:val="none" w:color="auto"/>
                <w:lang w:val="en-US" w:eastAsia="zh-CN"/>
              </w:rPr>
              <w:t>15</w:t>
            </w:r>
            <w:r>
              <w:rPr>
                <w:rFonts w:hint="default" w:ascii="Times New Roman" w:hAnsi="Times New Roman" w:cs="Times New Roman"/>
                <w:color w:val="auto"/>
                <w:sz w:val="24"/>
                <w:u w:val="none" w:color="auto"/>
              </w:rPr>
              <w:t>。</w:t>
            </w:r>
          </w:p>
          <w:p>
            <w:pPr>
              <w:spacing w:line="360" w:lineRule="auto"/>
              <w:jc w:val="center"/>
              <w:rPr>
                <w:rFonts w:hint="default" w:ascii="Times New Roman" w:hAnsi="Times New Roman" w:cs="Times New Roman"/>
                <w:b/>
                <w:color w:val="auto"/>
                <w:szCs w:val="21"/>
                <w:u w:val="none" w:color="auto"/>
              </w:rPr>
            </w:pPr>
            <w:r>
              <w:rPr>
                <w:rFonts w:hint="default" w:ascii="Times New Roman" w:hAnsi="Times New Roman" w:cs="Times New Roman"/>
                <w:b/>
                <w:color w:val="auto"/>
                <w:szCs w:val="21"/>
                <w:u w:val="none" w:color="auto"/>
                <w:lang w:eastAsia="zh-CN"/>
              </w:rPr>
              <w:t>表</w:t>
            </w:r>
            <w:r>
              <w:rPr>
                <w:rFonts w:hint="default" w:ascii="Times New Roman" w:hAnsi="Times New Roman" w:cs="Times New Roman"/>
                <w:b/>
                <w:color w:val="auto"/>
                <w:szCs w:val="21"/>
                <w:u w:val="none" w:color="auto"/>
                <w:lang w:val="en-US" w:eastAsia="zh-CN"/>
              </w:rPr>
              <w:t>1-</w:t>
            </w:r>
            <w:r>
              <w:rPr>
                <w:rFonts w:hint="eastAsia" w:cs="Times New Roman"/>
                <w:b/>
                <w:color w:val="auto"/>
                <w:szCs w:val="21"/>
                <w:u w:val="none" w:color="auto"/>
                <w:lang w:val="en-US" w:eastAsia="zh-CN"/>
              </w:rPr>
              <w:t>15</w:t>
            </w:r>
            <w:r>
              <w:rPr>
                <w:rFonts w:hint="default" w:ascii="Times New Roman" w:hAnsi="Times New Roman" w:cs="Times New Roman"/>
                <w:b/>
                <w:color w:val="auto"/>
                <w:szCs w:val="21"/>
                <w:u w:val="none" w:color="auto"/>
                <w:lang w:val="en-US" w:eastAsia="zh-CN"/>
              </w:rPr>
              <w:t xml:space="preserve">   </w:t>
            </w:r>
            <w:r>
              <w:rPr>
                <w:rFonts w:hint="default" w:ascii="Times New Roman" w:hAnsi="Times New Roman" w:cs="Times New Roman"/>
                <w:b/>
                <w:color w:val="auto"/>
                <w:szCs w:val="21"/>
                <w:u w:val="none" w:color="auto"/>
                <w:lang w:eastAsia="zh-CN"/>
              </w:rPr>
              <w:t>原</w:t>
            </w:r>
            <w:r>
              <w:rPr>
                <w:rFonts w:hint="default" w:ascii="Times New Roman" w:hAnsi="Times New Roman" w:cs="Times New Roman"/>
                <w:b/>
                <w:color w:val="auto"/>
                <w:szCs w:val="21"/>
                <w:u w:val="none" w:color="auto"/>
              </w:rPr>
              <w:t>项目环评批复要求及落实情况</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87"/>
              <w:gridCol w:w="3868"/>
              <w:gridCol w:w="453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67" w:hRule="atLeast"/>
                <w:tblHeader/>
                <w:jc w:val="center"/>
              </w:trPr>
              <w:tc>
                <w:tcPr>
                  <w:tcW w:w="378" w:type="pct"/>
                  <w:noWrap w:val="0"/>
                  <w:vAlign w:val="center"/>
                </w:tcPr>
                <w:p>
                  <w:pPr>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2126"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环评批复要求的基本内容</w:t>
                  </w:r>
                </w:p>
              </w:tc>
              <w:tc>
                <w:tcPr>
                  <w:tcW w:w="2494"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企业的落实情况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0" w:hRule="atLeast"/>
                <w:jc w:val="center"/>
              </w:trPr>
              <w:tc>
                <w:tcPr>
                  <w:tcW w:w="378"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2126" w:type="pct"/>
                  <w:noWrap w:val="0"/>
                  <w:vAlign w:val="center"/>
                </w:tcPr>
                <w:p>
                  <w:pPr>
                    <w:spacing w:line="360" w:lineRule="auto"/>
                    <w:rPr>
                      <w:rFonts w:hint="default"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建设好雨污分流系统，生活污水及车间清洁废水经沉淀隔油处理后排入工业园区污水管网</w:t>
                  </w:r>
                </w:p>
              </w:tc>
              <w:tc>
                <w:tcPr>
                  <w:tcW w:w="2494" w:type="pct"/>
                  <w:noWrap w:val="0"/>
                  <w:vAlign w:val="center"/>
                </w:tcPr>
                <w:p>
                  <w:pPr>
                    <w:spacing w:line="360" w:lineRule="auto"/>
                    <w:rPr>
                      <w:rFonts w:hint="default"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建设好了雨污分流系统，生活污水及车间清洁废水经沉淀隔油处理后，经监测分析废水总排口检测因子均达到《污水综合排放标准》（</w:t>
                  </w:r>
                  <w:r>
                    <w:rPr>
                      <w:rFonts w:hint="eastAsia" w:cs="Times New Roman"/>
                      <w:color w:val="auto"/>
                      <w:sz w:val="22"/>
                      <w:szCs w:val="22"/>
                      <w:u w:val="none" w:color="auto"/>
                      <w:lang w:val="en-US" w:eastAsia="zh-CN"/>
                    </w:rPr>
                    <w:t>GB8978-1996</w:t>
                  </w:r>
                  <w:r>
                    <w:rPr>
                      <w:rFonts w:hint="eastAsia" w:cs="Times New Roman"/>
                      <w:color w:val="auto"/>
                      <w:sz w:val="22"/>
                      <w:szCs w:val="22"/>
                      <w:u w:val="none" w:color="auto"/>
                      <w:lang w:eastAsia="zh-CN"/>
                    </w:rPr>
                    <w:t>）中三级排放标准后排入工业园区污水管网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8"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2126" w:type="pct"/>
                  <w:noWrap w:val="0"/>
                  <w:vAlign w:val="center"/>
                </w:tcPr>
                <w:p>
                  <w:pPr>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eastAsia="zh-CN"/>
                    </w:rPr>
                    <w:t>烤房废气经抽风系统集中收集后由</w:t>
                  </w:r>
                  <w:r>
                    <w:rPr>
                      <w:rFonts w:hint="eastAsia" w:cs="Times New Roman"/>
                      <w:color w:val="auto"/>
                      <w:sz w:val="22"/>
                      <w:szCs w:val="22"/>
                      <w:u w:val="none" w:color="auto"/>
                      <w:lang w:val="en-US" w:eastAsia="zh-CN"/>
                    </w:rPr>
                    <w:t>15m高排气筒高空排放</w:t>
                  </w:r>
                </w:p>
              </w:tc>
              <w:tc>
                <w:tcPr>
                  <w:tcW w:w="2494" w:type="pct"/>
                  <w:noWrap w:val="0"/>
                  <w:vAlign w:val="center"/>
                </w:tcPr>
                <w:p>
                  <w:pPr>
                    <w:spacing w:line="360" w:lineRule="auto"/>
                    <w:rPr>
                      <w:rFonts w:hint="default"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烤房废气经抽风系统集中收集后由</w:t>
                  </w:r>
                  <w:r>
                    <w:rPr>
                      <w:rFonts w:hint="eastAsia" w:cs="Times New Roman"/>
                      <w:color w:val="auto"/>
                      <w:sz w:val="22"/>
                      <w:szCs w:val="22"/>
                      <w:u w:val="none" w:color="auto"/>
                      <w:lang w:val="en-US" w:eastAsia="zh-CN"/>
                    </w:rPr>
                    <w:t>15m高排气筒高空排放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78"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3</w:t>
                  </w:r>
                </w:p>
              </w:tc>
              <w:tc>
                <w:tcPr>
                  <w:tcW w:w="2126" w:type="pct"/>
                  <w:noWrap w:val="0"/>
                  <w:vAlign w:val="center"/>
                </w:tcPr>
                <w:p>
                  <w:pPr>
                    <w:spacing w:line="360" w:lineRule="auto"/>
                    <w:rPr>
                      <w:rFonts w:hint="default"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生产噪声采取降噪、减震、车间隔音等措施确保噪声达标排放</w:t>
                  </w:r>
                </w:p>
              </w:tc>
              <w:tc>
                <w:tcPr>
                  <w:tcW w:w="2494" w:type="pct"/>
                  <w:noWrap w:val="0"/>
                  <w:vAlign w:val="center"/>
                </w:tcPr>
                <w:p>
                  <w:pPr>
                    <w:spacing w:line="360" w:lineRule="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生产噪声采取降噪、减震、车间隔音等措施，经监测项目厂界噪声</w:t>
                  </w:r>
                  <w:r>
                    <w:rPr>
                      <w:rFonts w:hint="default" w:ascii="Times New Roman" w:hAnsi="Times New Roman" w:cs="Times New Roman"/>
                      <w:color w:val="auto"/>
                      <w:sz w:val="22"/>
                      <w:szCs w:val="22"/>
                      <w:u w:val="none" w:color="auto"/>
                    </w:rPr>
                    <w:t>监测结果</w:t>
                  </w:r>
                  <w:r>
                    <w:rPr>
                      <w:rFonts w:hint="eastAsia" w:cs="Times New Roman"/>
                      <w:color w:val="auto"/>
                      <w:sz w:val="22"/>
                      <w:szCs w:val="22"/>
                      <w:u w:val="none" w:color="auto"/>
                      <w:lang w:eastAsia="zh-CN"/>
                    </w:rPr>
                    <w:t>达到了</w:t>
                  </w:r>
                  <w:r>
                    <w:rPr>
                      <w:rFonts w:hint="default" w:ascii="Times New Roman" w:hAnsi="Times New Roman" w:cs="Times New Roman"/>
                      <w:color w:val="auto"/>
                      <w:sz w:val="22"/>
                      <w:szCs w:val="22"/>
                      <w:u w:val="none" w:color="auto"/>
                    </w:rPr>
                    <w:t>《工业企业厂界环境噪声排放标准》(GB12348-2008)3</w:t>
                  </w:r>
                  <w:r>
                    <w:rPr>
                      <w:rFonts w:hint="eastAsia" w:cs="Times New Roman"/>
                      <w:color w:val="auto"/>
                      <w:sz w:val="22"/>
                      <w:szCs w:val="22"/>
                      <w:u w:val="none" w:color="auto"/>
                      <w:lang w:eastAsia="zh-CN"/>
                    </w:rPr>
                    <w:t>、</w:t>
                  </w:r>
                  <w:r>
                    <w:rPr>
                      <w:rFonts w:hint="eastAsia" w:cs="Times New Roman"/>
                      <w:color w:val="auto"/>
                      <w:sz w:val="22"/>
                      <w:szCs w:val="22"/>
                      <w:u w:val="none" w:color="auto"/>
                      <w:lang w:val="en-US" w:eastAsia="zh-CN"/>
                    </w:rPr>
                    <w:t>4</w:t>
                  </w:r>
                  <w:r>
                    <w:rPr>
                      <w:rFonts w:hint="default" w:ascii="Times New Roman" w:hAnsi="Times New Roman" w:cs="Times New Roman"/>
                      <w:color w:val="auto"/>
                      <w:sz w:val="22"/>
                      <w:szCs w:val="22"/>
                      <w:u w:val="none" w:color="auto"/>
                    </w:rPr>
                    <w:t>类标准限值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5" w:hRule="atLeast"/>
                <w:jc w:val="center"/>
              </w:trPr>
              <w:tc>
                <w:tcPr>
                  <w:tcW w:w="378"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w:t>
                  </w:r>
                </w:p>
              </w:tc>
              <w:tc>
                <w:tcPr>
                  <w:tcW w:w="2126" w:type="pct"/>
                  <w:noWrap w:val="0"/>
                  <w:vAlign w:val="center"/>
                </w:tcPr>
                <w:p>
                  <w:pPr>
                    <w:spacing w:line="360" w:lineRule="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建设好固体废物临时贮存场所，一般固体废物集中收集送城市环卫部门处置，少量的危险废物送有资质单位处置</w:t>
                  </w:r>
                </w:p>
              </w:tc>
              <w:tc>
                <w:tcPr>
                  <w:tcW w:w="2494" w:type="pct"/>
                  <w:noWrap w:val="0"/>
                  <w:vAlign w:val="center"/>
                </w:tcPr>
                <w:p>
                  <w:pPr>
                    <w:spacing w:line="360" w:lineRule="auto"/>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生活垃圾由环卫部门统一收集，送至生活垃圾填埋场；</w:t>
                  </w:r>
                  <w:r>
                    <w:rPr>
                      <w:rFonts w:hint="eastAsia" w:cs="Times New Roman"/>
                      <w:color w:val="auto"/>
                      <w:sz w:val="22"/>
                      <w:szCs w:val="22"/>
                      <w:u w:val="none" w:color="auto"/>
                      <w:lang w:eastAsia="zh-CN"/>
                    </w:rPr>
                    <w:t>废边角料收集后外售废品回收站回收利用，废油漆桶、漆渣、废活性炭收集于危险废物储存间内，</w:t>
                  </w:r>
                  <w:r>
                    <w:rPr>
                      <w:rFonts w:hint="default" w:ascii="Times New Roman" w:hAnsi="Times New Roman" w:cs="Times New Roman"/>
                      <w:color w:val="auto"/>
                      <w:sz w:val="22"/>
                      <w:szCs w:val="22"/>
                      <w:u w:val="none" w:color="auto"/>
                    </w:rPr>
                    <w:t>定期收集后交由</w:t>
                  </w:r>
                  <w:r>
                    <w:rPr>
                      <w:rFonts w:hint="eastAsia" w:ascii="Times New Roman" w:hAnsi="Times New Roman" w:cs="Times New Roman"/>
                      <w:color w:val="auto"/>
                      <w:sz w:val="22"/>
                      <w:szCs w:val="22"/>
                      <w:u w:val="none" w:color="auto"/>
                      <w:lang w:eastAsia="zh-CN"/>
                    </w:rPr>
                    <w:t>湖南瀚洋环保科技有限公司进行</w:t>
                  </w:r>
                  <w:r>
                    <w:rPr>
                      <w:rFonts w:hint="default" w:ascii="Times New Roman" w:hAnsi="Times New Roman" w:cs="Times New Roman"/>
                      <w:color w:val="auto"/>
                      <w:sz w:val="22"/>
                      <w:szCs w:val="22"/>
                      <w:u w:val="none" w:color="auto"/>
                    </w:rPr>
                    <w:t>处置</w:t>
                  </w:r>
                </w:p>
              </w:tc>
            </w:tr>
          </w:tbl>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u w:val="none" w:color="auto"/>
                <w:lang w:eastAsia="zh-CN"/>
              </w:rPr>
            </w:pPr>
            <w:r>
              <w:rPr>
                <w:rFonts w:hint="eastAsia" w:cs="Times New Roman"/>
                <w:bCs/>
                <w:color w:val="auto"/>
                <w:sz w:val="24"/>
                <w:szCs w:val="28"/>
                <w:u w:val="none" w:color="auto"/>
                <w:lang w:eastAsia="zh-CN"/>
              </w:rPr>
              <w:t>湖南湘变电气有限责任公司年产</w:t>
            </w:r>
            <w:r>
              <w:rPr>
                <w:rFonts w:hint="eastAsia" w:cs="Times New Roman"/>
                <w:bCs/>
                <w:color w:val="auto"/>
                <w:sz w:val="24"/>
                <w:szCs w:val="28"/>
                <w:u w:val="none" w:color="auto"/>
                <w:lang w:val="en-US" w:eastAsia="zh-CN"/>
              </w:rPr>
              <w:t>1500台180MVA变压器</w:t>
            </w:r>
            <w:r>
              <w:rPr>
                <w:rFonts w:hint="default" w:ascii="Times New Roman" w:hAnsi="Times New Roman" w:cs="Times New Roman"/>
                <w:color w:val="auto"/>
                <w:sz w:val="24"/>
                <w:u w:val="none" w:color="auto"/>
              </w:rPr>
              <w:t>建设项目</w:t>
            </w:r>
            <w:r>
              <w:rPr>
                <w:rFonts w:hint="default" w:ascii="Times New Roman" w:hAnsi="Times New Roman" w:cs="Times New Roman"/>
                <w:color w:val="auto"/>
                <w:sz w:val="24"/>
                <w:u w:val="none" w:color="auto"/>
                <w:lang w:eastAsia="zh-CN"/>
              </w:rPr>
              <w:t>于</w:t>
            </w:r>
            <w:r>
              <w:rPr>
                <w:rFonts w:hint="default" w:ascii="Times New Roman" w:hAnsi="Times New Roman" w:cs="Times New Roman"/>
                <w:color w:val="auto"/>
                <w:sz w:val="24"/>
                <w:u w:val="none" w:color="auto"/>
                <w:lang w:val="en-US" w:eastAsia="zh-CN"/>
              </w:rPr>
              <w:t>201</w:t>
            </w:r>
            <w:r>
              <w:rPr>
                <w:rFonts w:hint="eastAsia" w:cs="Times New Roman"/>
                <w:color w:val="auto"/>
                <w:sz w:val="24"/>
                <w:u w:val="none" w:color="auto"/>
                <w:lang w:val="en-US" w:eastAsia="zh-CN"/>
              </w:rPr>
              <w:t>3</w:t>
            </w:r>
            <w:r>
              <w:rPr>
                <w:rFonts w:hint="default" w:ascii="Times New Roman" w:hAnsi="Times New Roman" w:cs="Times New Roman"/>
                <w:color w:val="auto"/>
                <w:sz w:val="24"/>
                <w:u w:val="none" w:color="auto"/>
                <w:lang w:val="en-US" w:eastAsia="zh-CN"/>
              </w:rPr>
              <w:t>年</w:t>
            </w:r>
            <w:r>
              <w:rPr>
                <w:rFonts w:hint="eastAsia" w:cs="Times New Roman"/>
                <w:color w:val="auto"/>
                <w:sz w:val="24"/>
                <w:u w:val="none" w:color="auto"/>
                <w:lang w:val="en-US" w:eastAsia="zh-CN"/>
              </w:rPr>
              <w:t>2</w:t>
            </w:r>
            <w:r>
              <w:rPr>
                <w:rFonts w:hint="default" w:ascii="Times New Roman" w:hAnsi="Times New Roman" w:cs="Times New Roman"/>
                <w:color w:val="auto"/>
                <w:sz w:val="24"/>
                <w:u w:val="none" w:color="auto"/>
                <w:lang w:val="en-US" w:eastAsia="zh-CN"/>
              </w:rPr>
              <w:t>月</w:t>
            </w:r>
            <w:r>
              <w:rPr>
                <w:rFonts w:hint="eastAsia" w:cs="Times New Roman"/>
                <w:color w:val="auto"/>
                <w:sz w:val="24"/>
                <w:u w:val="none" w:color="auto"/>
                <w:lang w:val="en-US" w:eastAsia="zh-CN"/>
              </w:rPr>
              <w:t>22日</w:t>
            </w:r>
            <w:r>
              <w:rPr>
                <w:rFonts w:hint="default" w:ascii="Times New Roman" w:hAnsi="Times New Roman" w:cs="Times New Roman"/>
                <w:color w:val="auto"/>
                <w:sz w:val="24"/>
                <w:u w:val="none" w:color="auto"/>
                <w:lang w:val="en-US" w:eastAsia="zh-CN"/>
              </w:rPr>
              <w:t>通过湘阴县环境保护局</w:t>
            </w:r>
            <w:r>
              <w:rPr>
                <w:rFonts w:hint="default" w:ascii="Times New Roman" w:hAnsi="Times New Roman" w:cs="Times New Roman"/>
                <w:color w:val="auto"/>
                <w:sz w:val="24"/>
                <w:highlight w:val="none"/>
                <w:u w:val="none" w:color="auto"/>
              </w:rPr>
              <w:t>的竣工环境保护验收</w:t>
            </w:r>
            <w:r>
              <w:rPr>
                <w:rFonts w:hint="default" w:ascii="Times New Roman" w:hAnsi="Times New Roman" w:cs="Times New Roman"/>
                <w:color w:val="auto"/>
                <w:sz w:val="24"/>
                <w:u w:val="none" w:color="auto"/>
              </w:rPr>
              <w:t>。验收结果表明，该项目环保手续完备、项目配套环保设施基本落实到位、污染物的排放达到国家环保标准要求，根据验收监测报告和验收组意见，符合环保验收条件，同意该项目通过竣工环境保护验收。</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8项目目前</w:t>
            </w:r>
            <w:r>
              <w:rPr>
                <w:rFonts w:hint="eastAsia" w:cs="Times New Roman"/>
                <w:b/>
                <w:bCs/>
                <w:color w:val="auto"/>
                <w:sz w:val="24"/>
                <w:u w:val="none" w:color="auto"/>
                <w:lang w:val="en-US" w:eastAsia="zh-CN"/>
              </w:rPr>
              <w:t>治理措施及</w:t>
            </w:r>
            <w:r>
              <w:rPr>
                <w:rFonts w:hint="default" w:ascii="Times New Roman" w:hAnsi="Times New Roman" w:cs="Times New Roman"/>
                <w:b/>
                <w:bCs/>
                <w:color w:val="auto"/>
                <w:sz w:val="24"/>
                <w:u w:val="none" w:color="auto"/>
                <w:lang w:val="en-US" w:eastAsia="zh-CN"/>
              </w:rPr>
              <w:t>存在的主要环境问题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u w:val="none" w:color="auto"/>
              </w:rPr>
            </w:pPr>
            <w:r>
              <w:rPr>
                <w:rFonts w:hint="default" w:ascii="Times New Roman" w:hAnsi="Times New Roman" w:cs="Times New Roman"/>
                <w:bCs/>
                <w:color w:val="auto"/>
                <w:sz w:val="24"/>
                <w:u w:val="none" w:color="auto"/>
              </w:rPr>
              <w:t>具体见下表。</w:t>
            </w:r>
          </w:p>
          <w:p>
            <w:pPr>
              <w:spacing w:line="360" w:lineRule="auto"/>
              <w:jc w:val="center"/>
              <w:rPr>
                <w:rFonts w:ascii="Times New Roman" w:hAnsi="Times New Roman"/>
                <w:sz w:val="24"/>
                <w:u w:val="single"/>
              </w:rPr>
            </w:pPr>
            <w:r>
              <w:rPr>
                <w:rFonts w:hint="default" w:ascii="Times New Roman" w:hAnsi="Times New Roman" w:cs="Times New Roman"/>
                <w:b/>
                <w:color w:val="auto"/>
                <w:szCs w:val="21"/>
                <w:u w:val="none" w:color="auto"/>
                <w:lang w:eastAsia="zh-CN"/>
              </w:rPr>
              <w:t>表</w:t>
            </w:r>
            <w:r>
              <w:rPr>
                <w:rFonts w:hint="default" w:ascii="Times New Roman" w:hAnsi="Times New Roman" w:cs="Times New Roman"/>
                <w:b/>
                <w:color w:val="auto"/>
                <w:szCs w:val="21"/>
                <w:u w:val="none" w:color="auto"/>
                <w:lang w:val="en-US" w:eastAsia="zh-CN"/>
              </w:rPr>
              <w:t>1-</w:t>
            </w:r>
            <w:r>
              <w:rPr>
                <w:rFonts w:hint="eastAsia" w:cs="Times New Roman"/>
                <w:b/>
                <w:color w:val="auto"/>
                <w:szCs w:val="21"/>
                <w:u w:val="none" w:color="auto"/>
                <w:lang w:val="en-US" w:eastAsia="zh-CN"/>
              </w:rPr>
              <w:t>16</w:t>
            </w:r>
            <w:r>
              <w:rPr>
                <w:rFonts w:hint="default" w:ascii="Times New Roman" w:hAnsi="Times New Roman" w:cs="Times New Roman"/>
                <w:b/>
                <w:color w:val="auto"/>
                <w:szCs w:val="21"/>
                <w:u w:val="none" w:color="auto"/>
                <w:lang w:val="en-US" w:eastAsia="zh-CN"/>
              </w:rPr>
              <w:t xml:space="preserve">  </w:t>
            </w:r>
            <w:r>
              <w:rPr>
                <w:rFonts w:hint="eastAsia" w:cs="Times New Roman"/>
                <w:b/>
                <w:color w:val="auto"/>
                <w:szCs w:val="21"/>
                <w:u w:val="none" w:color="auto"/>
                <w:lang w:val="en-US" w:eastAsia="zh-CN"/>
              </w:rPr>
              <w:t>原</w:t>
            </w:r>
            <w:r>
              <w:rPr>
                <w:rFonts w:ascii="Times New Roman" w:hAnsi="Times New Roman"/>
                <w:b/>
                <w:bCs/>
                <w:szCs w:val="21"/>
                <w:u w:val="single"/>
              </w:rPr>
              <w:t>项目主要污染源、已经采取的治理措施及存在的主要问题</w:t>
            </w:r>
          </w:p>
          <w:tbl>
            <w:tblPr>
              <w:tblStyle w:val="4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1312"/>
              <w:gridCol w:w="2790"/>
              <w:gridCol w:w="2019"/>
              <w:gridCol w:w="22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1117" w:type="pct"/>
                  <w:gridSpan w:val="2"/>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主要污染源</w:t>
                  </w:r>
                </w:p>
              </w:tc>
              <w:tc>
                <w:tcPr>
                  <w:tcW w:w="153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已采取防治措施</w:t>
                  </w:r>
                </w:p>
              </w:tc>
              <w:tc>
                <w:tcPr>
                  <w:tcW w:w="1111"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存在主要问题</w:t>
                  </w:r>
                </w:p>
              </w:tc>
              <w:tc>
                <w:tcPr>
                  <w:tcW w:w="123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restar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废气</w:t>
                  </w:r>
                </w:p>
              </w:tc>
              <w:tc>
                <w:tcPr>
                  <w:tcW w:w="722"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烤房废气（水蒸气）</w:t>
                  </w:r>
                </w:p>
              </w:tc>
              <w:tc>
                <w:tcPr>
                  <w:tcW w:w="1535" w:type="pct"/>
                  <w:noWrap w:val="0"/>
                  <w:vAlign w:val="center"/>
                </w:tcPr>
                <w:p>
                  <w:pPr>
                    <w:pStyle w:val="179"/>
                    <w:spacing w:line="360" w:lineRule="auto"/>
                    <w:jc w:val="center"/>
                    <w:rPr>
                      <w:rFonts w:hint="default" w:ascii="Times New Roman" w:hAnsi="Times New Roman" w:eastAsia="宋体"/>
                      <w:sz w:val="21"/>
                      <w:szCs w:val="21"/>
                      <w:u w:val="single"/>
                      <w:lang w:val="en-US" w:eastAsia="zh-CN"/>
                    </w:rPr>
                  </w:pPr>
                  <w:r>
                    <w:rPr>
                      <w:rFonts w:hint="eastAsia" w:ascii="Times New Roman" w:hAnsi="Times New Roman"/>
                      <w:sz w:val="21"/>
                      <w:szCs w:val="21"/>
                      <w:u w:val="single"/>
                      <w:lang w:eastAsia="zh-CN"/>
                    </w:rPr>
                    <w:t>收集后由</w:t>
                  </w:r>
                  <w:r>
                    <w:rPr>
                      <w:rFonts w:hint="eastAsia" w:ascii="Times New Roman" w:hAnsi="Times New Roman"/>
                      <w:sz w:val="21"/>
                      <w:szCs w:val="21"/>
                      <w:u w:val="single"/>
                      <w:lang w:val="en-US" w:eastAsia="zh-CN"/>
                    </w:rPr>
                    <w:t>15m高排气筒排放</w:t>
                  </w:r>
                </w:p>
              </w:tc>
              <w:tc>
                <w:tcPr>
                  <w:tcW w:w="1111"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无</w:t>
                  </w:r>
                </w:p>
              </w:tc>
              <w:tc>
                <w:tcPr>
                  <w:tcW w:w="1235"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395" w:type="pct"/>
                  <w:vMerge w:val="continue"/>
                  <w:noWrap w:val="0"/>
                  <w:vAlign w:val="center"/>
                </w:tcPr>
                <w:p>
                  <w:pPr>
                    <w:pStyle w:val="179"/>
                    <w:spacing w:line="360" w:lineRule="auto"/>
                    <w:jc w:val="center"/>
                    <w:rPr>
                      <w:rFonts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喷漆房废气</w:t>
                  </w:r>
                </w:p>
              </w:tc>
              <w:tc>
                <w:tcPr>
                  <w:tcW w:w="1535" w:type="pct"/>
                  <w:noWrap w:val="0"/>
                  <w:vAlign w:val="center"/>
                </w:tcPr>
                <w:p>
                  <w:pPr>
                    <w:pStyle w:val="179"/>
                    <w:spacing w:line="360" w:lineRule="auto"/>
                    <w:jc w:val="center"/>
                    <w:rPr>
                      <w:rFonts w:hint="default" w:ascii="Times New Roman" w:hAnsi="Times New Roman" w:eastAsia="宋体"/>
                      <w:sz w:val="21"/>
                      <w:szCs w:val="21"/>
                      <w:u w:val="single"/>
                      <w:lang w:val="en-US" w:eastAsia="zh-CN"/>
                    </w:rPr>
                  </w:pPr>
                  <w:r>
                    <w:rPr>
                      <w:rFonts w:hint="eastAsia" w:ascii="Times New Roman" w:hAnsi="Times New Roman"/>
                      <w:sz w:val="21"/>
                      <w:szCs w:val="21"/>
                      <w:u w:val="single"/>
                      <w:lang w:eastAsia="zh-CN"/>
                    </w:rPr>
                    <w:t>水膜处理装置</w:t>
                  </w:r>
                  <w:r>
                    <w:rPr>
                      <w:rFonts w:hint="eastAsia" w:ascii="Times New Roman" w:hAnsi="Times New Roman"/>
                      <w:sz w:val="21"/>
                      <w:szCs w:val="21"/>
                      <w:u w:val="single"/>
                      <w:lang w:val="en-US" w:eastAsia="zh-CN"/>
                    </w:rPr>
                    <w:t>+活性炭吸附装置+15m排气筒</w:t>
                  </w:r>
                </w:p>
              </w:tc>
              <w:tc>
                <w:tcPr>
                  <w:tcW w:w="1111"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eastAsia="宋体"/>
                      <w:sz w:val="21"/>
                      <w:szCs w:val="21"/>
                      <w:u w:val="single"/>
                      <w:lang w:eastAsia="zh-CN"/>
                    </w:rPr>
                    <w:t>项目现使用水性漆进行喷漆，经监测分析，可达标排放</w:t>
                  </w:r>
                </w:p>
              </w:tc>
              <w:tc>
                <w:tcPr>
                  <w:tcW w:w="1235"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395" w:type="pct"/>
                  <w:vMerge w:val="continue"/>
                  <w:noWrap w:val="0"/>
                  <w:vAlign w:val="center"/>
                </w:tcPr>
                <w:p>
                  <w:pPr>
                    <w:pStyle w:val="179"/>
                    <w:spacing w:line="360" w:lineRule="auto"/>
                    <w:jc w:val="center"/>
                    <w:rPr>
                      <w:rFonts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焊接烟尘</w:t>
                  </w:r>
                </w:p>
              </w:tc>
              <w:tc>
                <w:tcPr>
                  <w:tcW w:w="1535"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eastAsia="宋体"/>
                      <w:sz w:val="21"/>
                      <w:szCs w:val="21"/>
                      <w:u w:val="single"/>
                      <w:lang w:eastAsia="zh-CN"/>
                    </w:rPr>
                    <w:t>通风后无组织排放</w:t>
                  </w:r>
                </w:p>
              </w:tc>
              <w:tc>
                <w:tcPr>
                  <w:tcW w:w="1111"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需经处理后在无组织排放</w:t>
                  </w:r>
                </w:p>
              </w:tc>
              <w:tc>
                <w:tcPr>
                  <w:tcW w:w="1235"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增加移动式烟尘净化装置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8" w:hRule="atLeast"/>
              </w:trPr>
              <w:tc>
                <w:tcPr>
                  <w:tcW w:w="395" w:type="pct"/>
                  <w:vMerge w:val="restar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废水</w:t>
                  </w:r>
                </w:p>
              </w:tc>
              <w:tc>
                <w:tcPr>
                  <w:tcW w:w="722"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生活污水</w:t>
                  </w:r>
                </w:p>
              </w:tc>
              <w:tc>
                <w:tcPr>
                  <w:tcW w:w="1535"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ascii="宋体" w:hAnsi="宋体" w:cs="宋体"/>
                      <w:spacing w:val="-1"/>
                      <w:sz w:val="21"/>
                      <w:szCs w:val="21"/>
                      <w:u w:val="single"/>
                    </w:rPr>
                    <w:t>经隔油</w:t>
                  </w:r>
                  <w:r>
                    <w:rPr>
                      <w:rFonts w:hint="eastAsia" w:ascii="宋体" w:hAnsi="宋体" w:cs="宋体"/>
                      <w:spacing w:val="-1"/>
                      <w:sz w:val="21"/>
                      <w:szCs w:val="21"/>
                      <w:u w:val="single"/>
                      <w:lang w:eastAsia="zh-CN"/>
                    </w:rPr>
                    <w:t>池</w:t>
                  </w:r>
                  <w:r>
                    <w:rPr>
                      <w:rFonts w:ascii="宋体" w:hAnsi="宋体" w:cs="宋体"/>
                      <w:spacing w:val="-1"/>
                      <w:sz w:val="21"/>
                      <w:szCs w:val="21"/>
                      <w:u w:val="single"/>
                    </w:rPr>
                    <w:t>化粪池处理后</w:t>
                  </w:r>
                  <w:r>
                    <w:rPr>
                      <w:rFonts w:hint="eastAsia" w:ascii="宋体" w:hAnsi="宋体" w:cs="宋体"/>
                      <w:spacing w:val="-1"/>
                      <w:sz w:val="21"/>
                      <w:szCs w:val="21"/>
                      <w:u w:val="single"/>
                      <w:lang w:eastAsia="zh-CN"/>
                    </w:rPr>
                    <w:t>排入园区污水管网进入湘阴县第二污水处理厂</w:t>
                  </w:r>
                </w:p>
              </w:tc>
              <w:tc>
                <w:tcPr>
                  <w:tcW w:w="1111" w:type="pct"/>
                  <w:noWrap w:val="0"/>
                  <w:vAlign w:val="center"/>
                </w:tcPr>
                <w:p>
                  <w:pPr>
                    <w:pStyle w:val="179"/>
                    <w:spacing w:line="360" w:lineRule="auto"/>
                    <w:jc w:val="center"/>
                    <w:rPr>
                      <w:rFonts w:hint="eastAsia" w:ascii="Times New Roman" w:hAnsi="Times New Roman" w:eastAsia="宋体"/>
                      <w:sz w:val="21"/>
                      <w:szCs w:val="21"/>
                      <w:u w:val="single"/>
                      <w:lang w:val="en-US" w:eastAsia="zh-CN"/>
                    </w:rPr>
                  </w:pPr>
                  <w:r>
                    <w:rPr>
                      <w:rFonts w:hint="eastAsia" w:ascii="Times New Roman" w:hAnsi="Times New Roman"/>
                      <w:sz w:val="21"/>
                      <w:szCs w:val="21"/>
                      <w:u w:val="single"/>
                      <w:lang w:val="en-US" w:eastAsia="zh-CN"/>
                    </w:rPr>
                    <w:t>无</w:t>
                  </w:r>
                </w:p>
              </w:tc>
              <w:tc>
                <w:tcPr>
                  <w:tcW w:w="1235" w:type="pct"/>
                  <w:noWrap w:val="0"/>
                  <w:vAlign w:val="center"/>
                </w:tcPr>
                <w:p>
                  <w:pPr>
                    <w:pStyle w:val="179"/>
                    <w:spacing w:line="360" w:lineRule="auto"/>
                    <w:jc w:val="center"/>
                    <w:rPr>
                      <w:rFonts w:hint="eastAsia" w:ascii="Times New Roman" w:hAnsi="Times New Roman" w:eastAsia="宋体"/>
                      <w:sz w:val="21"/>
                      <w:szCs w:val="21"/>
                      <w:u w:val="single"/>
                      <w:lang w:val="en-US" w:eastAsia="zh-CN"/>
                    </w:rPr>
                  </w:pPr>
                  <w:r>
                    <w:rPr>
                      <w:rFonts w:hint="eastAsia" w:ascii="Times New Roman" w:hAnsi="Times New Roman" w:eastAsia="宋体"/>
                      <w:sz w:val="21"/>
                      <w:szCs w:val="21"/>
                      <w:u w:val="singl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rPr>
              <w:tc>
                <w:tcPr>
                  <w:tcW w:w="395" w:type="pct"/>
                  <w:vMerge w:val="continue"/>
                  <w:noWrap w:val="0"/>
                  <w:vAlign w:val="center"/>
                </w:tcPr>
                <w:p>
                  <w:pPr>
                    <w:pStyle w:val="179"/>
                    <w:spacing w:line="360" w:lineRule="auto"/>
                    <w:jc w:val="center"/>
                    <w:rPr>
                      <w:rFonts w:hint="eastAsia"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sz w:val="21"/>
                      <w:szCs w:val="21"/>
                      <w:u w:val="single"/>
                      <w:lang w:eastAsia="zh-CN"/>
                    </w:rPr>
                  </w:pPr>
                  <w:r>
                    <w:rPr>
                      <w:rFonts w:hint="eastAsia" w:ascii="Times New Roman" w:hAnsi="Times New Roman"/>
                      <w:sz w:val="21"/>
                      <w:szCs w:val="21"/>
                      <w:u w:val="single"/>
                      <w:lang w:eastAsia="zh-CN"/>
                    </w:rPr>
                    <w:t>水膜净化</w:t>
                  </w:r>
                </w:p>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废水</w:t>
                  </w:r>
                </w:p>
              </w:tc>
              <w:tc>
                <w:tcPr>
                  <w:tcW w:w="1535" w:type="pct"/>
                  <w:noWrap w:val="0"/>
                  <w:vAlign w:val="center"/>
                </w:tcPr>
                <w:p>
                  <w:pPr>
                    <w:pStyle w:val="179"/>
                    <w:spacing w:line="360" w:lineRule="auto"/>
                    <w:jc w:val="center"/>
                    <w:rPr>
                      <w:rFonts w:hint="eastAsia" w:ascii="宋体" w:hAnsi="宋体" w:eastAsia="宋体" w:cs="宋体"/>
                      <w:spacing w:val="-1"/>
                      <w:sz w:val="21"/>
                      <w:szCs w:val="21"/>
                      <w:u w:val="single"/>
                      <w:lang w:eastAsia="zh-CN"/>
                    </w:rPr>
                  </w:pPr>
                  <w:r>
                    <w:rPr>
                      <w:rFonts w:hint="eastAsia" w:ascii="宋体" w:hAnsi="宋体" w:cs="宋体"/>
                      <w:spacing w:val="-1"/>
                      <w:sz w:val="21"/>
                      <w:szCs w:val="21"/>
                      <w:u w:val="single"/>
                      <w:lang w:eastAsia="zh-CN"/>
                    </w:rPr>
                    <w:t>经絮凝沉淀后循环使用</w:t>
                  </w:r>
                </w:p>
              </w:tc>
              <w:tc>
                <w:tcPr>
                  <w:tcW w:w="1111" w:type="pct"/>
                  <w:noWrap w:val="0"/>
                  <w:vAlign w:val="center"/>
                </w:tcPr>
                <w:p>
                  <w:pPr>
                    <w:pStyle w:val="179"/>
                    <w:spacing w:line="360" w:lineRule="auto"/>
                    <w:jc w:val="center"/>
                    <w:rPr>
                      <w:rFonts w:hint="eastAsia" w:ascii="Times New Roman" w:hAnsi="Times New Roman"/>
                      <w:sz w:val="21"/>
                      <w:szCs w:val="21"/>
                      <w:u w:val="single"/>
                      <w:lang w:val="en-US" w:eastAsia="zh-CN"/>
                    </w:rPr>
                  </w:pPr>
                  <w:r>
                    <w:rPr>
                      <w:rFonts w:hint="eastAsia" w:ascii="Times New Roman" w:hAnsi="Times New Roman"/>
                      <w:sz w:val="21"/>
                      <w:szCs w:val="21"/>
                      <w:u w:val="single"/>
                      <w:lang w:val="en-US" w:eastAsia="zh-CN"/>
                    </w:rPr>
                    <w:t>无</w:t>
                  </w:r>
                </w:p>
              </w:tc>
              <w:tc>
                <w:tcPr>
                  <w:tcW w:w="1235" w:type="pct"/>
                  <w:noWrap w:val="0"/>
                  <w:vAlign w:val="center"/>
                </w:tcPr>
                <w:p>
                  <w:pPr>
                    <w:pStyle w:val="179"/>
                    <w:spacing w:line="360" w:lineRule="auto"/>
                    <w:jc w:val="center"/>
                    <w:rPr>
                      <w:rFonts w:hint="eastAsia" w:ascii="Times New Roman" w:hAnsi="Times New Roman" w:eastAsia="宋体"/>
                      <w:sz w:val="21"/>
                      <w:szCs w:val="21"/>
                      <w:u w:val="single"/>
                      <w:lang w:val="en-US" w:eastAsia="zh-CN"/>
                    </w:rPr>
                  </w:pPr>
                  <w:r>
                    <w:rPr>
                      <w:rFonts w:hint="eastAsia" w:ascii="Times New Roman" w:hAnsi="Times New Roman" w:eastAsia="宋体"/>
                      <w:sz w:val="21"/>
                      <w:szCs w:val="21"/>
                      <w:u w:val="singl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atLeast"/>
              </w:trPr>
              <w:tc>
                <w:tcPr>
                  <w:tcW w:w="39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噪声</w:t>
                  </w:r>
                </w:p>
              </w:tc>
              <w:tc>
                <w:tcPr>
                  <w:tcW w:w="722"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设备运营噪声</w:t>
                  </w:r>
                </w:p>
              </w:tc>
              <w:tc>
                <w:tcPr>
                  <w:tcW w:w="153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选用低噪声设备，隔声减震，合理布局</w:t>
                  </w:r>
                </w:p>
              </w:tc>
              <w:tc>
                <w:tcPr>
                  <w:tcW w:w="1111"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lang w:val="en-US" w:eastAsia="zh-CN"/>
                    </w:rPr>
                    <w:t>无</w:t>
                  </w:r>
                </w:p>
              </w:tc>
              <w:tc>
                <w:tcPr>
                  <w:tcW w:w="123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eastAsia="宋体"/>
                      <w:sz w:val="21"/>
                      <w:szCs w:val="21"/>
                      <w:u w:val="singl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395" w:type="pct"/>
                  <w:vMerge w:val="restar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固体废物</w:t>
                  </w:r>
                </w:p>
              </w:tc>
              <w:tc>
                <w:tcPr>
                  <w:tcW w:w="722"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生活垃圾</w:t>
                  </w:r>
                </w:p>
              </w:tc>
              <w:tc>
                <w:tcPr>
                  <w:tcW w:w="1535" w:type="pct"/>
                  <w:noWrap w:val="0"/>
                  <w:vAlign w:val="center"/>
                </w:tcPr>
                <w:p>
                  <w:pPr>
                    <w:pStyle w:val="179"/>
                    <w:spacing w:line="360" w:lineRule="auto"/>
                    <w:jc w:val="center"/>
                    <w:rPr>
                      <w:rFonts w:ascii="Times New Roman" w:hAnsi="Times New Roman"/>
                      <w:sz w:val="21"/>
                      <w:szCs w:val="21"/>
                      <w:u w:val="single"/>
                    </w:rPr>
                  </w:pPr>
                  <w:r>
                    <w:rPr>
                      <w:rFonts w:ascii="宋体" w:hAnsi="宋体" w:cs="宋体"/>
                      <w:spacing w:val="9"/>
                      <w:sz w:val="21"/>
                      <w:szCs w:val="21"/>
                      <w:u w:val="single"/>
                    </w:rPr>
                    <w:t>环卫部门统一收集处</w:t>
                  </w:r>
                  <w:r>
                    <w:rPr>
                      <w:rFonts w:ascii="宋体" w:hAnsi="宋体" w:cs="宋体"/>
                      <w:sz w:val="21"/>
                      <w:szCs w:val="21"/>
                      <w:u w:val="single"/>
                    </w:rPr>
                    <w:t>理</w:t>
                  </w:r>
                </w:p>
              </w:tc>
              <w:tc>
                <w:tcPr>
                  <w:tcW w:w="1111"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w:t>
                  </w:r>
                </w:p>
              </w:tc>
              <w:tc>
                <w:tcPr>
                  <w:tcW w:w="123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noWrap w:val="0"/>
                  <w:vAlign w:val="center"/>
                </w:tcPr>
                <w:p>
                  <w:pPr>
                    <w:pStyle w:val="179"/>
                    <w:spacing w:line="360" w:lineRule="auto"/>
                    <w:jc w:val="center"/>
                    <w:rPr>
                      <w:rFonts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废边角料</w:t>
                  </w:r>
                </w:p>
              </w:tc>
              <w:tc>
                <w:tcPr>
                  <w:tcW w:w="1535" w:type="pc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收集后外售废品店回收利用</w:t>
                  </w:r>
                </w:p>
              </w:tc>
              <w:tc>
                <w:tcPr>
                  <w:tcW w:w="1111"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w:t>
                  </w:r>
                </w:p>
              </w:tc>
              <w:tc>
                <w:tcPr>
                  <w:tcW w:w="1235" w:type="pct"/>
                  <w:noWrap w:val="0"/>
                  <w:vAlign w:val="center"/>
                </w:tcPr>
                <w:p>
                  <w:pPr>
                    <w:pStyle w:val="179"/>
                    <w:spacing w:line="360" w:lineRule="auto"/>
                    <w:jc w:val="center"/>
                    <w:rPr>
                      <w:rFonts w:ascii="Times New Roman" w:hAnsi="Times New Roman"/>
                      <w:sz w:val="21"/>
                      <w:szCs w:val="21"/>
                      <w:u w:val="single"/>
                    </w:rPr>
                  </w:pPr>
                  <w:r>
                    <w:rPr>
                      <w:rFonts w:hint="eastAsia" w:ascii="Times New Roman" w:hAnsi="Times New Roman"/>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noWrap w:val="0"/>
                  <w:vAlign w:val="center"/>
                </w:tcPr>
                <w:p>
                  <w:pPr>
                    <w:pStyle w:val="179"/>
                    <w:spacing w:line="360" w:lineRule="auto"/>
                    <w:jc w:val="center"/>
                    <w:rPr>
                      <w:rFonts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sz w:val="21"/>
                      <w:szCs w:val="21"/>
                      <w:u w:val="single"/>
                      <w:lang w:eastAsia="zh-CN"/>
                    </w:rPr>
                  </w:pPr>
                  <w:r>
                    <w:rPr>
                      <w:rFonts w:hint="eastAsia" w:ascii="Times New Roman" w:hAnsi="Times New Roman"/>
                      <w:sz w:val="21"/>
                      <w:szCs w:val="21"/>
                      <w:u w:val="single"/>
                      <w:lang w:eastAsia="zh-CN"/>
                    </w:rPr>
                    <w:t>废油漆桶</w:t>
                  </w:r>
                </w:p>
              </w:tc>
              <w:tc>
                <w:tcPr>
                  <w:tcW w:w="1535" w:type="pct"/>
                  <w:vMerge w:val="restart"/>
                  <w:noWrap w:val="0"/>
                  <w:vAlign w:val="center"/>
                </w:tcPr>
                <w:p>
                  <w:pPr>
                    <w:pStyle w:val="179"/>
                    <w:spacing w:line="360" w:lineRule="auto"/>
                    <w:jc w:val="center"/>
                    <w:rPr>
                      <w:rFonts w:hint="eastAsia" w:ascii="Times New Roman" w:hAnsi="Times New Roman" w:eastAsia="宋体"/>
                      <w:sz w:val="21"/>
                      <w:szCs w:val="21"/>
                      <w:u w:val="single"/>
                      <w:lang w:eastAsia="zh-CN"/>
                    </w:rPr>
                  </w:pPr>
                  <w:r>
                    <w:rPr>
                      <w:rFonts w:hint="eastAsia" w:ascii="Times New Roman" w:hAnsi="Times New Roman"/>
                      <w:sz w:val="21"/>
                      <w:szCs w:val="21"/>
                      <w:u w:val="single"/>
                      <w:lang w:eastAsia="zh-CN"/>
                    </w:rPr>
                    <w:t>收集后交由湖南瀚洋环保科技有限公司</w:t>
                  </w:r>
                </w:p>
              </w:tc>
              <w:tc>
                <w:tcPr>
                  <w:tcW w:w="1111" w:type="pct"/>
                  <w:vMerge w:val="restart"/>
                  <w:noWrap w:val="0"/>
                  <w:vAlign w:val="center"/>
                </w:tcPr>
                <w:p>
                  <w:pPr>
                    <w:pStyle w:val="179"/>
                    <w:spacing w:line="360" w:lineRule="auto"/>
                    <w:jc w:val="center"/>
                    <w:rPr>
                      <w:rFonts w:hint="eastAsia" w:ascii="Times New Roman" w:hAnsi="Times New Roman"/>
                      <w:sz w:val="21"/>
                      <w:szCs w:val="21"/>
                      <w:u w:val="single"/>
                    </w:rPr>
                  </w:pPr>
                  <w:r>
                    <w:rPr>
                      <w:rFonts w:hint="eastAsia" w:ascii="Times New Roman" w:hAnsi="Times New Roman"/>
                      <w:sz w:val="21"/>
                      <w:szCs w:val="21"/>
                      <w:u w:val="single"/>
                    </w:rPr>
                    <w:t>/</w:t>
                  </w:r>
                </w:p>
              </w:tc>
              <w:tc>
                <w:tcPr>
                  <w:tcW w:w="1235" w:type="pct"/>
                  <w:vMerge w:val="restart"/>
                  <w:noWrap w:val="0"/>
                  <w:vAlign w:val="center"/>
                </w:tcPr>
                <w:p>
                  <w:pPr>
                    <w:pStyle w:val="179"/>
                    <w:spacing w:line="360" w:lineRule="auto"/>
                    <w:jc w:val="center"/>
                    <w:rPr>
                      <w:rFonts w:hint="eastAsia" w:ascii="Times New Roman" w:hAnsi="Times New Roman"/>
                      <w:sz w:val="21"/>
                      <w:szCs w:val="21"/>
                      <w:u w:val="single"/>
                    </w:rPr>
                  </w:pPr>
                  <w:r>
                    <w:rPr>
                      <w:rFonts w:hint="eastAsia" w:ascii="Times New Roman" w:hAnsi="Times New Roman"/>
                      <w:sz w:val="21"/>
                      <w:szCs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noWrap w:val="0"/>
                  <w:vAlign w:val="center"/>
                </w:tcPr>
                <w:p>
                  <w:pPr>
                    <w:pStyle w:val="179"/>
                    <w:spacing w:line="360" w:lineRule="auto"/>
                    <w:jc w:val="center"/>
                    <w:rPr>
                      <w:rFonts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sz w:val="21"/>
                      <w:szCs w:val="21"/>
                      <w:u w:val="single"/>
                      <w:lang w:eastAsia="zh-CN"/>
                    </w:rPr>
                  </w:pPr>
                  <w:r>
                    <w:rPr>
                      <w:rFonts w:hint="eastAsia" w:ascii="Times New Roman" w:hAnsi="Times New Roman"/>
                      <w:sz w:val="21"/>
                      <w:szCs w:val="21"/>
                      <w:u w:val="single"/>
                      <w:lang w:eastAsia="zh-CN"/>
                    </w:rPr>
                    <w:t>漆渣</w:t>
                  </w:r>
                </w:p>
              </w:tc>
              <w:tc>
                <w:tcPr>
                  <w:tcW w:w="1535" w:type="pct"/>
                  <w:vMerge w:val="continue"/>
                  <w:noWrap w:val="0"/>
                  <w:vAlign w:val="center"/>
                </w:tcPr>
                <w:p>
                  <w:pPr>
                    <w:pStyle w:val="179"/>
                    <w:spacing w:line="360" w:lineRule="auto"/>
                    <w:jc w:val="center"/>
                    <w:rPr>
                      <w:rFonts w:hint="eastAsia" w:ascii="Times New Roman" w:hAnsi="Times New Roman"/>
                      <w:sz w:val="21"/>
                      <w:szCs w:val="21"/>
                      <w:u w:val="single"/>
                    </w:rPr>
                  </w:pPr>
                </w:p>
              </w:tc>
              <w:tc>
                <w:tcPr>
                  <w:tcW w:w="1111" w:type="pct"/>
                  <w:vMerge w:val="continue"/>
                  <w:noWrap w:val="0"/>
                  <w:vAlign w:val="center"/>
                </w:tcPr>
                <w:p>
                  <w:pPr>
                    <w:pStyle w:val="179"/>
                    <w:spacing w:line="360" w:lineRule="auto"/>
                    <w:jc w:val="center"/>
                    <w:rPr>
                      <w:rFonts w:hint="eastAsia" w:ascii="Times New Roman" w:hAnsi="Times New Roman"/>
                      <w:sz w:val="21"/>
                      <w:szCs w:val="21"/>
                      <w:u w:val="single"/>
                    </w:rPr>
                  </w:pPr>
                </w:p>
              </w:tc>
              <w:tc>
                <w:tcPr>
                  <w:tcW w:w="1235" w:type="pct"/>
                  <w:vMerge w:val="continue"/>
                  <w:noWrap w:val="0"/>
                  <w:vAlign w:val="center"/>
                </w:tcPr>
                <w:p>
                  <w:pPr>
                    <w:pStyle w:val="179"/>
                    <w:spacing w:line="360" w:lineRule="auto"/>
                    <w:jc w:val="center"/>
                    <w:rPr>
                      <w:rFonts w:hint="eastAsia" w:ascii="Times New Roman" w:hAnsi="Times New Roman"/>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5" w:type="pct"/>
                  <w:vMerge w:val="continue"/>
                  <w:noWrap w:val="0"/>
                  <w:vAlign w:val="center"/>
                </w:tcPr>
                <w:p>
                  <w:pPr>
                    <w:pStyle w:val="179"/>
                    <w:spacing w:line="360" w:lineRule="auto"/>
                    <w:jc w:val="center"/>
                    <w:rPr>
                      <w:rFonts w:ascii="Times New Roman" w:hAnsi="Times New Roman"/>
                      <w:sz w:val="21"/>
                      <w:szCs w:val="21"/>
                      <w:u w:val="single"/>
                    </w:rPr>
                  </w:pPr>
                </w:p>
              </w:tc>
              <w:tc>
                <w:tcPr>
                  <w:tcW w:w="722" w:type="pct"/>
                  <w:noWrap w:val="0"/>
                  <w:vAlign w:val="center"/>
                </w:tcPr>
                <w:p>
                  <w:pPr>
                    <w:pStyle w:val="179"/>
                    <w:spacing w:line="360" w:lineRule="auto"/>
                    <w:jc w:val="center"/>
                    <w:rPr>
                      <w:rFonts w:hint="eastAsia" w:ascii="Times New Roman" w:hAnsi="Times New Roman"/>
                      <w:sz w:val="21"/>
                      <w:szCs w:val="21"/>
                      <w:u w:val="single"/>
                      <w:lang w:eastAsia="zh-CN"/>
                    </w:rPr>
                  </w:pPr>
                  <w:r>
                    <w:rPr>
                      <w:rFonts w:hint="eastAsia" w:ascii="Times New Roman" w:hAnsi="Times New Roman"/>
                      <w:sz w:val="21"/>
                      <w:szCs w:val="21"/>
                      <w:u w:val="single"/>
                      <w:lang w:eastAsia="zh-CN"/>
                    </w:rPr>
                    <w:t>废活性炭</w:t>
                  </w:r>
                </w:p>
              </w:tc>
              <w:tc>
                <w:tcPr>
                  <w:tcW w:w="1535" w:type="pct"/>
                  <w:vMerge w:val="continue"/>
                  <w:noWrap w:val="0"/>
                  <w:vAlign w:val="center"/>
                </w:tcPr>
                <w:p>
                  <w:pPr>
                    <w:pStyle w:val="179"/>
                    <w:spacing w:line="360" w:lineRule="auto"/>
                    <w:jc w:val="center"/>
                    <w:rPr>
                      <w:rFonts w:hint="eastAsia" w:ascii="Times New Roman" w:hAnsi="Times New Roman"/>
                      <w:sz w:val="21"/>
                      <w:szCs w:val="21"/>
                      <w:u w:val="single"/>
                    </w:rPr>
                  </w:pPr>
                </w:p>
              </w:tc>
              <w:tc>
                <w:tcPr>
                  <w:tcW w:w="1111" w:type="pct"/>
                  <w:vMerge w:val="continue"/>
                  <w:noWrap w:val="0"/>
                  <w:vAlign w:val="center"/>
                </w:tcPr>
                <w:p>
                  <w:pPr>
                    <w:pStyle w:val="179"/>
                    <w:spacing w:line="360" w:lineRule="auto"/>
                    <w:jc w:val="center"/>
                    <w:rPr>
                      <w:rFonts w:hint="eastAsia" w:ascii="Times New Roman" w:hAnsi="Times New Roman"/>
                      <w:sz w:val="21"/>
                      <w:szCs w:val="21"/>
                      <w:u w:val="single"/>
                    </w:rPr>
                  </w:pPr>
                </w:p>
              </w:tc>
              <w:tc>
                <w:tcPr>
                  <w:tcW w:w="1235" w:type="pct"/>
                  <w:vMerge w:val="continue"/>
                  <w:noWrap w:val="0"/>
                  <w:vAlign w:val="center"/>
                </w:tcPr>
                <w:p>
                  <w:pPr>
                    <w:pStyle w:val="179"/>
                    <w:spacing w:line="360" w:lineRule="auto"/>
                    <w:jc w:val="center"/>
                    <w:rPr>
                      <w:rFonts w:hint="eastAsia" w:ascii="Times New Roman" w:hAnsi="Times New Roman"/>
                      <w:sz w:val="21"/>
                      <w:szCs w:val="21"/>
                      <w:u w:val="single"/>
                    </w:rPr>
                  </w:pPr>
                </w:p>
              </w:tc>
            </w:tr>
          </w:tbl>
          <w:p>
            <w:pPr>
              <w:numPr>
                <w:ilvl w:val="0"/>
                <w:numId w:val="0"/>
              </w:numPr>
              <w:rPr>
                <w:rFonts w:hint="default" w:cs="Times New Roman"/>
                <w:b/>
                <w:bCs/>
                <w:color w:val="auto"/>
                <w:sz w:val="24"/>
                <w:szCs w:val="22"/>
                <w:u w:val="none" w:color="auto"/>
                <w:lang w:val="en-US" w:eastAsia="zh-CN"/>
              </w:rPr>
            </w:pPr>
          </w:p>
          <w:p>
            <w:pPr>
              <w:numPr>
                <w:ilvl w:val="0"/>
                <w:numId w:val="0"/>
              </w:numPr>
              <w:ind w:leftChars="200"/>
              <w:rPr>
                <w:rFonts w:hint="eastAsia" w:cs="Times New Roman"/>
                <w:b/>
                <w:bCs/>
                <w:color w:val="auto"/>
                <w:sz w:val="24"/>
                <w:szCs w:val="22"/>
                <w:u w:val="single" w:color="auto"/>
                <w:lang w:val="en-US" w:eastAsia="zh-CN"/>
              </w:rPr>
            </w:pPr>
            <w:r>
              <w:rPr>
                <w:rFonts w:hint="eastAsia" w:cs="Times New Roman"/>
                <w:b/>
                <w:bCs/>
                <w:color w:val="auto"/>
                <w:sz w:val="24"/>
                <w:szCs w:val="22"/>
                <w:u w:val="single" w:color="auto"/>
                <w:lang w:val="en-US" w:eastAsia="zh-CN"/>
              </w:rPr>
              <w:t>9“以新带老”的相关措施</w:t>
            </w:r>
          </w:p>
          <w:p>
            <w:pPr>
              <w:numPr>
                <w:ilvl w:val="0"/>
                <w:numId w:val="0"/>
              </w:numPr>
              <w:ind w:leftChars="200"/>
              <w:rPr>
                <w:rFonts w:hint="eastAsia" w:cs="Times New Roman"/>
                <w:color w:val="auto"/>
                <w:u w:val="single" w:color="auto"/>
                <w:lang w:val="en-US" w:eastAsia="zh-CN"/>
              </w:rPr>
            </w:pPr>
          </w:p>
          <w:p>
            <w:pPr>
              <w:numPr>
                <w:ilvl w:val="0"/>
                <w:numId w:val="0"/>
              </w:numPr>
              <w:ind w:leftChars="200"/>
              <w:jc w:val="center"/>
              <w:rPr>
                <w:rFonts w:hint="default" w:cs="Times New Roman"/>
                <w:b w:val="0"/>
                <w:bCs w:val="0"/>
                <w:color w:val="auto"/>
                <w:sz w:val="24"/>
                <w:szCs w:val="24"/>
                <w:u w:val="single" w:color="auto"/>
                <w:lang w:val="en-US" w:eastAsia="zh-CN"/>
              </w:rPr>
            </w:pPr>
            <w:r>
              <w:rPr>
                <w:rFonts w:hint="eastAsia" w:cs="Times New Roman"/>
                <w:b w:val="0"/>
                <w:bCs w:val="0"/>
                <w:color w:val="auto"/>
                <w:sz w:val="24"/>
                <w:szCs w:val="24"/>
                <w:u w:val="single" w:color="auto"/>
                <w:lang w:val="en-US" w:eastAsia="zh-CN"/>
              </w:rPr>
              <w:t>表1-17 “以新带老”的措施一览表</w:t>
            </w:r>
          </w:p>
          <w:tbl>
            <w:tblPr>
              <w:tblStyle w:val="41"/>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07"/>
              <w:gridCol w:w="4055"/>
              <w:gridCol w:w="38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7" w:hRule="atLeast"/>
              </w:trPr>
              <w:tc>
                <w:tcPr>
                  <w:tcW w:w="1209" w:type="dxa"/>
                  <w:tcBorders>
                    <w:tl2br w:val="nil"/>
                    <w:tr2bl w:val="nil"/>
                  </w:tcBorders>
                  <w:vAlign w:val="center"/>
                </w:tcPr>
                <w:p>
                  <w:pPr>
                    <w:numPr>
                      <w:ilvl w:val="0"/>
                      <w:numId w:val="0"/>
                    </w:numPr>
                    <w:spacing w:line="360" w:lineRule="auto"/>
                    <w:jc w:val="center"/>
                    <w:rPr>
                      <w:rFonts w:hint="eastAsia"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序号</w:t>
                  </w:r>
                </w:p>
              </w:tc>
              <w:tc>
                <w:tcPr>
                  <w:tcW w:w="4065" w:type="dxa"/>
                  <w:tcBorders>
                    <w:tl2br w:val="nil"/>
                    <w:tr2bl w:val="nil"/>
                  </w:tcBorders>
                  <w:vAlign w:val="center"/>
                </w:tcPr>
                <w:p>
                  <w:pPr>
                    <w:numPr>
                      <w:ilvl w:val="0"/>
                      <w:numId w:val="0"/>
                    </w:numPr>
                    <w:spacing w:line="360" w:lineRule="auto"/>
                    <w:jc w:val="center"/>
                    <w:rPr>
                      <w:rFonts w:hint="eastAsia"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原项目措施</w:t>
                  </w:r>
                </w:p>
              </w:tc>
              <w:tc>
                <w:tcPr>
                  <w:tcW w:w="3814" w:type="dxa"/>
                  <w:tcBorders>
                    <w:tl2br w:val="nil"/>
                    <w:tr2bl w:val="nil"/>
                  </w:tcBorders>
                  <w:vAlign w:val="center"/>
                </w:tcPr>
                <w:p>
                  <w:pPr>
                    <w:numPr>
                      <w:ilvl w:val="0"/>
                      <w:numId w:val="0"/>
                    </w:numPr>
                    <w:spacing w:line="360" w:lineRule="auto"/>
                    <w:jc w:val="center"/>
                    <w:rPr>
                      <w:rFonts w:hint="eastAsia" w:cs="Times New Roman"/>
                      <w:color w:val="auto"/>
                      <w:sz w:val="22"/>
                      <w:szCs w:val="22"/>
                      <w:u w:val="single" w:color="auto"/>
                      <w:vertAlign w:val="baseline"/>
                      <w:lang w:val="en-US" w:eastAsia="zh-CN"/>
                    </w:rPr>
                  </w:pPr>
                  <w:r>
                    <w:rPr>
                      <w:rFonts w:hint="eastAsia" w:cs="Times New Roman"/>
                      <w:b w:val="0"/>
                      <w:bCs w:val="0"/>
                      <w:color w:val="auto"/>
                      <w:sz w:val="22"/>
                      <w:szCs w:val="22"/>
                      <w:u w:val="single" w:color="auto"/>
                      <w:lang w:val="en-US" w:eastAsia="zh-CN"/>
                    </w:rPr>
                    <w:t>“以新带老”措施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1209" w:type="dxa"/>
                  <w:tcBorders>
                    <w:tl2br w:val="nil"/>
                    <w:tr2bl w:val="nil"/>
                  </w:tcBorders>
                  <w:vAlign w:val="center"/>
                </w:tcPr>
                <w:p>
                  <w:pPr>
                    <w:numPr>
                      <w:ilvl w:val="0"/>
                      <w:numId w:val="0"/>
                    </w:numPr>
                    <w:spacing w:line="360" w:lineRule="auto"/>
                    <w:jc w:val="center"/>
                    <w:rPr>
                      <w:rFonts w:hint="default"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1</w:t>
                  </w:r>
                </w:p>
              </w:tc>
              <w:tc>
                <w:tcPr>
                  <w:tcW w:w="4065" w:type="dxa"/>
                  <w:tcBorders>
                    <w:tl2br w:val="nil"/>
                    <w:tr2bl w:val="nil"/>
                  </w:tcBorders>
                  <w:vAlign w:val="center"/>
                </w:tcPr>
                <w:p>
                  <w:pPr>
                    <w:numPr>
                      <w:ilvl w:val="0"/>
                      <w:numId w:val="0"/>
                    </w:numPr>
                    <w:spacing w:line="360" w:lineRule="auto"/>
                    <w:jc w:val="center"/>
                    <w:rPr>
                      <w:rFonts w:hint="eastAsia"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原项目焊接烟尘通风处理后无组织排放</w:t>
                  </w:r>
                </w:p>
              </w:tc>
              <w:tc>
                <w:tcPr>
                  <w:tcW w:w="3814" w:type="dxa"/>
                  <w:tcBorders>
                    <w:tl2br w:val="nil"/>
                    <w:tr2bl w:val="nil"/>
                  </w:tcBorders>
                  <w:vAlign w:val="center"/>
                </w:tcPr>
                <w:p>
                  <w:pPr>
                    <w:numPr>
                      <w:ilvl w:val="0"/>
                      <w:numId w:val="0"/>
                    </w:numPr>
                    <w:spacing w:line="360" w:lineRule="auto"/>
                    <w:jc w:val="center"/>
                    <w:rPr>
                      <w:rFonts w:hint="eastAsia"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焊接烟尘增加移动式烟尘净化装置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1209" w:type="dxa"/>
                  <w:tcBorders>
                    <w:tl2br w:val="nil"/>
                    <w:tr2bl w:val="nil"/>
                  </w:tcBorders>
                  <w:vAlign w:val="center"/>
                </w:tcPr>
                <w:p>
                  <w:pPr>
                    <w:numPr>
                      <w:ilvl w:val="0"/>
                      <w:numId w:val="0"/>
                    </w:numPr>
                    <w:spacing w:line="360" w:lineRule="auto"/>
                    <w:jc w:val="center"/>
                    <w:rPr>
                      <w:rFonts w:hint="default"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2</w:t>
                  </w:r>
                </w:p>
              </w:tc>
              <w:tc>
                <w:tcPr>
                  <w:tcW w:w="4065" w:type="dxa"/>
                  <w:tcBorders>
                    <w:tl2br w:val="nil"/>
                    <w:tr2bl w:val="nil"/>
                  </w:tcBorders>
                  <w:vAlign w:val="center"/>
                </w:tcPr>
                <w:p>
                  <w:pPr>
                    <w:numPr>
                      <w:ilvl w:val="0"/>
                      <w:numId w:val="0"/>
                    </w:numPr>
                    <w:spacing w:line="360" w:lineRule="auto"/>
                    <w:jc w:val="center"/>
                    <w:rPr>
                      <w:rFonts w:hint="eastAsia"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喷漆废气使用油性漆</w:t>
                  </w:r>
                </w:p>
              </w:tc>
              <w:tc>
                <w:tcPr>
                  <w:tcW w:w="3814" w:type="dxa"/>
                  <w:tcBorders>
                    <w:tl2br w:val="nil"/>
                    <w:tr2bl w:val="nil"/>
                  </w:tcBorders>
                  <w:vAlign w:val="center"/>
                </w:tcPr>
                <w:p>
                  <w:pPr>
                    <w:numPr>
                      <w:ilvl w:val="0"/>
                      <w:numId w:val="0"/>
                    </w:numPr>
                    <w:spacing w:line="360" w:lineRule="auto"/>
                    <w:jc w:val="center"/>
                    <w:rPr>
                      <w:rFonts w:hint="default" w:cs="Times New Roman"/>
                      <w:color w:val="auto"/>
                      <w:sz w:val="22"/>
                      <w:szCs w:val="22"/>
                      <w:u w:val="single" w:color="auto"/>
                      <w:vertAlign w:val="baseline"/>
                      <w:lang w:val="en-US" w:eastAsia="zh-CN"/>
                    </w:rPr>
                  </w:pPr>
                  <w:r>
                    <w:rPr>
                      <w:rFonts w:hint="eastAsia" w:cs="Times New Roman"/>
                      <w:color w:val="auto"/>
                      <w:sz w:val="22"/>
                      <w:szCs w:val="22"/>
                      <w:u w:val="single" w:color="auto"/>
                      <w:vertAlign w:val="baseline"/>
                      <w:lang w:val="en-US" w:eastAsia="zh-CN"/>
                    </w:rPr>
                    <w:t>现改为水性油漆，不使用油性漆，且使用水性漆后，其可减少VOC</w:t>
                  </w:r>
                  <w:r>
                    <w:rPr>
                      <w:rFonts w:hint="eastAsia" w:cs="Times New Roman"/>
                      <w:color w:val="auto"/>
                      <w:sz w:val="22"/>
                      <w:szCs w:val="22"/>
                      <w:u w:val="single" w:color="auto"/>
                      <w:vertAlign w:val="subscript"/>
                      <w:lang w:val="en-US" w:eastAsia="zh-CN"/>
                    </w:rPr>
                    <w:t>S</w:t>
                  </w:r>
                  <w:r>
                    <w:rPr>
                      <w:rFonts w:hint="eastAsia" w:cs="Times New Roman"/>
                      <w:color w:val="auto"/>
                      <w:sz w:val="22"/>
                      <w:szCs w:val="22"/>
                      <w:u w:val="single" w:color="auto"/>
                      <w:vertAlign w:val="baseline"/>
                      <w:lang w:val="en-US" w:eastAsia="zh-CN"/>
                    </w:rPr>
                    <w:t>的排放总量</w:t>
                  </w:r>
                </w:p>
              </w:tc>
            </w:tr>
          </w:tbl>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cs="Times New Roman"/>
                <w:color w:val="auto"/>
                <w:u w:val="none" w:color="auto"/>
                <w:lang w:val="en-US" w:eastAsia="zh-CN"/>
              </w:rPr>
            </w:pPr>
          </w:p>
          <w:p>
            <w:pPr>
              <w:numPr>
                <w:ilvl w:val="0"/>
                <w:numId w:val="0"/>
              </w:numPr>
              <w:ind w:leftChars="200"/>
              <w:rPr>
                <w:rFonts w:hint="eastAsia" w:ascii="Times New Roman" w:hAnsi="Times New Roman" w:eastAsia="宋体" w:cs="Times New Roman"/>
                <w:color w:val="auto"/>
                <w:u w:val="none" w:color="auto"/>
                <w:lang w:val="en-US" w:eastAsia="zh-CN"/>
              </w:rPr>
            </w:pPr>
          </w:p>
        </w:tc>
      </w:tr>
    </w:tbl>
    <w:p>
      <w:pPr>
        <w:snapToGrid w:val="0"/>
        <w:spacing w:before="120"/>
        <w:outlineLvl w:val="0"/>
        <w:rPr>
          <w:rFonts w:eastAsia="黑体"/>
          <w:color w:val="auto"/>
          <w:sz w:val="32"/>
          <w:u w:val="none" w:color="auto"/>
        </w:rPr>
        <w:sectPr>
          <w:headerReference r:id="rId6" w:type="default"/>
          <w:footerReference r:id="rId7" w:type="default"/>
          <w:pgSz w:w="11906" w:h="16838"/>
          <w:pgMar w:top="1418" w:right="1134" w:bottom="1418" w:left="1474" w:header="851" w:footer="992" w:gutter="0"/>
          <w:pgBorders>
            <w:top w:val="none" w:sz="0" w:space="0"/>
            <w:left w:val="none" w:sz="0" w:space="0"/>
            <w:bottom w:val="none" w:sz="0" w:space="0"/>
            <w:right w:val="none" w:sz="0" w:space="0"/>
          </w:pgBorders>
          <w:pgNumType w:start="1"/>
          <w:cols w:space="720" w:num="1"/>
          <w:docGrid w:linePitch="312" w:charSpace="55034"/>
        </w:sectPr>
      </w:pPr>
    </w:p>
    <w:p>
      <w:pPr>
        <w:snapToGrid w:val="0"/>
        <w:outlineLvl w:val="0"/>
        <w:rPr>
          <w:rFonts w:eastAsia="黑体"/>
          <w:color w:val="auto"/>
          <w:kern w:val="24"/>
          <w:sz w:val="32"/>
          <w:u w:val="none" w:color="auto"/>
        </w:rPr>
      </w:pPr>
      <w:bookmarkStart w:id="1" w:name="_Toc10693"/>
      <w:r>
        <w:rPr>
          <w:rFonts w:hint="eastAsia" w:eastAsia="黑体"/>
          <w:color w:val="auto"/>
          <w:sz w:val="32"/>
          <w:u w:val="none" w:color="auto"/>
        </w:rPr>
        <w:t>二、</w:t>
      </w:r>
      <w:r>
        <w:rPr>
          <w:rFonts w:eastAsia="黑体"/>
          <w:color w:val="auto"/>
          <w:sz w:val="32"/>
          <w:u w:val="none" w:color="auto"/>
        </w:rPr>
        <w:t>建设项目所在地自然环境社会环境简况</w:t>
      </w:r>
      <w:bookmarkEnd w:id="1"/>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85" w:type="dxa"/>
          <w:bottom w:w="0" w:type="dxa"/>
          <w:right w:w="85" w:type="dxa"/>
        </w:tblCellMar>
      </w:tblPr>
      <w:tblGrid>
        <w:gridCol w:w="926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85" w:type="dxa"/>
            <w:bottom w:w="0" w:type="dxa"/>
            <w:right w:w="85" w:type="dxa"/>
          </w:tblCellMar>
        </w:tblPrEx>
        <w:trPr>
          <w:trHeight w:val="13005" w:hRule="atLeast"/>
          <w:jc w:val="center"/>
        </w:trPr>
        <w:tc>
          <w:tcPr>
            <w:tcW w:w="9268" w:type="dxa"/>
          </w:tcPr>
          <w:p>
            <w:pPr>
              <w:adjustRightInd w:val="0"/>
              <w:snapToGrid w:val="0"/>
              <w:spacing w:line="360" w:lineRule="auto"/>
              <w:rPr>
                <w:b/>
                <w:bCs/>
                <w:color w:val="auto"/>
                <w:sz w:val="24"/>
                <w:szCs w:val="24"/>
                <w:u w:val="none" w:color="auto"/>
              </w:rPr>
            </w:pPr>
            <w:r>
              <w:rPr>
                <w:rFonts w:hint="eastAsia"/>
                <w:b/>
                <w:bCs/>
                <w:color w:val="auto"/>
                <w:sz w:val="24"/>
                <w:szCs w:val="24"/>
                <w:u w:val="none" w:color="auto"/>
              </w:rPr>
              <w:t>一、</w:t>
            </w:r>
            <w:r>
              <w:rPr>
                <w:b/>
                <w:bCs/>
                <w:color w:val="auto"/>
                <w:sz w:val="24"/>
                <w:szCs w:val="24"/>
                <w:u w:val="none" w:color="auto"/>
              </w:rPr>
              <w:t>自然环境简况（地形、地貌、地质、气候、气象、水文、植被、生物多样性等）：</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1、地理位置与交通</w:t>
            </w:r>
          </w:p>
          <w:p>
            <w:pPr>
              <w:spacing w:line="360" w:lineRule="auto"/>
              <w:ind w:firstLine="480"/>
              <w:rPr>
                <w:bCs/>
                <w:color w:val="auto"/>
                <w:sz w:val="24"/>
                <w:u w:val="none" w:color="auto"/>
              </w:rPr>
            </w:pPr>
            <w:r>
              <w:rPr>
                <w:bCs/>
                <w:color w:val="auto"/>
                <w:sz w:val="24"/>
                <w:u w:val="none" w:color="auto"/>
              </w:rPr>
              <w:t>湘阴县位于湖南省东北部、居湘、资两水尾间，濒南洞庭湖。东邻汨罗市、西接湘阴县，南界望城县，北抵沅江市、屈原行政区，介于东经112°30′~113°02′，北纬28°30′~29°03′之间。南北长61公里，东西宽51.3公里，面积1581.5平方公里，距湘阴县区仅50公里，岳阳市区110公里，经长湘公路至长沙仅45公里，交通十分便利。</w:t>
            </w:r>
          </w:p>
          <w:p>
            <w:pPr>
              <w:snapToGrid w:val="0"/>
              <w:spacing w:line="360" w:lineRule="auto"/>
              <w:ind w:firstLine="453" w:firstLineChars="196"/>
              <w:rPr>
                <w:bCs/>
                <w:color w:val="auto"/>
                <w:sz w:val="24"/>
                <w:u w:val="none" w:color="auto"/>
              </w:rPr>
            </w:pPr>
            <w:r>
              <w:rPr>
                <w:bCs/>
                <w:color w:val="auto"/>
                <w:sz w:val="24"/>
                <w:u w:val="none" w:color="auto"/>
              </w:rPr>
              <w:t>本项目位于</w:t>
            </w:r>
            <w:r>
              <w:rPr>
                <w:rFonts w:hint="eastAsia"/>
                <w:bCs/>
                <w:color w:val="auto"/>
                <w:sz w:val="24"/>
                <w:u w:val="none" w:color="auto"/>
                <w:lang w:eastAsia="zh-CN"/>
              </w:rPr>
              <w:t>湖南省湘阴县工业园区健铭路（湖南湘变电气有限责任公司内）</w:t>
            </w:r>
            <w:r>
              <w:rPr>
                <w:bCs/>
                <w:color w:val="auto"/>
                <w:sz w:val="24"/>
                <w:u w:val="none" w:color="auto"/>
              </w:rPr>
              <w:t>，其具体位置见附图1所示。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2、地形、地貌、地质</w:t>
            </w:r>
          </w:p>
          <w:p>
            <w:pPr>
              <w:spacing w:line="360" w:lineRule="auto"/>
              <w:ind w:firstLine="480"/>
              <w:rPr>
                <w:bCs/>
                <w:color w:val="auto"/>
                <w:sz w:val="24"/>
                <w:u w:val="none" w:color="auto"/>
              </w:rPr>
            </w:pPr>
            <w:r>
              <w:rPr>
                <w:rFonts w:hint="eastAsia"/>
                <w:bCs/>
                <w:color w:val="auto"/>
                <w:sz w:val="24"/>
                <w:u w:val="none" w:color="auto"/>
              </w:rPr>
              <w:t>湘阴地块属新华夏构造体系的第二隆起带，所处地质状况，使其地貌呈低山、岗地、平原三种形态，具有如下三个特征：其一、地势东南高、西北低。位居幕阜山余脉走向洞庭湖凹陷处的过渡地带，地势至东南向西北递降，形成一个微向洞庭湖碰盆中心的倾斜面。其二、以滨湖平原为主体，成块状分布。地处湘江大断裂带，其东盘上升，基岩裸露，构成低山、岗地；西盘下降，阶台下切，形成滨湖平源。全县除去江河湖泊及其他水面，滨湖、江河、溪谷三种平原共</w:t>
            </w:r>
            <w:r>
              <w:rPr>
                <w:bCs/>
                <w:color w:val="auto"/>
                <w:sz w:val="24"/>
                <w:u w:val="none" w:color="auto"/>
              </w:rPr>
              <w:t>702.11</w:t>
            </w:r>
            <w:r>
              <w:rPr>
                <w:rFonts w:hint="eastAsia"/>
                <w:bCs/>
                <w:color w:val="auto"/>
                <w:sz w:val="24"/>
                <w:u w:val="none" w:color="auto"/>
              </w:rPr>
              <w:t>平方公里，占全县总面积的</w:t>
            </w:r>
            <w:r>
              <w:rPr>
                <w:bCs/>
                <w:color w:val="auto"/>
                <w:sz w:val="24"/>
                <w:u w:val="none" w:color="auto"/>
              </w:rPr>
              <w:t>44.4%</w:t>
            </w:r>
            <w:r>
              <w:rPr>
                <w:rFonts w:hint="eastAsia"/>
                <w:bCs/>
                <w:color w:val="auto"/>
                <w:sz w:val="24"/>
                <w:u w:val="none" w:color="auto"/>
              </w:rPr>
              <w:t>；岗地占</w:t>
            </w:r>
            <w:r>
              <w:rPr>
                <w:bCs/>
                <w:color w:val="auto"/>
                <w:sz w:val="24"/>
                <w:u w:val="none" w:color="auto"/>
              </w:rPr>
              <w:t>13.59%</w:t>
            </w:r>
            <w:r>
              <w:rPr>
                <w:rFonts w:hint="eastAsia"/>
                <w:bCs/>
                <w:color w:val="auto"/>
                <w:sz w:val="24"/>
                <w:u w:val="none" w:color="auto"/>
              </w:rPr>
              <w:t>；低山占</w:t>
            </w:r>
            <w:r>
              <w:rPr>
                <w:bCs/>
                <w:color w:val="auto"/>
                <w:sz w:val="24"/>
                <w:u w:val="none" w:color="auto"/>
              </w:rPr>
              <w:t>1.51%</w:t>
            </w:r>
            <w:r>
              <w:rPr>
                <w:rFonts w:hint="eastAsia"/>
                <w:bCs/>
                <w:color w:val="auto"/>
                <w:sz w:val="24"/>
                <w:u w:val="none" w:color="auto"/>
              </w:rPr>
              <w:t>。其三、河湖交会，水域广阔。湘江自南而北贯穿全景，自然分成东西两部，江东为东乡，为低山岗丘地，岗丘婉蜒，地形起伏；江西为西乡，属滨湖平原地，河渠纵横，湖沼塘堰星罗棋布。全县国土总面积</w:t>
            </w:r>
            <w:r>
              <w:rPr>
                <w:bCs/>
                <w:color w:val="auto"/>
                <w:sz w:val="24"/>
                <w:u w:val="none" w:color="auto"/>
              </w:rPr>
              <w:t>1581.5</w:t>
            </w:r>
            <w:r>
              <w:rPr>
                <w:rFonts w:hint="eastAsia"/>
                <w:bCs/>
                <w:color w:val="auto"/>
                <w:sz w:val="24"/>
                <w:u w:val="none" w:color="auto"/>
              </w:rPr>
              <w:t>平方公里，湖区、山丘区、湖洲分别为</w:t>
            </w:r>
            <w:r>
              <w:rPr>
                <w:bCs/>
                <w:color w:val="auto"/>
                <w:sz w:val="24"/>
                <w:u w:val="none" w:color="auto"/>
              </w:rPr>
              <w:t>675.0</w:t>
            </w:r>
            <w:r>
              <w:rPr>
                <w:rFonts w:hint="eastAsia"/>
                <w:bCs/>
                <w:color w:val="auto"/>
                <w:sz w:val="24"/>
                <w:u w:val="none" w:color="auto"/>
              </w:rPr>
              <w:t>平方公里、</w:t>
            </w:r>
            <w:r>
              <w:rPr>
                <w:bCs/>
                <w:color w:val="auto"/>
                <w:sz w:val="24"/>
                <w:u w:val="none" w:color="auto"/>
              </w:rPr>
              <w:t>484.6</w:t>
            </w:r>
            <w:r>
              <w:rPr>
                <w:rFonts w:hint="eastAsia"/>
                <w:bCs/>
                <w:color w:val="auto"/>
                <w:sz w:val="24"/>
                <w:u w:val="none" w:color="auto"/>
              </w:rPr>
              <w:t>平方公里、</w:t>
            </w:r>
            <w:r>
              <w:rPr>
                <w:bCs/>
                <w:color w:val="auto"/>
                <w:sz w:val="24"/>
                <w:u w:val="none" w:color="auto"/>
              </w:rPr>
              <w:t>421.9</w:t>
            </w:r>
            <w:r>
              <w:rPr>
                <w:rFonts w:hint="eastAsia"/>
                <w:bCs/>
                <w:color w:val="auto"/>
                <w:sz w:val="24"/>
                <w:u w:val="none" w:color="auto"/>
              </w:rPr>
              <w:t>平方公里。水域面积</w:t>
            </w:r>
            <w:r>
              <w:rPr>
                <w:bCs/>
                <w:color w:val="auto"/>
                <w:sz w:val="24"/>
                <w:u w:val="none" w:color="auto"/>
              </w:rPr>
              <w:t>98.56</w:t>
            </w:r>
            <w:r>
              <w:rPr>
                <w:rFonts w:hint="eastAsia"/>
                <w:bCs/>
                <w:color w:val="auto"/>
                <w:sz w:val="24"/>
                <w:u w:val="none" w:color="auto"/>
              </w:rPr>
              <w:t>万亩，占全县总面积的</w:t>
            </w:r>
            <w:r>
              <w:rPr>
                <w:bCs/>
                <w:color w:val="auto"/>
                <w:sz w:val="24"/>
                <w:u w:val="none" w:color="auto"/>
              </w:rPr>
              <w:t>41.56%</w:t>
            </w:r>
            <w:r>
              <w:rPr>
                <w:rFonts w:hint="eastAsia"/>
                <w:bCs/>
                <w:color w:val="auto"/>
                <w:sz w:val="24"/>
                <w:u w:val="none" w:color="auto"/>
              </w:rPr>
              <w:t>。各类地貌中的水面面积占总面积的百分比分别为：滨湖平原为</w:t>
            </w:r>
            <w:r>
              <w:rPr>
                <w:bCs/>
                <w:color w:val="auto"/>
                <w:sz w:val="24"/>
                <w:u w:val="none" w:color="auto"/>
              </w:rPr>
              <w:t>89.06</w:t>
            </w:r>
            <w:r>
              <w:rPr>
                <w:rFonts w:hint="eastAsia"/>
                <w:bCs/>
                <w:color w:val="auto"/>
                <w:sz w:val="24"/>
                <w:u w:val="none" w:color="auto"/>
              </w:rPr>
              <w:t>万亩，占</w:t>
            </w:r>
            <w:r>
              <w:rPr>
                <w:bCs/>
                <w:color w:val="auto"/>
                <w:sz w:val="24"/>
                <w:u w:val="none" w:color="auto"/>
              </w:rPr>
              <w:t>53.99%</w:t>
            </w:r>
            <w:r>
              <w:rPr>
                <w:rFonts w:hint="eastAsia"/>
                <w:bCs/>
                <w:color w:val="auto"/>
                <w:sz w:val="24"/>
                <w:u w:val="none" w:color="auto"/>
              </w:rPr>
              <w:t>；江河平原为</w:t>
            </w:r>
            <w:r>
              <w:rPr>
                <w:bCs/>
                <w:color w:val="auto"/>
                <w:sz w:val="24"/>
                <w:u w:val="none" w:color="auto"/>
              </w:rPr>
              <w:t>2.37</w:t>
            </w:r>
            <w:r>
              <w:rPr>
                <w:rFonts w:hint="eastAsia"/>
                <w:bCs/>
                <w:color w:val="auto"/>
                <w:sz w:val="24"/>
                <w:u w:val="none" w:color="auto"/>
              </w:rPr>
              <w:t>万亩，占</w:t>
            </w:r>
            <w:r>
              <w:rPr>
                <w:bCs/>
                <w:color w:val="auto"/>
                <w:sz w:val="24"/>
                <w:u w:val="none" w:color="auto"/>
              </w:rPr>
              <w:t>21.68%</w:t>
            </w:r>
            <w:r>
              <w:rPr>
                <w:rFonts w:hint="eastAsia"/>
                <w:bCs/>
                <w:color w:val="auto"/>
                <w:sz w:val="24"/>
                <w:u w:val="none" w:color="auto"/>
              </w:rPr>
              <w:t>；溪谷平原为</w:t>
            </w:r>
            <w:r>
              <w:rPr>
                <w:bCs/>
                <w:color w:val="auto"/>
                <w:sz w:val="24"/>
                <w:u w:val="none" w:color="auto"/>
              </w:rPr>
              <w:t>3.82</w:t>
            </w:r>
            <w:r>
              <w:rPr>
                <w:rFonts w:hint="eastAsia"/>
                <w:bCs/>
                <w:color w:val="auto"/>
                <w:sz w:val="24"/>
                <w:u w:val="none" w:color="auto"/>
              </w:rPr>
              <w:t>万亩，占</w:t>
            </w:r>
            <w:r>
              <w:rPr>
                <w:bCs/>
                <w:color w:val="auto"/>
                <w:sz w:val="24"/>
                <w:u w:val="none" w:color="auto"/>
              </w:rPr>
              <w:t>15.54%</w:t>
            </w:r>
            <w:r>
              <w:rPr>
                <w:rFonts w:hint="eastAsia"/>
                <w:bCs/>
                <w:color w:val="auto"/>
                <w:sz w:val="24"/>
                <w:u w:val="none" w:color="auto"/>
              </w:rPr>
              <w:t>；岗地为</w:t>
            </w:r>
            <w:r>
              <w:rPr>
                <w:bCs/>
                <w:color w:val="auto"/>
                <w:sz w:val="24"/>
                <w:u w:val="none" w:color="auto"/>
              </w:rPr>
              <w:t>2.95</w:t>
            </w:r>
            <w:r>
              <w:rPr>
                <w:rFonts w:hint="eastAsia"/>
                <w:bCs/>
                <w:color w:val="auto"/>
                <w:sz w:val="24"/>
                <w:u w:val="none" w:color="auto"/>
              </w:rPr>
              <w:t>万亩，占</w:t>
            </w:r>
            <w:r>
              <w:rPr>
                <w:bCs/>
                <w:color w:val="auto"/>
                <w:sz w:val="24"/>
                <w:u w:val="none" w:color="auto"/>
              </w:rPr>
              <w:t>8.92%</w:t>
            </w:r>
            <w:r>
              <w:rPr>
                <w:rFonts w:hint="eastAsia"/>
                <w:bCs/>
                <w:color w:val="auto"/>
                <w:sz w:val="24"/>
                <w:u w:val="none" w:color="auto"/>
              </w:rPr>
              <w:t>，低山为</w:t>
            </w:r>
            <w:r>
              <w:rPr>
                <w:bCs/>
                <w:color w:val="auto"/>
                <w:sz w:val="24"/>
                <w:u w:val="none" w:color="auto"/>
              </w:rPr>
              <w:t>3600</w:t>
            </w:r>
            <w:r>
              <w:rPr>
                <w:rFonts w:hint="eastAsia"/>
                <w:bCs/>
                <w:color w:val="auto"/>
                <w:sz w:val="24"/>
                <w:u w:val="none" w:color="auto"/>
              </w:rPr>
              <w:t>亩，占</w:t>
            </w:r>
            <w:r>
              <w:rPr>
                <w:bCs/>
                <w:color w:val="auto"/>
                <w:sz w:val="24"/>
                <w:u w:val="none" w:color="auto"/>
              </w:rPr>
              <w:t>10.08%</w:t>
            </w:r>
            <w:r>
              <w:rPr>
                <w:rFonts w:hint="eastAsia"/>
                <w:bCs/>
                <w:color w:val="auto"/>
                <w:sz w:val="24"/>
                <w:u w:val="none" w:color="auto"/>
              </w:rPr>
              <w:t>。</w:t>
            </w:r>
          </w:p>
          <w:p>
            <w:pPr>
              <w:spacing w:line="360" w:lineRule="auto"/>
              <w:ind w:firstLine="480"/>
              <w:rPr>
                <w:bCs/>
                <w:color w:val="auto"/>
                <w:sz w:val="24"/>
                <w:u w:val="none" w:color="auto"/>
              </w:rPr>
            </w:pPr>
            <w:r>
              <w:rPr>
                <w:rFonts w:hint="eastAsia"/>
                <w:bCs/>
                <w:color w:val="auto"/>
                <w:sz w:val="24"/>
                <w:u w:val="none" w:color="auto"/>
              </w:rPr>
              <w:t>根据《建筑抗震设计规范》</w:t>
            </w:r>
            <w:r>
              <w:rPr>
                <w:bCs/>
                <w:color w:val="auto"/>
                <w:sz w:val="24"/>
                <w:u w:val="none" w:color="auto"/>
              </w:rPr>
              <w:t>GB50011—2001</w:t>
            </w:r>
            <w:r>
              <w:rPr>
                <w:rFonts w:hint="eastAsia"/>
                <w:bCs/>
                <w:color w:val="auto"/>
                <w:sz w:val="24"/>
                <w:u w:val="none" w:color="auto"/>
              </w:rPr>
              <w:t>附录</w:t>
            </w:r>
            <w:r>
              <w:rPr>
                <w:bCs/>
                <w:color w:val="auto"/>
                <w:sz w:val="24"/>
                <w:u w:val="none" w:color="auto"/>
              </w:rPr>
              <w:t>A</w:t>
            </w:r>
            <w:r>
              <w:rPr>
                <w:rFonts w:hint="eastAsia"/>
                <w:bCs/>
                <w:color w:val="auto"/>
                <w:sz w:val="24"/>
                <w:u w:val="none" w:color="auto"/>
              </w:rPr>
              <w:t>及相关规定，湘阴为</w:t>
            </w:r>
            <w:r>
              <w:rPr>
                <w:bCs/>
                <w:color w:val="auto"/>
                <w:sz w:val="24"/>
                <w:u w:val="none" w:color="auto"/>
              </w:rPr>
              <w:t>Ⅶ</w:t>
            </w:r>
            <w:r>
              <w:rPr>
                <w:rFonts w:hint="eastAsia"/>
                <w:bCs/>
                <w:color w:val="auto"/>
                <w:sz w:val="24"/>
                <w:u w:val="none" w:color="auto"/>
              </w:rPr>
              <w:t>度烈度区。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3、气候气象</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地处中亚热带向北亚热带过渡的季风气候区，县域内地貌类型简单，东西两部分气候差异不显著，气候温和，雨量充沛，光照充足，四季分明。主要灾害性天气有暴雨、干旱、大风、雷雹、低温、冰冻。县气象站记载，1959～1985年的27年间，共发生此类天气141次，年均5.2次。各种灾害性天气发生次数及占此类天气总数的百分比为：暴雨25次，占17.85%；干旱23次，占16.42%，低温31次，占22.17%；大风26次，占18.57%；雷雹13次，占9.28%，冰冻23次，占15.71%。</w:t>
            </w:r>
          </w:p>
          <w:p>
            <w:pPr>
              <w:spacing w:line="360" w:lineRule="auto"/>
              <w:ind w:firstLine="480"/>
              <w:rPr>
                <w:color w:val="auto"/>
                <w:sz w:val="24"/>
                <w:u w:val="none" w:color="auto"/>
              </w:rPr>
            </w:pPr>
            <w:r>
              <w:rPr>
                <w:bCs/>
                <w:color w:val="auto"/>
                <w:sz w:val="24"/>
                <w:u w:val="none" w:color="auto"/>
              </w:rPr>
              <w:t>湘阴县区域</w:t>
            </w:r>
            <w:r>
              <w:rPr>
                <w:color w:val="auto"/>
                <w:sz w:val="24"/>
                <w:u w:val="none" w:color="auto"/>
              </w:rPr>
              <w:t>主要气象数据；</w:t>
            </w:r>
          </w:p>
          <w:p>
            <w:pPr>
              <w:autoSpaceDE w:val="0"/>
              <w:spacing w:line="360" w:lineRule="auto"/>
              <w:ind w:firstLine="480"/>
              <w:rPr>
                <w:color w:val="auto"/>
                <w:sz w:val="24"/>
                <w:u w:val="none" w:color="auto"/>
              </w:rPr>
            </w:pPr>
            <w:r>
              <w:rPr>
                <w:color w:val="auto"/>
                <w:sz w:val="24"/>
                <w:u w:val="none" w:color="auto"/>
              </w:rPr>
              <w:t>年平均气温                     16.9℃</w:t>
            </w:r>
          </w:p>
          <w:p>
            <w:pPr>
              <w:tabs>
                <w:tab w:val="center" w:pos="4849"/>
              </w:tabs>
              <w:autoSpaceDE w:val="0"/>
              <w:spacing w:line="360" w:lineRule="auto"/>
              <w:ind w:firstLine="480"/>
              <w:rPr>
                <w:color w:val="auto"/>
                <w:sz w:val="24"/>
                <w:u w:val="none" w:color="auto"/>
              </w:rPr>
            </w:pPr>
            <w:r>
              <w:rPr>
                <w:color w:val="auto"/>
                <w:sz w:val="24"/>
                <w:u w:val="none" w:color="auto"/>
              </w:rPr>
              <w:t>最热月平均气温                 29.0℃</w:t>
            </w:r>
          </w:p>
          <w:p>
            <w:pPr>
              <w:tabs>
                <w:tab w:val="center" w:pos="4849"/>
              </w:tabs>
              <w:autoSpaceDE w:val="0"/>
              <w:spacing w:line="360" w:lineRule="auto"/>
              <w:ind w:firstLine="480"/>
              <w:rPr>
                <w:color w:val="auto"/>
                <w:sz w:val="24"/>
                <w:u w:val="none" w:color="auto"/>
              </w:rPr>
            </w:pPr>
            <w:r>
              <w:rPr>
                <w:color w:val="auto"/>
                <w:sz w:val="24"/>
                <w:u w:val="none" w:color="auto"/>
              </w:rPr>
              <w:t>最冷月平均气温                 4.4℃</w:t>
            </w:r>
          </w:p>
          <w:p>
            <w:pPr>
              <w:tabs>
                <w:tab w:val="center" w:pos="4849"/>
              </w:tabs>
              <w:autoSpaceDE w:val="0"/>
              <w:spacing w:line="360" w:lineRule="auto"/>
              <w:ind w:firstLine="480"/>
              <w:rPr>
                <w:color w:val="auto"/>
                <w:sz w:val="24"/>
                <w:u w:val="none" w:color="auto"/>
              </w:rPr>
            </w:pPr>
            <w:r>
              <w:rPr>
                <w:color w:val="auto"/>
                <w:sz w:val="24"/>
                <w:u w:val="none" w:color="auto"/>
              </w:rPr>
              <w:t>极端最高气温                   38.4℃</w:t>
            </w:r>
          </w:p>
          <w:p>
            <w:pPr>
              <w:tabs>
                <w:tab w:val="center" w:pos="4849"/>
              </w:tabs>
              <w:autoSpaceDE w:val="0"/>
              <w:spacing w:line="360" w:lineRule="auto"/>
              <w:ind w:firstLine="480"/>
              <w:rPr>
                <w:color w:val="auto"/>
                <w:sz w:val="24"/>
                <w:u w:val="none" w:color="auto"/>
              </w:rPr>
            </w:pPr>
            <w:r>
              <w:rPr>
                <w:color w:val="auto"/>
                <w:sz w:val="24"/>
                <w:u w:val="none" w:color="auto"/>
              </w:rPr>
              <w:t>极端最低气温                   -12.0℃</w:t>
            </w:r>
          </w:p>
          <w:p>
            <w:pPr>
              <w:tabs>
                <w:tab w:val="center" w:pos="4849"/>
              </w:tabs>
              <w:autoSpaceDE w:val="0"/>
              <w:spacing w:line="360" w:lineRule="auto"/>
              <w:ind w:firstLine="480"/>
              <w:rPr>
                <w:color w:val="auto"/>
                <w:sz w:val="24"/>
                <w:u w:val="none" w:color="auto"/>
              </w:rPr>
            </w:pPr>
            <w:r>
              <w:rPr>
                <w:color w:val="auto"/>
                <w:sz w:val="24"/>
                <w:u w:val="none" w:color="auto"/>
              </w:rPr>
              <w:t>年总降水量                     1410.8mm</w:t>
            </w:r>
          </w:p>
          <w:p>
            <w:pPr>
              <w:tabs>
                <w:tab w:val="center" w:pos="4849"/>
              </w:tabs>
              <w:autoSpaceDE w:val="0"/>
              <w:spacing w:line="360" w:lineRule="auto"/>
              <w:ind w:firstLine="480"/>
              <w:rPr>
                <w:color w:val="auto"/>
                <w:sz w:val="24"/>
                <w:u w:val="none" w:color="auto"/>
              </w:rPr>
            </w:pPr>
            <w:r>
              <w:rPr>
                <w:color w:val="auto"/>
                <w:sz w:val="24"/>
                <w:u w:val="none" w:color="auto"/>
              </w:rPr>
              <w:t>年总日照                       1610.5h</w:t>
            </w:r>
          </w:p>
          <w:p>
            <w:pPr>
              <w:spacing w:line="360" w:lineRule="auto"/>
              <w:ind w:firstLine="480"/>
              <w:rPr>
                <w:color w:val="auto"/>
                <w:sz w:val="24"/>
                <w:u w:val="none" w:color="auto"/>
              </w:rPr>
            </w:pPr>
            <w:r>
              <w:rPr>
                <w:color w:val="auto"/>
                <w:sz w:val="24"/>
                <w:u w:val="none" w:color="auto"/>
              </w:rPr>
              <w:t>年总辐射量                     1410.4千卡/平方厘米</w:t>
            </w:r>
          </w:p>
          <w:p>
            <w:pPr>
              <w:spacing w:line="360" w:lineRule="auto"/>
              <w:ind w:firstLine="480"/>
              <w:rPr>
                <w:bCs/>
                <w:color w:val="auto"/>
                <w:sz w:val="24"/>
                <w:u w:val="none" w:color="auto"/>
              </w:rPr>
            </w:pPr>
            <w:r>
              <w:rPr>
                <w:bCs/>
                <w:color w:val="auto"/>
                <w:sz w:val="24"/>
                <w:u w:val="none" w:color="auto"/>
              </w:rPr>
              <w:t>年主导风向                     西北风</w:t>
            </w:r>
          </w:p>
          <w:p>
            <w:pPr>
              <w:spacing w:line="360" w:lineRule="auto"/>
              <w:ind w:firstLine="480"/>
              <w:rPr>
                <w:bCs/>
                <w:color w:val="auto"/>
                <w:sz w:val="24"/>
                <w:u w:val="none" w:color="auto"/>
              </w:rPr>
            </w:pPr>
            <w:r>
              <w:rPr>
                <w:color w:val="auto"/>
                <w:sz w:val="24"/>
                <w:u w:val="none" w:color="auto"/>
              </w:rPr>
              <w:t>年平均风速                     2.5m/s</w:t>
            </w:r>
          </w:p>
          <w:p>
            <w:pPr>
              <w:tabs>
                <w:tab w:val="center" w:pos="4849"/>
              </w:tabs>
              <w:autoSpaceDE w:val="0"/>
              <w:spacing w:line="360" w:lineRule="auto"/>
              <w:ind w:firstLine="480"/>
              <w:rPr>
                <w:color w:val="auto"/>
                <w:sz w:val="24"/>
                <w:u w:val="none" w:color="auto"/>
              </w:rPr>
            </w:pPr>
            <w:r>
              <w:rPr>
                <w:color w:val="auto"/>
                <w:sz w:val="24"/>
                <w:u w:val="none" w:color="auto"/>
              </w:rPr>
              <w:t>年相对湿度                     81%</w:t>
            </w:r>
          </w:p>
          <w:p>
            <w:pPr>
              <w:spacing w:line="360" w:lineRule="auto"/>
              <w:ind w:firstLine="480"/>
              <w:rPr>
                <w:bCs/>
                <w:color w:val="auto"/>
                <w:sz w:val="24"/>
                <w:u w:val="none" w:color="auto"/>
              </w:rPr>
            </w:pPr>
            <w:r>
              <w:rPr>
                <w:bCs/>
                <w:color w:val="auto"/>
                <w:sz w:val="24"/>
                <w:u w:val="none" w:color="auto"/>
              </w:rPr>
              <w:t>年平均降雨量                   1383毫米</w:t>
            </w:r>
          </w:p>
          <w:p>
            <w:pPr>
              <w:spacing w:line="360" w:lineRule="auto"/>
              <w:ind w:firstLine="480"/>
              <w:rPr>
                <w:bCs/>
                <w:color w:val="auto"/>
                <w:sz w:val="24"/>
                <w:u w:val="none" w:color="auto"/>
              </w:rPr>
            </w:pPr>
            <w:r>
              <w:rPr>
                <w:color w:val="auto"/>
                <w:sz w:val="24"/>
                <w:u w:val="none" w:color="auto"/>
              </w:rPr>
              <w:t>年总蒸发量                     1329.4mm</w:t>
            </w:r>
          </w:p>
          <w:p>
            <w:pPr>
              <w:spacing w:line="360" w:lineRule="auto"/>
              <w:ind w:firstLine="480"/>
              <w:rPr>
                <w:color w:val="auto"/>
                <w:sz w:val="24"/>
                <w:u w:val="none" w:color="auto"/>
              </w:rPr>
            </w:pPr>
            <w:r>
              <w:rPr>
                <w:color w:val="auto"/>
                <w:sz w:val="24"/>
                <w:u w:val="none" w:color="auto"/>
              </w:rPr>
              <w:t>全年无霜期                     274天</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4、水文</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位于湘江尾闾，洞庭湖滨。湘阴地区江湖甚多，水域面积占总面积的42%左右，河流主要有湘江、资江和白水江等，其直流纵横，河网密布，湖泊星罗棋布。湘资两水在湘阴县内流经长度达250余公里，内江流经长度70余公里，计有外湖81个，内湖78个，塘堰3372个，水坝2249座，主要外湖有横岭湖、团林湖、淳湖和荷叶湖等，主要内湖有鹤龙湖、洋沙湖、范家坝、白洋湖和南湖垸哑河等。水域面积98.56万多亩，占全县总面积的41.56%以上，为养殖、捕捞、灌溉、航运、工业用水提供了十分充裕的水源。</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区域地表水发达，主要水系有洋沙湖、白水江、资江、湘江。本项目纳污水体为湘江。湘江是我省的最大河流，其发源于湖南省永州市蓝山县紫良瑶族乡蓝山国家森林公园的野狗岭，流经湖南省永州市、衡阳市、株洲市、湘潭市、长沙市，至岳阳市的湘阴县注入长江水系的洞庭湖，于城陵矶入长江，全长856km。湘江江面宽500～1500m，一般水深6～15m，河床多砂砾石且坡度平缓，河水流速慢。其流量分平、洪、丰、枯四个水期，有明显的季节变化，洪水期多出现在5～7月，枯水期多出现在12～翌年2月。湘江是湘阴县的一条景观河流和主要供水水源，保护好湘江水环境质量，是保证湘阴县可持续发展战略的重要因素之一。</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项目所在区域湘江主要水文参数如下：</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年平均水位                    27.31m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平均最高水位                  36.65m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平均最低水位                  23.25m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历史最高洪峰水位              37.37m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平均径流深                    7.76m</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年平均流量                    2131m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平均最大流量                  12900m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平均最小流量                  248m</w:t>
            </w:r>
            <w:r>
              <w:rPr>
                <w:rFonts w:hint="eastAsia" w:hAnsi="宋体"/>
                <w:bCs/>
                <w:color w:val="auto"/>
                <w:sz w:val="24"/>
                <w:u w:val="none" w:color="auto"/>
                <w:vertAlign w:val="superscript"/>
              </w:rPr>
              <w:t>3</w:t>
            </w:r>
            <w:r>
              <w:rPr>
                <w:rFonts w:hint="eastAsia" w:hAnsi="宋体"/>
                <w:bCs/>
                <w:color w:val="auto"/>
                <w:sz w:val="24"/>
                <w:u w:val="none" w:color="auto"/>
              </w:rPr>
              <w:t>/s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最大流速                      2.6m/s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年平均流速                    0.45m/s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 xml:space="preserve">枯水期平均流速              </w:t>
            </w:r>
            <w:r>
              <w:rPr>
                <w:rFonts w:hAnsi="宋体"/>
                <w:bCs/>
                <w:color w:val="auto"/>
                <w:sz w:val="24"/>
                <w:u w:val="none" w:color="auto"/>
              </w:rPr>
              <w:t xml:space="preserve"> </w:t>
            </w:r>
            <w:r>
              <w:rPr>
                <w:rFonts w:hint="eastAsia" w:hAnsi="宋体"/>
                <w:bCs/>
                <w:color w:val="auto"/>
                <w:sz w:val="24"/>
                <w:u w:val="none" w:color="auto"/>
              </w:rPr>
              <w:t xml:space="preserve"> 0.18m/s</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按《湖南省主要水系地表水环境功能区划》（DB43/023—2005），从湘江长沙段下游至湘阴的水环境功能区划为：①沩水河北口端至湘阴樟树港的22.5km为渔业用水区，执行Ⅲ类水质标准。②樟树港至浩河口的7.4km为渔业用水区，执行Ⅲ类水质标准。③浩河口至洋沙湖上游1000m（东支）5.2km为二级水源保护区，执行Ⅲ类水质标准。④洋沙湖上游1000m至下游200m（东支）1.2km为湘阴县一级水源保护区，执行Ⅱ类水质标准。⑤洋沙湖下游200m至磊石（东支）62.7km为渔业用水区，执行Ⅲ类水质标准。</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 xml:space="preserve">5、植被与生物 </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湘阴县农业生物资源极为丰富，全县有以水稻、红薯为主的11种粮食作物，有以茶叶、棉花、藠头为主的15种经济作物，有以芦苇、湘莲为主的10余种水生经济作物，有以松、杉、樟、柳为主的228个树种，有以青、草、鲢、鳙、鲤和湘去鲫(鲤)为主的114个鱼类品种，有以猪、牛、山羊、鸡、鸭、鹅为主的9个畜禽种类。</w:t>
            </w:r>
          </w:p>
          <w:p>
            <w:pPr>
              <w:snapToGrid w:val="0"/>
              <w:spacing w:line="360" w:lineRule="auto"/>
              <w:ind w:firstLine="453" w:firstLineChars="196"/>
              <w:rPr>
                <w:rFonts w:hAnsi="宋体"/>
                <w:bCs/>
                <w:color w:val="auto"/>
                <w:sz w:val="24"/>
                <w:u w:val="none" w:color="auto"/>
              </w:rPr>
            </w:pPr>
            <w:r>
              <w:rPr>
                <w:rFonts w:hint="eastAsia" w:hAnsi="宋体"/>
                <w:bCs/>
                <w:color w:val="auto"/>
                <w:sz w:val="24"/>
                <w:u w:val="none" w:color="auto"/>
              </w:rPr>
              <w:t>全县山林24万亩，林业用地占陆地面积的16%，森林覆盖率为12.5%，用林主要分布在东部低山岗地。其中杉木基地分布在界头铺、玉华、长康等乡镇的低山地带及六塘、石塘乡部分岗地。长康等乡镇部分岗地。防护林主要分布在西部平原。从外地引进的意大利杨和美国松分别植于北部湖洲上和东部山岗区，引进的树种生长茂盛，大有发展前途。境内多珍奇生物，珍稀树种有银杏、枫香、杜仲等30余种，珍禽异兽有鹿、獐、獾、锦鸡、鸳鸯等。珍贵的鱼有中华鲟、白鲟、银鱼、胭脂鱼、非洲鲫等，还有特种水产甲鱼、乌龟、泥蛙、龙虾、河蟹、贝类以及世界珍稀的白鳍豚。</w:t>
            </w:r>
          </w:p>
          <w:p>
            <w:pPr>
              <w:snapToGrid w:val="0"/>
              <w:spacing w:line="360" w:lineRule="auto"/>
              <w:ind w:firstLine="480"/>
              <w:rPr>
                <w:rFonts w:hAnsi="宋体"/>
                <w:color w:val="auto"/>
                <w:sz w:val="24"/>
                <w:szCs w:val="24"/>
                <w:u w:val="none" w:color="auto"/>
              </w:rPr>
            </w:pPr>
            <w:r>
              <w:rPr>
                <w:rFonts w:hint="eastAsia" w:hAnsi="宋体"/>
                <w:color w:val="auto"/>
                <w:sz w:val="24"/>
                <w:szCs w:val="24"/>
                <w:u w:val="none" w:color="auto"/>
              </w:rPr>
              <w:t>项目区受人类活动的影响较大，人为开发程度高，工程区土壤主要为板、页岩发育的红壤、黄壤；因人类活动，原始植被已遭破坏，残存仅有少数壳丰科及樟科的常绿阔叶林和次生马尾松林，被覆地表的主要是人造的用材林、经济林、及栽培农作物，如油茶林、果木林、杉木林等，林下植被有灌木及茅草等；陆生动物主要为一些小型的啮齿类动物、两栖类动物、昆虫及一些常见鸟类。</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根据实地调查，评价区域内无名胜古迹、风景名胜区、文物保护区等需要特殊保护的目标，无需特殊保护的珍稀动植物。</w:t>
            </w:r>
          </w:p>
          <w:p>
            <w:pPr>
              <w:adjustRightInd w:val="0"/>
              <w:snapToGrid w:val="0"/>
              <w:spacing w:line="360" w:lineRule="auto"/>
              <w:ind w:firstLine="462" w:firstLineChars="200"/>
              <w:rPr>
                <w:b/>
                <w:color w:val="auto"/>
                <w:sz w:val="24"/>
                <w:u w:val="none" w:color="auto"/>
              </w:rPr>
            </w:pPr>
            <w:r>
              <w:rPr>
                <w:color w:val="auto"/>
                <w:sz w:val="24"/>
                <w:u w:val="none" w:color="auto"/>
              </w:rPr>
              <w:t>本项目所在地环境功能属性见表</w:t>
            </w:r>
            <w:r>
              <w:rPr>
                <w:rFonts w:hint="eastAsia"/>
                <w:color w:val="auto"/>
                <w:sz w:val="24"/>
                <w:u w:val="none" w:color="auto"/>
                <w:lang w:val="en-US" w:eastAsia="zh-CN"/>
              </w:rPr>
              <w:t>2-1</w:t>
            </w:r>
            <w:r>
              <w:rPr>
                <w:color w:val="auto"/>
                <w:sz w:val="24"/>
                <w:u w:val="none" w:color="auto"/>
              </w:rPr>
              <w:t>：</w:t>
            </w:r>
          </w:p>
          <w:p>
            <w:pPr>
              <w:snapToGrid w:val="0"/>
              <w:spacing w:line="360" w:lineRule="auto"/>
              <w:ind w:firstLine="462" w:firstLineChars="200"/>
              <w:jc w:val="center"/>
              <w:rPr>
                <w:b/>
                <w:color w:val="auto"/>
                <w:sz w:val="24"/>
                <w:u w:val="none" w:color="auto"/>
              </w:rPr>
            </w:pPr>
            <w:r>
              <w:rPr>
                <w:b/>
                <w:color w:val="auto"/>
                <w:sz w:val="24"/>
                <w:u w:val="none" w:color="auto"/>
              </w:rPr>
              <w:t>表</w:t>
            </w:r>
            <w:r>
              <w:rPr>
                <w:rFonts w:hint="eastAsia"/>
                <w:b/>
                <w:color w:val="auto"/>
                <w:sz w:val="24"/>
                <w:u w:val="none" w:color="auto"/>
                <w:lang w:val="en-US" w:eastAsia="zh-CN"/>
              </w:rPr>
              <w:t>2-1</w:t>
            </w:r>
            <w:r>
              <w:rPr>
                <w:b/>
                <w:color w:val="auto"/>
                <w:sz w:val="24"/>
                <w:u w:val="none" w:color="auto"/>
              </w:rPr>
              <w:t xml:space="preserve"> 本区域环境功能区划</w:t>
            </w:r>
          </w:p>
          <w:tbl>
            <w:tblPr>
              <w:tblStyle w:val="40"/>
              <w:tblW w:w="9032"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957"/>
              <w:gridCol w:w="2910"/>
              <w:gridCol w:w="51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编号</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项目</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功能属性及执行标准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水环境功能区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湘江执行《地表水环境质量标准》</w:t>
                  </w:r>
                </w:p>
                <w:p>
                  <w:pPr>
                    <w:adjustRightInd w:val="0"/>
                    <w:snapToGrid w:val="0"/>
                    <w:spacing w:line="360" w:lineRule="auto"/>
                    <w:jc w:val="center"/>
                    <w:rPr>
                      <w:color w:val="auto"/>
                      <w:szCs w:val="21"/>
                      <w:u w:val="none" w:color="auto"/>
                    </w:rPr>
                  </w:pPr>
                  <w:r>
                    <w:rPr>
                      <w:color w:val="auto"/>
                      <w:szCs w:val="21"/>
                      <w:u w:val="none" w:color="auto"/>
                    </w:rPr>
                    <w:t>（G</w:t>
                  </w:r>
                  <w:r>
                    <w:rPr>
                      <w:rFonts w:hint="eastAsia"/>
                      <w:color w:val="auto"/>
                      <w:szCs w:val="21"/>
                      <w:u w:val="none" w:color="auto"/>
                      <w:lang w:val="en-US" w:eastAsia="zh-CN"/>
                    </w:rPr>
                    <w:t>B</w:t>
                  </w:r>
                  <w:r>
                    <w:rPr>
                      <w:color w:val="auto"/>
                      <w:szCs w:val="21"/>
                      <w:u w:val="none" w:color="auto"/>
                    </w:rPr>
                    <w:t>3838-2002）Ⅲ类标准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环境空气质量功能区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二类区，环境空气质量执行《环境空气质量标准》</w:t>
                  </w:r>
                </w:p>
                <w:p>
                  <w:pPr>
                    <w:adjustRightInd w:val="0"/>
                    <w:snapToGrid w:val="0"/>
                    <w:spacing w:line="360" w:lineRule="auto"/>
                    <w:jc w:val="center"/>
                    <w:rPr>
                      <w:color w:val="auto"/>
                      <w:szCs w:val="21"/>
                      <w:u w:val="none" w:color="auto"/>
                    </w:rPr>
                  </w:pPr>
                  <w:r>
                    <w:rPr>
                      <w:color w:val="auto"/>
                      <w:szCs w:val="21"/>
                      <w:u w:val="none" w:color="auto"/>
                    </w:rPr>
                    <w:t>（GB3095-2012）中的二级标准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声环境功能区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执行《声环境质量标准》</w:t>
                  </w:r>
                </w:p>
                <w:p>
                  <w:pPr>
                    <w:adjustRightInd w:val="0"/>
                    <w:snapToGrid w:val="0"/>
                    <w:spacing w:line="360" w:lineRule="auto"/>
                    <w:jc w:val="center"/>
                    <w:rPr>
                      <w:color w:val="auto"/>
                      <w:szCs w:val="21"/>
                      <w:u w:val="none" w:color="auto"/>
                    </w:rPr>
                  </w:pPr>
                  <w:r>
                    <w:rPr>
                      <w:color w:val="auto"/>
                      <w:szCs w:val="21"/>
                      <w:u w:val="none" w:color="auto"/>
                    </w:rPr>
                    <w:t>（GB3096-2008）</w:t>
                  </w:r>
                  <w:r>
                    <w:rPr>
                      <w:rFonts w:hint="eastAsia"/>
                      <w:color w:val="auto"/>
                      <w:szCs w:val="21"/>
                      <w:u w:val="none" w:color="auto"/>
                      <w:lang w:val="en-US" w:eastAsia="zh-CN"/>
                    </w:rPr>
                    <w:t>3</w:t>
                  </w:r>
                  <w:r>
                    <w:rPr>
                      <w:color w:val="auto"/>
                      <w:szCs w:val="21"/>
                      <w:u w:val="none" w:color="auto"/>
                    </w:rPr>
                    <w:t>类环境噪声限值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4</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是否基本农田保护区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5</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是否森林公园</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6</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是否生态功能保护区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7</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是否水土流失重点防治区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8</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是否人口密集区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9</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是否重点文物保护单位</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10</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是否三河、三湖、两控区</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color w:val="auto"/>
                      <w:szCs w:val="21"/>
                      <w:u w:val="none" w:color="auto"/>
                    </w:rPr>
                    <w:t>两控区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11</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是否水库库区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12</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是否污水处理厂集水范围</w:t>
                  </w:r>
                </w:p>
              </w:tc>
              <w:tc>
                <w:tcPr>
                  <w:tcW w:w="5165" w:type="dxa"/>
                  <w:noWrap w:val="0"/>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是（湘阴县第二污水处理厂）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7" w:type="dxa"/>
                  <w:noWrap w:val="0"/>
                  <w:vAlign w:val="center"/>
                </w:tcPr>
                <w:p>
                  <w:pPr>
                    <w:adjustRightInd w:val="0"/>
                    <w:snapToGrid w:val="0"/>
                    <w:spacing w:line="360" w:lineRule="auto"/>
                    <w:jc w:val="center"/>
                    <w:rPr>
                      <w:color w:val="auto"/>
                      <w:szCs w:val="21"/>
                      <w:u w:val="none" w:color="auto"/>
                    </w:rPr>
                  </w:pPr>
                  <w:r>
                    <w:rPr>
                      <w:color w:val="auto"/>
                      <w:szCs w:val="21"/>
                      <w:u w:val="none" w:color="auto"/>
                    </w:rPr>
                    <w:t>13</w:t>
                  </w:r>
                </w:p>
              </w:tc>
              <w:tc>
                <w:tcPr>
                  <w:tcW w:w="2910" w:type="dxa"/>
                  <w:noWrap w:val="0"/>
                  <w:vAlign w:val="center"/>
                </w:tcPr>
                <w:p>
                  <w:pPr>
                    <w:adjustRightInd w:val="0"/>
                    <w:snapToGrid w:val="0"/>
                    <w:spacing w:line="360" w:lineRule="auto"/>
                    <w:jc w:val="center"/>
                    <w:rPr>
                      <w:color w:val="auto"/>
                      <w:szCs w:val="21"/>
                      <w:u w:val="none" w:color="auto"/>
                    </w:rPr>
                  </w:pPr>
                  <w:r>
                    <w:rPr>
                      <w:color w:val="auto"/>
                      <w:szCs w:val="21"/>
                      <w:u w:val="none" w:color="auto"/>
                    </w:rPr>
                    <w:t>是否属于生态敏感与脆弱区</w:t>
                  </w:r>
                </w:p>
              </w:tc>
              <w:tc>
                <w:tcPr>
                  <w:tcW w:w="5165" w:type="dxa"/>
                  <w:noWrap w:val="0"/>
                  <w:vAlign w:val="center"/>
                </w:tcPr>
                <w:p>
                  <w:pPr>
                    <w:adjustRightInd w:val="0"/>
                    <w:snapToGrid w:val="0"/>
                    <w:spacing w:line="360" w:lineRule="auto"/>
                    <w:jc w:val="center"/>
                    <w:rPr>
                      <w:color w:val="auto"/>
                      <w:szCs w:val="21"/>
                      <w:u w:val="none" w:color="auto"/>
                    </w:rPr>
                  </w:pPr>
                  <w:r>
                    <w:rPr>
                      <w:color w:val="auto"/>
                      <w:szCs w:val="21"/>
                      <w:u w:val="none" w:color="auto"/>
                    </w:rPr>
                    <w:t>否</w:t>
                  </w:r>
                </w:p>
              </w:tc>
            </w:tr>
          </w:tbl>
          <w:p>
            <w:pPr>
              <w:rPr>
                <w:color w:val="auto"/>
                <w:u w:val="none" w:color="auto"/>
              </w:rPr>
            </w:pPr>
          </w:p>
        </w:tc>
      </w:tr>
    </w:tbl>
    <w:p>
      <w:pPr>
        <w:snapToGrid w:val="0"/>
        <w:textAlignment w:val="baseline"/>
        <w:outlineLvl w:val="0"/>
        <w:rPr>
          <w:rFonts w:eastAsia="黑体"/>
          <w:color w:val="auto"/>
          <w:sz w:val="32"/>
          <w:u w:val="none" w:color="auto"/>
        </w:rPr>
      </w:pPr>
      <w:r>
        <w:rPr>
          <w:rFonts w:eastAsia="黑体"/>
          <w:color w:val="auto"/>
          <w:sz w:val="32"/>
          <w:u w:val="none" w:color="auto"/>
        </w:rPr>
        <w:br w:type="page"/>
      </w:r>
      <w:bookmarkStart w:id="2" w:name="_Toc24291"/>
      <w:r>
        <w:rPr>
          <w:rFonts w:hint="eastAsia" w:eastAsia="黑体"/>
          <w:color w:val="auto"/>
          <w:sz w:val="32"/>
          <w:u w:val="none" w:color="auto"/>
        </w:rPr>
        <w:t>三、</w:t>
      </w:r>
      <w:r>
        <w:rPr>
          <w:rFonts w:eastAsia="黑体"/>
          <w:color w:val="auto"/>
          <w:sz w:val="32"/>
          <w:u w:val="none" w:color="auto"/>
        </w:rPr>
        <w:t>环境质量状况</w:t>
      </w:r>
      <w:bookmarkEnd w:id="2"/>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11" w:hRule="atLeast"/>
          <w:jc w:val="center"/>
        </w:trPr>
        <w:tc>
          <w:tcPr>
            <w:tcW w:w="9268" w:type="dxa"/>
            <w:vAlign w:val="center"/>
          </w:tcPr>
          <w:p>
            <w:pPr>
              <w:snapToGrid w:val="0"/>
              <w:spacing w:before="162" w:beforeLines="50" w:line="360" w:lineRule="auto"/>
              <w:rPr>
                <w:rFonts w:ascii="宋体" w:hAnsi="宋体"/>
                <w:b/>
                <w:bCs/>
                <w:color w:val="auto"/>
                <w:sz w:val="24"/>
                <w:szCs w:val="24"/>
                <w:u w:val="none" w:color="auto"/>
              </w:rPr>
            </w:pPr>
            <w:r>
              <w:rPr>
                <w:rFonts w:hint="eastAsia" w:ascii="宋体" w:hAnsi="宋体"/>
                <w:b/>
                <w:bCs/>
                <w:color w:val="auto"/>
                <w:sz w:val="24"/>
                <w:szCs w:val="24"/>
                <w:u w:val="none" w:color="auto"/>
              </w:rPr>
              <w:t>建设项目所在地区域环境质量现状及主要环境问题(环境空气、地面水、声环境</w:t>
            </w:r>
            <w:r>
              <w:rPr>
                <w:rFonts w:hint="eastAsia" w:ascii="宋体" w:hAnsi="宋体"/>
                <w:b/>
                <w:bCs/>
                <w:color w:val="auto"/>
                <w:sz w:val="24"/>
                <w:szCs w:val="24"/>
                <w:u w:val="none" w:color="auto"/>
                <w:lang w:eastAsia="zh-CN"/>
              </w:rPr>
              <w:t>、地下水</w:t>
            </w:r>
            <w:r>
              <w:rPr>
                <w:rFonts w:hint="eastAsia" w:ascii="宋体" w:hAnsi="宋体"/>
                <w:b/>
                <w:bCs/>
                <w:color w:val="auto"/>
                <w:sz w:val="24"/>
                <w:szCs w:val="24"/>
                <w:u w:val="none" w:color="auto"/>
              </w:rPr>
              <w:t>、生态环境等)：</w:t>
            </w:r>
          </w:p>
          <w:p>
            <w:pPr>
              <w:spacing w:line="360" w:lineRule="auto"/>
              <w:ind w:firstLine="231" w:firstLineChars="100"/>
              <w:rPr>
                <w:rFonts w:hint="default"/>
                <w:color w:val="auto"/>
                <w:u w:val="none" w:color="auto"/>
              </w:rPr>
            </w:pPr>
            <w:r>
              <w:rPr>
                <w:rFonts w:hint="default" w:ascii="Times New Roman" w:hAnsi="Times New Roman" w:cs="Times New Roman"/>
                <w:b/>
                <w:bCs/>
                <w:color w:val="auto"/>
                <w:sz w:val="24"/>
                <w:szCs w:val="24"/>
                <w:u w:val="none" w:color="auto"/>
              </w:rPr>
              <w:t>3.1环境空气质量现状</w:t>
            </w:r>
          </w:p>
          <w:p>
            <w:pPr>
              <w:pStyle w:val="179"/>
              <w:spacing w:before="124" w:line="360" w:lineRule="auto"/>
              <w:ind w:right="77"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依据《</w:t>
            </w:r>
            <w:r>
              <w:rPr>
                <w:rFonts w:hint="eastAsia"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环境空气质量功能区划》，项目所在区域执行《环境空气质量标准》（GB3095-2012）的二级标准。</w:t>
            </w:r>
          </w:p>
          <w:p>
            <w:pPr>
              <w:pStyle w:val="179"/>
              <w:spacing w:before="124" w:line="360" w:lineRule="auto"/>
              <w:ind w:right="77" w:firstLine="462" w:firstLineChars="200"/>
              <w:jc w:val="left"/>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rPr>
              <w:t>根据《环境影响评价技术导则-大气环境》（HJ2.2-2018）中“6.2.1.1 项目所在区域达标判定，优先采用国家或生态环境主管部门发布的平均基准年环境质量公告或环境质量报告中的数据或结论”，基本因子采用</w:t>
            </w:r>
            <w:r>
              <w:rPr>
                <w:rFonts w:hint="eastAsia" w:ascii="Times New Roman" w:hAnsi="Times New Roman" w:cs="Times New Roman"/>
                <w:color w:val="auto"/>
                <w:sz w:val="24"/>
                <w:szCs w:val="24"/>
                <w:u w:val="none" w:color="auto"/>
                <w:lang w:eastAsia="zh-CN"/>
              </w:rPr>
              <w:t>湘阴县环保</w:t>
            </w:r>
            <w:r>
              <w:rPr>
                <w:rFonts w:hint="default" w:ascii="Times New Roman" w:hAnsi="Times New Roman" w:cs="Times New Roman"/>
                <w:color w:val="auto"/>
                <w:sz w:val="24"/>
                <w:szCs w:val="24"/>
                <w:u w:val="none" w:color="auto"/>
              </w:rPr>
              <w:t>局发布的</w:t>
            </w:r>
            <w:r>
              <w:rPr>
                <w:rFonts w:hint="eastAsia"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rPr>
              <w:t>环境空气质量情况进行评价，</w:t>
            </w:r>
            <w:r>
              <w:rPr>
                <w:rFonts w:hint="default" w:ascii="Times New Roman" w:hAnsi="Times New Roman" w:cs="Times New Roman"/>
                <w:color w:val="auto"/>
                <w:sz w:val="24"/>
                <w:szCs w:val="24"/>
                <w:u w:val="none" w:color="auto"/>
                <w:lang w:eastAsia="zh-CN"/>
              </w:rPr>
              <w:t>本次环评引用</w:t>
            </w:r>
            <w:r>
              <w:rPr>
                <w:rFonts w:hint="eastAsia"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lang w:eastAsia="zh-CN"/>
              </w:rPr>
              <w:t>监测站对</w:t>
            </w:r>
            <w:r>
              <w:rPr>
                <w:rFonts w:hint="eastAsia" w:ascii="Times New Roman" w:hAnsi="Times New Roman" w:cs="Times New Roman"/>
                <w:color w:val="auto"/>
                <w:sz w:val="24"/>
                <w:szCs w:val="24"/>
                <w:u w:val="none" w:color="auto"/>
                <w:lang w:eastAsia="zh-CN"/>
              </w:rPr>
              <w:t>湘阴县</w:t>
            </w:r>
            <w:r>
              <w:rPr>
                <w:rFonts w:hint="default" w:ascii="Times New Roman" w:hAnsi="Times New Roman" w:cs="Times New Roman"/>
                <w:color w:val="auto"/>
                <w:sz w:val="24"/>
                <w:szCs w:val="24"/>
                <w:u w:val="none" w:color="auto"/>
                <w:lang w:eastAsia="zh-CN"/>
              </w:rPr>
              <w:t>监测点</w:t>
            </w:r>
            <w:r>
              <w:rPr>
                <w:rFonts w:hint="default" w:ascii="Times New Roman" w:hAnsi="Times New Roman" w:cs="Times New Roman"/>
                <w:color w:val="auto"/>
                <w:sz w:val="24"/>
                <w:szCs w:val="24"/>
                <w:u w:val="none" w:color="auto"/>
              </w:rPr>
              <w:t>2018年环境空气质量监测统计见下表 3-</w:t>
            </w:r>
            <w:r>
              <w:rPr>
                <w:rFonts w:hint="eastAsia"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环境空气质量监测结果统计表</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2018年</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 xml:space="preserve">  单位：mg/m</w:t>
            </w:r>
            <w:r>
              <w:rPr>
                <w:rFonts w:hint="default" w:ascii="Times New Roman" w:hAnsi="Times New Roman" w:cs="Times New Roman"/>
                <w:color w:val="auto"/>
                <w:sz w:val="24"/>
                <w:szCs w:val="24"/>
                <w:u w:val="none" w:color="auto"/>
                <w:vertAlign w:val="superscript"/>
              </w:rPr>
              <w:t>3</w:t>
            </w:r>
          </w:p>
          <w:tbl>
            <w:tblPr>
              <w:tblStyle w:val="40"/>
              <w:tblW w:w="905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57"/>
              <w:gridCol w:w="1359"/>
              <w:gridCol w:w="1863"/>
              <w:gridCol w:w="2128"/>
              <w:gridCol w:w="1178"/>
              <w:gridCol w:w="11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5" w:hRule="atLeast"/>
              </w:trPr>
              <w:tc>
                <w:tcPr>
                  <w:tcW w:w="1357"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监测点位</w:t>
                  </w: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监测因子</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年平均浓度</w:t>
                  </w:r>
                </w:p>
              </w:tc>
              <w:tc>
                <w:tcPr>
                  <w:tcW w:w="212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占标率</w:t>
                  </w:r>
                  <w:r>
                    <w:rPr>
                      <w:rFonts w:hint="default" w:ascii="Times New Roman" w:hAnsi="Times New Roman" w:cs="Times New Roman"/>
                      <w:color w:val="auto"/>
                      <w:sz w:val="22"/>
                      <w:szCs w:val="22"/>
                      <w:u w:val="none" w:color="auto"/>
                      <w:lang w:eastAsia="zh-CN"/>
                    </w:rPr>
                    <w:t>（</w:t>
                  </w:r>
                  <w:r>
                    <w:rPr>
                      <w:rFonts w:hint="eastAsia"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lang w:eastAsia="zh-CN"/>
                    </w:rPr>
                    <w:t>）</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标准值</w:t>
                  </w:r>
                </w:p>
              </w:tc>
              <w:tc>
                <w:tcPr>
                  <w:tcW w:w="1167"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5" w:hRule="atLeast"/>
              </w:trPr>
              <w:tc>
                <w:tcPr>
                  <w:tcW w:w="1357" w:type="dxa"/>
                  <w:vMerge w:val="restart"/>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lang w:eastAsia="zh-CN"/>
                    </w:rPr>
                    <w:t>常规</w:t>
                  </w:r>
                </w:p>
                <w:p>
                  <w:pPr>
                    <w:pStyle w:val="179"/>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监测点</w:t>
                  </w: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SO</w:t>
                  </w:r>
                  <w:r>
                    <w:rPr>
                      <w:rFonts w:hint="default" w:ascii="Times New Roman" w:hAnsi="Times New Roman" w:cs="Times New Roman"/>
                      <w:color w:val="auto"/>
                      <w:sz w:val="22"/>
                      <w:szCs w:val="22"/>
                      <w:u w:val="none" w:color="auto"/>
                      <w:vertAlign w:val="subscript"/>
                      <w:lang w:val="en-US" w:eastAsia="zh-CN"/>
                    </w:rPr>
                    <w:t>2</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0.008</w:t>
                  </w:r>
                </w:p>
              </w:tc>
              <w:tc>
                <w:tcPr>
                  <w:tcW w:w="212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13.33</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0.06</w:t>
                  </w:r>
                </w:p>
              </w:tc>
              <w:tc>
                <w:tcPr>
                  <w:tcW w:w="116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5" w:hRule="atLeast"/>
              </w:trPr>
              <w:tc>
                <w:tcPr>
                  <w:tcW w:w="1357"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NO</w:t>
                  </w:r>
                  <w:r>
                    <w:rPr>
                      <w:rFonts w:hint="default" w:ascii="Times New Roman" w:hAnsi="Times New Roman" w:cs="Times New Roman"/>
                      <w:color w:val="auto"/>
                      <w:sz w:val="22"/>
                      <w:szCs w:val="22"/>
                      <w:u w:val="none" w:color="auto"/>
                      <w:vertAlign w:val="subscript"/>
                      <w:lang w:val="en-US" w:eastAsia="zh-CN"/>
                    </w:rPr>
                    <w:t>2</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0.018</w:t>
                  </w:r>
                </w:p>
              </w:tc>
              <w:tc>
                <w:tcPr>
                  <w:tcW w:w="212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45</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0.0</w:t>
                  </w:r>
                  <w:r>
                    <w:rPr>
                      <w:rFonts w:hint="eastAsia" w:ascii="Times New Roman" w:hAnsi="Times New Roman" w:cs="Times New Roman"/>
                      <w:color w:val="auto"/>
                      <w:sz w:val="22"/>
                      <w:szCs w:val="22"/>
                      <w:u w:val="none" w:color="auto"/>
                      <w:lang w:val="en-US" w:eastAsia="zh-CN"/>
                    </w:rPr>
                    <w:t>4</w:t>
                  </w:r>
                </w:p>
              </w:tc>
              <w:tc>
                <w:tcPr>
                  <w:tcW w:w="116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2" w:hRule="atLeast"/>
              </w:trPr>
              <w:tc>
                <w:tcPr>
                  <w:tcW w:w="1357"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w:t>
                  </w:r>
                  <w:r>
                    <w:rPr>
                      <w:rFonts w:hint="default" w:ascii="Times New Roman" w:hAnsi="Times New Roman" w:cs="Times New Roman"/>
                      <w:color w:val="auto"/>
                      <w:sz w:val="22"/>
                      <w:szCs w:val="22"/>
                      <w:u w:val="none" w:color="auto"/>
                      <w:vertAlign w:val="subscript"/>
                      <w:lang w:val="en-US" w:eastAsia="zh-CN"/>
                    </w:rPr>
                    <w:t>10</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0.054</w:t>
                  </w:r>
                </w:p>
              </w:tc>
              <w:tc>
                <w:tcPr>
                  <w:tcW w:w="212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77.14</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0</w:t>
                  </w:r>
                  <w:r>
                    <w:rPr>
                      <w:rFonts w:hint="eastAsia" w:ascii="Times New Roman" w:hAnsi="Times New Roman" w:cs="Times New Roman"/>
                      <w:color w:val="auto"/>
                      <w:sz w:val="22"/>
                      <w:szCs w:val="22"/>
                      <w:u w:val="none" w:color="auto"/>
                      <w:lang w:val="en-US" w:eastAsia="zh-CN"/>
                    </w:rPr>
                    <w:t>.070</w:t>
                  </w:r>
                </w:p>
              </w:tc>
              <w:tc>
                <w:tcPr>
                  <w:tcW w:w="116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5" w:hRule="atLeast"/>
              </w:trPr>
              <w:tc>
                <w:tcPr>
                  <w:tcW w:w="1357"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CO</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0.800</w:t>
                  </w:r>
                </w:p>
              </w:tc>
              <w:tc>
                <w:tcPr>
                  <w:tcW w:w="212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20</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4</w:t>
                  </w:r>
                </w:p>
              </w:tc>
              <w:tc>
                <w:tcPr>
                  <w:tcW w:w="116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5" w:hRule="atLeast"/>
              </w:trPr>
              <w:tc>
                <w:tcPr>
                  <w:tcW w:w="1357"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O</w:t>
                  </w:r>
                  <w:r>
                    <w:rPr>
                      <w:rFonts w:hint="default" w:ascii="Times New Roman" w:hAnsi="Times New Roman" w:cs="Times New Roman"/>
                      <w:color w:val="auto"/>
                      <w:sz w:val="22"/>
                      <w:szCs w:val="22"/>
                      <w:u w:val="none" w:color="auto"/>
                      <w:vertAlign w:val="subscript"/>
                      <w:lang w:val="en-US" w:eastAsia="zh-CN"/>
                    </w:rPr>
                    <w:t>3</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0.091</w:t>
                  </w:r>
                </w:p>
              </w:tc>
              <w:tc>
                <w:tcPr>
                  <w:tcW w:w="212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56.88</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0.16</w:t>
                  </w:r>
                </w:p>
              </w:tc>
              <w:tc>
                <w:tcPr>
                  <w:tcW w:w="116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97" w:hRule="atLeast"/>
              </w:trPr>
              <w:tc>
                <w:tcPr>
                  <w:tcW w:w="1357"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59"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w:t>
                  </w:r>
                  <w:r>
                    <w:rPr>
                      <w:rFonts w:hint="default" w:ascii="Times New Roman" w:hAnsi="Times New Roman" w:cs="Times New Roman"/>
                      <w:color w:val="auto"/>
                      <w:sz w:val="22"/>
                      <w:szCs w:val="22"/>
                      <w:u w:val="none" w:color="auto"/>
                      <w:vertAlign w:val="subscript"/>
                      <w:lang w:val="en-US" w:eastAsia="zh-CN"/>
                    </w:rPr>
                    <w:t>2.5</w:t>
                  </w:r>
                </w:p>
              </w:tc>
              <w:tc>
                <w:tcPr>
                  <w:tcW w:w="1863"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0.039</w:t>
                  </w:r>
                </w:p>
              </w:tc>
              <w:tc>
                <w:tcPr>
                  <w:tcW w:w="212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111.43</w:t>
                  </w:r>
                </w:p>
              </w:tc>
              <w:tc>
                <w:tcPr>
                  <w:tcW w:w="1178" w:type="dxa"/>
                  <w:tcBorders>
                    <w:tl2br w:val="nil"/>
                    <w:tr2bl w:val="nil"/>
                  </w:tcBorders>
                  <w:noWrap w:val="0"/>
                  <w:vAlign w:val="center"/>
                </w:tcPr>
                <w:p>
                  <w:pPr>
                    <w:pStyle w:val="179"/>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0.035</w:t>
                  </w:r>
                </w:p>
              </w:tc>
              <w:tc>
                <w:tcPr>
                  <w:tcW w:w="1167"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eastAsia="zh-CN"/>
                    </w:rPr>
                    <w:t>不达标</w:t>
                  </w:r>
                </w:p>
              </w:tc>
            </w:tr>
          </w:tbl>
          <w:p>
            <w:pPr>
              <w:pStyle w:val="37"/>
              <w:keepNext w:val="0"/>
              <w:keepLines w:val="0"/>
              <w:widowControl/>
              <w:suppressLineNumbers w:val="0"/>
              <w:spacing w:before="0" w:beforeAutospacing="0" w:after="0" w:afterAutospacing="0" w:line="360" w:lineRule="auto"/>
              <w:ind w:left="0" w:right="0" w:firstLine="420"/>
              <w:jc w:val="both"/>
              <w:rPr>
                <w:rFonts w:hint="default" w:ascii="Times New Roman" w:hAnsi="Times New Roman" w:cs="Times New Roman"/>
                <w:color w:val="auto"/>
                <w:sz w:val="24"/>
                <w:szCs w:val="24"/>
                <w:u w:val="none" w:color="auto"/>
                <w:lang w:val="en-US" w:eastAsia="zh-CN"/>
              </w:rPr>
            </w:pPr>
            <w:bookmarkStart w:id="3" w:name="OLE_LINK3"/>
            <w:r>
              <w:rPr>
                <w:rFonts w:hint="default" w:ascii="Times New Roman" w:hAnsi="Times New Roman" w:eastAsia="宋体" w:cs="Times New Roman"/>
                <w:iCs/>
                <w:color w:val="auto"/>
                <w:kern w:val="0"/>
                <w:sz w:val="24"/>
                <w:szCs w:val="24"/>
                <w:u w:val="none" w:color="auto"/>
                <w:lang w:val="en-US" w:eastAsia="zh-CN" w:bidi="ar-SA"/>
              </w:rPr>
              <w:t>从上表可知，</w:t>
            </w:r>
            <w:r>
              <w:rPr>
                <w:rFonts w:hint="eastAsia" w:ascii="Times New Roman" w:hAnsi="Times New Roman" w:cs="Times New Roman"/>
                <w:iCs/>
                <w:color w:val="auto"/>
                <w:kern w:val="0"/>
                <w:sz w:val="24"/>
                <w:szCs w:val="24"/>
                <w:u w:val="none" w:color="auto"/>
                <w:lang w:val="en-US" w:eastAsia="zh-CN" w:bidi="ar-SA"/>
              </w:rPr>
              <w:t>大部分</w:t>
            </w:r>
            <w:r>
              <w:rPr>
                <w:rFonts w:hint="default" w:ascii="Times New Roman" w:hAnsi="Times New Roman" w:eastAsia="宋体" w:cs="Times New Roman"/>
                <w:iCs/>
                <w:color w:val="auto"/>
                <w:kern w:val="0"/>
                <w:sz w:val="24"/>
                <w:szCs w:val="24"/>
                <w:u w:val="none" w:color="auto"/>
                <w:lang w:val="en-US" w:eastAsia="zh-CN" w:bidi="ar-SA"/>
              </w:rPr>
              <w:t>监测因子均达到《环境空气质量标准》（GB3095-2012）中二级标准要求，PM</w:t>
            </w:r>
            <w:r>
              <w:rPr>
                <w:rFonts w:hint="default" w:ascii="Times New Roman" w:hAnsi="Times New Roman" w:eastAsia="宋体" w:cs="Times New Roman"/>
                <w:iCs/>
                <w:color w:val="auto"/>
                <w:kern w:val="0"/>
                <w:sz w:val="24"/>
                <w:szCs w:val="24"/>
                <w:u w:val="none" w:color="auto"/>
                <w:vertAlign w:val="subscript"/>
                <w:lang w:val="en-US" w:eastAsia="zh-CN" w:bidi="ar-SA"/>
              </w:rPr>
              <w:t>2.5</w:t>
            </w:r>
            <w:r>
              <w:rPr>
                <w:rFonts w:hint="default" w:ascii="Times New Roman" w:hAnsi="Times New Roman" w:eastAsia="宋体" w:cs="Times New Roman"/>
                <w:iCs/>
                <w:color w:val="auto"/>
                <w:kern w:val="0"/>
                <w:sz w:val="24"/>
                <w:szCs w:val="24"/>
                <w:u w:val="none" w:color="auto"/>
                <w:lang w:val="en-US" w:eastAsia="zh-CN" w:bidi="ar-SA"/>
              </w:rPr>
              <w:t xml:space="preserve"> </w:t>
            </w:r>
            <w:r>
              <w:rPr>
                <w:rFonts w:hint="eastAsia" w:ascii="Times New Roman" w:hAnsi="Times New Roman" w:cs="Times New Roman"/>
                <w:iCs/>
                <w:color w:val="auto"/>
                <w:kern w:val="0"/>
                <w:sz w:val="24"/>
                <w:szCs w:val="24"/>
                <w:u w:val="none" w:color="auto"/>
                <w:lang w:val="en-US" w:eastAsia="zh-CN" w:bidi="ar-SA"/>
              </w:rPr>
              <w:t>年平均浓度超标</w:t>
            </w:r>
            <w:r>
              <w:rPr>
                <w:rFonts w:hint="default" w:ascii="Times New Roman" w:hAnsi="Times New Roman" w:eastAsia="宋体" w:cs="Times New Roman"/>
                <w:iCs/>
                <w:color w:val="auto"/>
                <w:kern w:val="0"/>
                <w:sz w:val="24"/>
                <w:szCs w:val="24"/>
                <w:u w:val="none" w:color="auto"/>
                <w:lang w:val="en-US" w:eastAsia="zh-CN" w:bidi="ar-SA"/>
              </w:rPr>
              <w:t>倍</w:t>
            </w:r>
            <w:r>
              <w:rPr>
                <w:rFonts w:hint="eastAsia" w:ascii="Times New Roman" w:hAnsi="Times New Roman" w:cs="Times New Roman"/>
                <w:iCs/>
                <w:color w:val="auto"/>
                <w:kern w:val="0"/>
                <w:sz w:val="24"/>
                <w:szCs w:val="24"/>
                <w:u w:val="none" w:color="auto"/>
                <w:lang w:val="en-US" w:eastAsia="zh-CN" w:bidi="ar-SA"/>
              </w:rPr>
              <w:t>数为0.11</w:t>
            </w:r>
            <w:r>
              <w:rPr>
                <w:rFonts w:hint="default" w:ascii="Times New Roman" w:hAnsi="Times New Roman" w:eastAsia="宋体" w:cs="Times New Roman"/>
                <w:iCs/>
                <w:color w:val="auto"/>
                <w:kern w:val="0"/>
                <w:sz w:val="24"/>
                <w:szCs w:val="24"/>
                <w:u w:val="none" w:color="auto"/>
                <w:lang w:val="en-US" w:eastAsia="zh-CN" w:bidi="ar-SA"/>
              </w:rPr>
              <w:t>。项目所在区域目前环境空气一般，颗粒物是首要的污染因子，主要受区内各企业生产、以及区内大规模基础设施建设及各工地施工建设扬尘影响，因此</w:t>
            </w:r>
            <w:r>
              <w:rPr>
                <w:rFonts w:hint="eastAsia" w:ascii="Times New Roman" w:hAnsi="Times New Roman" w:cs="Times New Roman"/>
                <w:iCs/>
                <w:color w:val="auto"/>
                <w:kern w:val="0"/>
                <w:sz w:val="24"/>
                <w:szCs w:val="24"/>
                <w:u w:val="none" w:color="auto"/>
                <w:lang w:val="en-US" w:eastAsia="zh-CN" w:bidi="ar-SA"/>
              </w:rPr>
              <w:t>湘阴县在采取产业和能源结构调整措施、大气污染防治等一系列措施后，可使项目所在区域环境达到国家相关标准</w:t>
            </w:r>
            <w:r>
              <w:rPr>
                <w:rFonts w:hint="default" w:ascii="Times New Roman" w:hAnsi="Times New Roman" w:cs="Times New Roman"/>
                <w:color w:val="auto"/>
                <w:sz w:val="24"/>
                <w:szCs w:val="24"/>
                <w:u w:val="none" w:color="auto"/>
                <w:lang w:val="en-US" w:eastAsia="zh-CN"/>
              </w:rPr>
              <w:t>。</w:t>
            </w:r>
            <w:bookmarkEnd w:id="3"/>
          </w:p>
          <w:p>
            <w:pPr>
              <w:spacing w:line="360" w:lineRule="auto"/>
              <w:ind w:firstLine="462" w:firstLineChars="200"/>
              <w:rPr>
                <w:rFonts w:hint="default" w:ascii="Times New Roman" w:hAnsi="Times New Roman"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为了进一步了解</w:t>
            </w:r>
            <w:r>
              <w:rPr>
                <w:rFonts w:hint="eastAsia" w:cs="Times New Roman"/>
                <w:color w:val="auto"/>
                <w:sz w:val="24"/>
                <w:szCs w:val="24"/>
                <w:u w:val="none" w:color="auto"/>
                <w:lang w:eastAsia="zh-CN"/>
              </w:rPr>
              <w:t>项目所在地</w:t>
            </w:r>
            <w:r>
              <w:rPr>
                <w:rFonts w:hint="default" w:ascii="Times New Roman" w:hAnsi="Times New Roman" w:cs="Times New Roman"/>
                <w:color w:val="auto"/>
                <w:sz w:val="24"/>
                <w:szCs w:val="24"/>
                <w:u w:val="none" w:color="auto"/>
                <w:lang w:eastAsia="zh-CN"/>
              </w:rPr>
              <w:t>环境空气质量（本项目特征污染物“</w:t>
            </w:r>
            <w:r>
              <w:rPr>
                <w:rFonts w:hint="default" w:ascii="Times New Roman" w:hAnsi="Times New Roman" w:cs="Times New Roman"/>
                <w:color w:val="auto"/>
                <w:sz w:val="24"/>
                <w:szCs w:val="24"/>
                <w:u w:val="none" w:color="auto"/>
                <w:lang w:val="en-US" w:eastAsia="zh-CN"/>
              </w:rPr>
              <w:t>TVOC</w:t>
            </w:r>
            <w:r>
              <w:rPr>
                <w:rFonts w:hint="default" w:ascii="Times New Roman" w:hAnsi="Times New Roman" w:cs="Times New Roman"/>
                <w:color w:val="auto"/>
                <w:sz w:val="24"/>
                <w:szCs w:val="24"/>
                <w:u w:val="none" w:color="auto"/>
                <w:lang w:eastAsia="zh-CN"/>
              </w:rPr>
              <w:t>”）的情况，本环评</w:t>
            </w:r>
            <w:r>
              <w:rPr>
                <w:rFonts w:hint="eastAsia" w:ascii="Times New Roman" w:hAnsi="Times New Roman" w:cs="Times New Roman"/>
                <w:color w:val="auto"/>
                <w:sz w:val="24"/>
                <w:szCs w:val="24"/>
                <w:u w:val="none" w:color="auto"/>
                <w:lang w:eastAsia="zh-CN"/>
              </w:rPr>
              <w:t>引用了位于本项目东北面70</w:t>
            </w:r>
            <w:r>
              <w:rPr>
                <w:rFonts w:hint="eastAsia" w:ascii="Times New Roman" w:hAnsi="Times New Roman" w:cs="Times New Roman"/>
                <w:color w:val="auto"/>
                <w:sz w:val="24"/>
                <w:szCs w:val="24"/>
                <w:u w:val="none" w:color="auto"/>
                <w:lang w:val="en-US" w:eastAsia="zh-CN"/>
              </w:rPr>
              <w:t>0</w:t>
            </w:r>
            <w:r>
              <w:rPr>
                <w:rFonts w:hint="eastAsia" w:ascii="Times New Roman" w:hAnsi="Times New Roman" w:cs="Times New Roman"/>
                <w:color w:val="auto"/>
                <w:sz w:val="24"/>
                <w:szCs w:val="24"/>
                <w:u w:val="none" w:color="auto"/>
                <w:lang w:eastAsia="zh-CN"/>
              </w:rPr>
              <w:t>米处《湖南世杰铭涛展览展示有限公司年加工50套展台建设项目》委托</w:t>
            </w:r>
            <w:r>
              <w:rPr>
                <w:rFonts w:hint="default" w:ascii="Times New Roman" w:hAnsi="Times New Roman" w:cs="Times New Roman"/>
                <w:color w:val="auto"/>
                <w:sz w:val="24"/>
                <w:szCs w:val="24"/>
                <w:u w:val="none" w:color="auto"/>
                <w:lang w:eastAsia="zh-CN"/>
              </w:rPr>
              <w:t>湖南永蓝检测技术股份有限公司</w:t>
            </w:r>
            <w:r>
              <w:rPr>
                <w:rFonts w:hint="eastAsia" w:ascii="Times New Roman" w:hAnsi="Times New Roman" w:cs="Times New Roman"/>
                <w:color w:val="auto"/>
                <w:sz w:val="24"/>
                <w:szCs w:val="24"/>
                <w:u w:val="none" w:color="auto"/>
                <w:lang w:eastAsia="zh-CN"/>
              </w:rPr>
              <w:t>于2017年10月26日~11月01日</w:t>
            </w:r>
            <w:r>
              <w:rPr>
                <w:rFonts w:hint="default" w:ascii="Times New Roman" w:hAnsi="Times New Roman" w:cs="Times New Roman"/>
                <w:color w:val="auto"/>
                <w:sz w:val="24"/>
                <w:szCs w:val="24"/>
                <w:u w:val="none" w:color="auto"/>
                <w:lang w:eastAsia="zh-CN"/>
              </w:rPr>
              <w:t>对周边</w:t>
            </w:r>
            <w:r>
              <w:rPr>
                <w:rFonts w:hint="eastAsia" w:ascii="Times New Roman" w:hAnsi="Times New Roman" w:cs="Times New Roman"/>
                <w:color w:val="auto"/>
                <w:sz w:val="24"/>
                <w:szCs w:val="24"/>
                <w:u w:val="none" w:color="auto"/>
                <w:lang w:eastAsia="zh-CN"/>
              </w:rPr>
              <w:t>区域</w:t>
            </w:r>
            <w:r>
              <w:rPr>
                <w:rFonts w:hint="default" w:ascii="Times New Roman" w:hAnsi="Times New Roman" w:cs="Times New Roman"/>
                <w:color w:val="auto"/>
                <w:sz w:val="24"/>
                <w:szCs w:val="24"/>
                <w:u w:val="none" w:color="auto"/>
                <w:lang w:eastAsia="zh-CN"/>
              </w:rPr>
              <w:t>现状监测的数据</w:t>
            </w:r>
            <w:r>
              <w:rPr>
                <w:rFonts w:hint="eastAsia"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eastAsia="zh-CN"/>
              </w:rPr>
              <w:t>监测布点：</w:t>
            </w:r>
            <w:r>
              <w:rPr>
                <w:rFonts w:hint="eastAsia" w:ascii="Times New Roman" w:hAnsi="Times New Roman" w:cs="Times New Roman"/>
                <w:color w:val="auto"/>
                <w:sz w:val="24"/>
                <w:szCs w:val="24"/>
                <w:u w:val="none" w:color="auto"/>
                <w:lang w:eastAsia="zh-CN"/>
              </w:rPr>
              <w:t>监测点位G</w:t>
            </w:r>
            <w:r>
              <w:rPr>
                <w:rFonts w:hint="default" w:ascii="Times New Roman" w:hAnsi="Times New Roman" w:cs="Times New Roman"/>
                <w:color w:val="auto"/>
                <w:sz w:val="24"/>
                <w:szCs w:val="24"/>
                <w:u w:val="none" w:color="auto"/>
                <w:lang w:eastAsia="zh-CN"/>
              </w:rPr>
              <w:t>1</w:t>
            </w:r>
            <w:r>
              <w:rPr>
                <w:rFonts w:hint="eastAsia" w:ascii="Times New Roman" w:hAnsi="Times New Roman" w:cs="Times New Roman"/>
                <w:color w:val="auto"/>
                <w:sz w:val="24"/>
                <w:szCs w:val="24"/>
                <w:u w:val="none" w:color="auto"/>
                <w:lang w:eastAsia="zh-CN"/>
              </w:rPr>
              <w:t>项目所在地上风向743m处长坡垄居民点</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G</w:t>
            </w:r>
            <w:r>
              <w:rPr>
                <w:rFonts w:hint="default" w:ascii="Times New Roman" w:hAnsi="Times New Roman" w:cs="Times New Roman"/>
                <w:color w:val="auto"/>
                <w:sz w:val="24"/>
                <w:szCs w:val="24"/>
                <w:u w:val="none" w:color="auto"/>
                <w:lang w:eastAsia="zh-CN"/>
              </w:rPr>
              <w:t>2项目所在地</w:t>
            </w:r>
            <w:r>
              <w:rPr>
                <w:rFonts w:hint="eastAsia" w:ascii="Times New Roman" w:hAnsi="Times New Roman" w:cs="Times New Roman"/>
                <w:color w:val="auto"/>
                <w:sz w:val="24"/>
                <w:szCs w:val="24"/>
                <w:u w:val="none" w:color="auto"/>
                <w:lang w:eastAsia="zh-CN"/>
              </w:rPr>
              <w:t>侧风向802m处</w:t>
            </w:r>
            <w:r>
              <w:rPr>
                <w:rFonts w:hint="default" w:ascii="Times New Roman" w:hAnsi="Times New Roman" w:cs="Times New Roman"/>
                <w:color w:val="auto"/>
                <w:sz w:val="24"/>
                <w:szCs w:val="24"/>
                <w:u w:val="none" w:color="auto"/>
                <w:lang w:eastAsia="zh-CN"/>
              </w:rPr>
              <w:t>；</w:t>
            </w:r>
            <w:r>
              <w:rPr>
                <w:rFonts w:hint="eastAsia" w:ascii="Times New Roman" w:hAnsi="Times New Roman" w:cs="Times New Roman"/>
                <w:color w:val="auto"/>
                <w:sz w:val="24"/>
                <w:szCs w:val="24"/>
                <w:u w:val="none" w:color="auto"/>
                <w:lang w:eastAsia="zh-CN"/>
              </w:rPr>
              <w:t>G</w:t>
            </w:r>
            <w:r>
              <w:rPr>
                <w:rFonts w:hint="default" w:ascii="Times New Roman" w:hAnsi="Times New Roman" w:cs="Times New Roman"/>
                <w:color w:val="auto"/>
                <w:sz w:val="24"/>
                <w:szCs w:val="24"/>
                <w:u w:val="none" w:color="auto"/>
                <w:lang w:eastAsia="zh-CN"/>
              </w:rPr>
              <w:t>3</w:t>
            </w:r>
            <w:r>
              <w:rPr>
                <w:rFonts w:hint="eastAsia" w:ascii="Times New Roman" w:hAnsi="Times New Roman" w:cs="Times New Roman"/>
                <w:color w:val="auto"/>
                <w:sz w:val="24"/>
                <w:szCs w:val="24"/>
                <w:u w:val="none" w:color="auto"/>
                <w:lang w:eastAsia="zh-CN"/>
              </w:rPr>
              <w:t>项目所在地下风向1038m处戴家垄居民点）</w:t>
            </w:r>
            <w:r>
              <w:rPr>
                <w:rFonts w:hint="default" w:ascii="Times New Roman" w:hAnsi="Times New Roman" w:cs="Times New Roman"/>
                <w:color w:val="auto"/>
                <w:sz w:val="24"/>
                <w:szCs w:val="24"/>
                <w:u w:val="none" w:color="auto"/>
                <w:lang w:eastAsia="zh-CN"/>
              </w:rPr>
              <w:t>，监测结果见下表</w:t>
            </w:r>
            <w:r>
              <w:rPr>
                <w:rFonts w:hint="eastAsia" w:ascii="Times New Roman" w:hAnsi="Times New Roman" w:cs="Times New Roman"/>
                <w:color w:val="auto"/>
                <w:sz w:val="24"/>
                <w:szCs w:val="24"/>
                <w:u w:val="none" w:color="auto"/>
                <w:lang w:val="en-US" w:eastAsia="zh-CN"/>
              </w:rPr>
              <w:t>3-2</w:t>
            </w:r>
            <w:r>
              <w:rPr>
                <w:rFonts w:hint="default" w:ascii="Times New Roman" w:hAnsi="Times New Roman" w:cs="Times New Roman"/>
                <w:color w:val="auto"/>
                <w:sz w:val="24"/>
                <w:szCs w:val="24"/>
                <w:u w:val="none" w:color="auto"/>
                <w:lang w:eastAsia="zh-CN"/>
              </w:rPr>
              <w:t>。</w:t>
            </w:r>
          </w:p>
          <w:p>
            <w:pPr>
              <w:spacing w:line="360" w:lineRule="auto"/>
              <w:jc w:val="center"/>
              <w:rPr>
                <w:rFonts w:hint="default" w:ascii="Times New Roman" w:hAnsi="Times New Roman" w:cs="Times New Roman"/>
                <w:b/>
                <w:color w:val="auto"/>
                <w:szCs w:val="21"/>
                <w:u w:val="none" w:color="auto"/>
              </w:rPr>
            </w:pPr>
            <w:r>
              <w:rPr>
                <w:rFonts w:hint="default" w:ascii="Times New Roman" w:hAnsi="Times New Roman" w:cs="Times New Roman"/>
                <w:b/>
                <w:color w:val="auto"/>
                <w:szCs w:val="21"/>
                <w:u w:val="none" w:color="auto"/>
              </w:rPr>
              <w:t>表</w:t>
            </w:r>
            <w:r>
              <w:rPr>
                <w:rFonts w:hint="eastAsia" w:ascii="Times New Roman" w:hAnsi="Times New Roman" w:cs="Times New Roman"/>
                <w:b/>
                <w:color w:val="auto"/>
                <w:szCs w:val="21"/>
                <w:u w:val="none" w:color="auto"/>
                <w:lang w:val="en-US" w:eastAsia="zh-CN"/>
              </w:rPr>
              <w:t>3-</w:t>
            </w:r>
            <w:r>
              <w:rPr>
                <w:rFonts w:hint="eastAsia" w:cs="Times New Roman"/>
                <w:b/>
                <w:color w:val="auto"/>
                <w:szCs w:val="21"/>
                <w:u w:val="none" w:color="auto"/>
                <w:lang w:val="en-US" w:eastAsia="zh-CN"/>
              </w:rPr>
              <w:t>2</w:t>
            </w:r>
            <w:r>
              <w:rPr>
                <w:rFonts w:hint="default" w:ascii="Times New Roman" w:hAnsi="Times New Roman" w:cs="Times New Roman"/>
                <w:b/>
                <w:color w:val="auto"/>
                <w:szCs w:val="21"/>
                <w:u w:val="none" w:color="auto"/>
              </w:rPr>
              <w:t xml:space="preserve">    环境空气污染物分指数统计</w:t>
            </w:r>
          </w:p>
          <w:tbl>
            <w:tblPr>
              <w:tblStyle w:val="4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3687"/>
              <w:gridCol w:w="37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noWrap w:val="0"/>
                  <w:vAlign w:val="center"/>
                </w:tcPr>
                <w:p>
                  <w:pPr>
                    <w:pStyle w:val="184"/>
                    <w:spacing w:line="360" w:lineRule="auto"/>
                    <w:rPr>
                      <w:sz w:val="22"/>
                      <w:szCs w:val="22"/>
                      <w:u w:val="none" w:color="auto"/>
                    </w:rPr>
                  </w:pPr>
                  <w:r>
                    <w:rPr>
                      <w:sz w:val="22"/>
                      <w:szCs w:val="22"/>
                      <w:u w:val="none" w:color="auto"/>
                    </w:rPr>
                    <w:t>监测点</w:t>
                  </w:r>
                </w:p>
              </w:tc>
              <w:tc>
                <w:tcPr>
                  <w:tcW w:w="2043" w:type="pct"/>
                  <w:noWrap w:val="0"/>
                  <w:vAlign w:val="center"/>
                </w:tcPr>
                <w:p>
                  <w:pPr>
                    <w:pStyle w:val="184"/>
                    <w:spacing w:line="360" w:lineRule="auto"/>
                    <w:rPr>
                      <w:sz w:val="22"/>
                      <w:szCs w:val="22"/>
                      <w:u w:val="none" w:color="auto"/>
                    </w:rPr>
                  </w:pPr>
                  <w:r>
                    <w:rPr>
                      <w:sz w:val="22"/>
                      <w:szCs w:val="22"/>
                      <w:u w:val="none" w:color="auto"/>
                    </w:rPr>
                    <w:t>项目</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TVOC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sz w:val="22"/>
                      <w:szCs w:val="22"/>
                      <w:u w:val="none" w:color="auto"/>
                    </w:rPr>
                  </w:pPr>
                  <w:r>
                    <w:rPr>
                      <w:rFonts w:hint="eastAsia"/>
                      <w:sz w:val="22"/>
                      <w:szCs w:val="22"/>
                      <w:u w:val="none" w:color="auto"/>
                    </w:rPr>
                    <w:t>G</w:t>
                  </w:r>
                  <w:r>
                    <w:rPr>
                      <w:sz w:val="22"/>
                      <w:szCs w:val="22"/>
                      <w:u w:val="none" w:color="auto"/>
                    </w:rPr>
                    <w:t>1</w:t>
                  </w:r>
                </w:p>
              </w:tc>
              <w:tc>
                <w:tcPr>
                  <w:tcW w:w="2043" w:type="pct"/>
                  <w:noWrap w:val="0"/>
                  <w:vAlign w:val="center"/>
                </w:tcPr>
                <w:p>
                  <w:pPr>
                    <w:pStyle w:val="184"/>
                    <w:spacing w:line="360" w:lineRule="auto"/>
                    <w:rPr>
                      <w:sz w:val="22"/>
                      <w:szCs w:val="22"/>
                      <w:u w:val="none" w:color="auto"/>
                    </w:rPr>
                  </w:pPr>
                  <w:r>
                    <w:rPr>
                      <w:sz w:val="22"/>
                      <w:szCs w:val="22"/>
                      <w:u w:val="none" w:color="auto"/>
                    </w:rPr>
                    <w:t>浓度范围</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0.0020~0.0031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超标率（%）</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最大超标倍数</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sz w:val="22"/>
                      <w:szCs w:val="22"/>
                      <w:u w:val="none" w:color="auto"/>
                    </w:rPr>
                  </w:pPr>
                  <w:r>
                    <w:rPr>
                      <w:rFonts w:hint="eastAsia"/>
                      <w:sz w:val="22"/>
                      <w:szCs w:val="22"/>
                      <w:u w:val="none" w:color="auto"/>
                    </w:rPr>
                    <w:t>G</w:t>
                  </w:r>
                  <w:r>
                    <w:rPr>
                      <w:sz w:val="22"/>
                      <w:szCs w:val="22"/>
                      <w:u w:val="none" w:color="auto"/>
                    </w:rPr>
                    <w:t>2</w:t>
                  </w:r>
                </w:p>
              </w:tc>
              <w:tc>
                <w:tcPr>
                  <w:tcW w:w="2043" w:type="pct"/>
                  <w:noWrap w:val="0"/>
                  <w:vAlign w:val="center"/>
                </w:tcPr>
                <w:p>
                  <w:pPr>
                    <w:pStyle w:val="184"/>
                    <w:spacing w:line="360" w:lineRule="auto"/>
                    <w:rPr>
                      <w:sz w:val="22"/>
                      <w:szCs w:val="22"/>
                      <w:u w:val="none" w:color="auto"/>
                    </w:rPr>
                  </w:pPr>
                  <w:r>
                    <w:rPr>
                      <w:sz w:val="22"/>
                      <w:szCs w:val="22"/>
                      <w:u w:val="none" w:color="auto"/>
                    </w:rPr>
                    <w:t>浓度范围</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0.012~0.0132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超标率（%）</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最大超标倍数</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restart"/>
                  <w:noWrap w:val="0"/>
                  <w:vAlign w:val="center"/>
                </w:tcPr>
                <w:p>
                  <w:pPr>
                    <w:pStyle w:val="184"/>
                    <w:spacing w:line="360" w:lineRule="auto"/>
                    <w:rPr>
                      <w:sz w:val="22"/>
                      <w:szCs w:val="22"/>
                      <w:u w:val="none" w:color="auto"/>
                    </w:rPr>
                  </w:pPr>
                  <w:r>
                    <w:rPr>
                      <w:rFonts w:hint="eastAsia"/>
                      <w:sz w:val="22"/>
                      <w:szCs w:val="22"/>
                      <w:u w:val="none" w:color="auto"/>
                    </w:rPr>
                    <w:t>G</w:t>
                  </w:r>
                  <w:r>
                    <w:rPr>
                      <w:sz w:val="22"/>
                      <w:szCs w:val="22"/>
                      <w:u w:val="none" w:color="auto"/>
                    </w:rPr>
                    <w:t>3</w:t>
                  </w:r>
                </w:p>
              </w:tc>
              <w:tc>
                <w:tcPr>
                  <w:tcW w:w="2043" w:type="pct"/>
                  <w:noWrap w:val="0"/>
                  <w:vAlign w:val="center"/>
                </w:tcPr>
                <w:p>
                  <w:pPr>
                    <w:pStyle w:val="184"/>
                    <w:spacing w:line="360" w:lineRule="auto"/>
                    <w:rPr>
                      <w:sz w:val="22"/>
                      <w:szCs w:val="22"/>
                      <w:u w:val="none" w:color="auto"/>
                    </w:rPr>
                  </w:pPr>
                  <w:r>
                    <w:rPr>
                      <w:sz w:val="22"/>
                      <w:szCs w:val="22"/>
                      <w:u w:val="none" w:color="auto"/>
                    </w:rPr>
                    <w:t>浓度范围</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0.0030~0.0046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超标率（%）</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Merge w:val="continue"/>
                  <w:noWrap w:val="0"/>
                  <w:vAlign w:val="center"/>
                </w:tcPr>
                <w:p>
                  <w:pPr>
                    <w:pStyle w:val="184"/>
                    <w:spacing w:line="360" w:lineRule="auto"/>
                    <w:rPr>
                      <w:sz w:val="22"/>
                      <w:szCs w:val="22"/>
                      <w:u w:val="none" w:color="auto"/>
                    </w:rPr>
                  </w:pPr>
                </w:p>
              </w:tc>
              <w:tc>
                <w:tcPr>
                  <w:tcW w:w="2043" w:type="pct"/>
                  <w:noWrap w:val="0"/>
                  <w:vAlign w:val="center"/>
                </w:tcPr>
                <w:p>
                  <w:pPr>
                    <w:pStyle w:val="184"/>
                    <w:spacing w:line="360" w:lineRule="auto"/>
                    <w:rPr>
                      <w:sz w:val="22"/>
                      <w:szCs w:val="22"/>
                      <w:u w:val="none" w:color="auto"/>
                    </w:rPr>
                  </w:pPr>
                  <w:r>
                    <w:rPr>
                      <w:sz w:val="22"/>
                      <w:szCs w:val="22"/>
                      <w:u w:val="none" w:color="auto"/>
                    </w:rPr>
                    <w:t>最大超标倍数</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7" w:type="pct"/>
                  <w:gridSpan w:val="2"/>
                  <w:noWrap w:val="0"/>
                  <w:vAlign w:val="center"/>
                </w:tcPr>
                <w:p>
                  <w:pPr>
                    <w:pStyle w:val="184"/>
                    <w:spacing w:line="360" w:lineRule="auto"/>
                    <w:rPr>
                      <w:sz w:val="22"/>
                      <w:szCs w:val="22"/>
                      <w:u w:val="none" w:color="auto"/>
                    </w:rPr>
                  </w:pPr>
                  <w:r>
                    <w:rPr>
                      <w:sz w:val="22"/>
                      <w:szCs w:val="22"/>
                      <w:u w:val="none" w:color="auto"/>
                    </w:rPr>
                    <w:t>标准值</w:t>
                  </w:r>
                </w:p>
              </w:tc>
              <w:tc>
                <w:tcPr>
                  <w:tcW w:w="2062" w:type="pct"/>
                  <w:noWrap w:val="0"/>
                  <w:vAlign w:val="center"/>
                </w:tcPr>
                <w:p>
                  <w:pPr>
                    <w:pStyle w:val="184"/>
                    <w:spacing w:line="360" w:lineRule="auto"/>
                    <w:rPr>
                      <w:rFonts w:hint="eastAsia"/>
                      <w:sz w:val="22"/>
                      <w:szCs w:val="22"/>
                      <w:u w:val="none" w:color="auto"/>
                    </w:rPr>
                  </w:pPr>
                  <w:r>
                    <w:rPr>
                      <w:rFonts w:hint="eastAsia"/>
                      <w:sz w:val="22"/>
                      <w:szCs w:val="22"/>
                      <w:u w:val="none" w:color="auto"/>
                    </w:rPr>
                    <w:t>0.6</w:t>
                  </w:r>
                </w:p>
              </w:tc>
            </w:tr>
          </w:tbl>
          <w:p>
            <w:pPr>
              <w:bidi w:val="0"/>
              <w:spacing w:line="360" w:lineRule="auto"/>
              <w:ind w:firstLine="693" w:firstLineChars="300"/>
              <w:rPr>
                <w:rFonts w:hint="default" w:ascii="Times New Roman" w:hAnsi="Times New Roman" w:cs="Times New Roman"/>
                <w:b/>
                <w:bCs/>
                <w:color w:val="auto"/>
                <w:sz w:val="24"/>
                <w:szCs w:val="24"/>
                <w:u w:val="none" w:color="auto"/>
              </w:rPr>
            </w:pPr>
            <w:r>
              <w:rPr>
                <w:rFonts w:hint="default" w:ascii="Times New Roman" w:hAnsi="Times New Roman" w:cs="Times New Roman"/>
                <w:color w:val="auto"/>
                <w:sz w:val="24"/>
                <w:szCs w:val="24"/>
                <w:u w:val="none" w:color="auto"/>
              </w:rPr>
              <w:t>根据上</w:t>
            </w:r>
            <w:r>
              <w:rPr>
                <w:rFonts w:hint="eastAsia" w:cs="Times New Roman"/>
                <w:color w:val="auto"/>
                <w:sz w:val="24"/>
                <w:szCs w:val="24"/>
                <w:u w:val="none" w:color="auto"/>
                <w:lang w:eastAsia="zh-CN"/>
              </w:rPr>
              <w:t>表</w:t>
            </w:r>
            <w:r>
              <w:rPr>
                <w:rFonts w:hint="default" w:ascii="Times New Roman" w:hAnsi="Times New Roman" w:cs="Times New Roman"/>
                <w:color w:val="auto"/>
                <w:sz w:val="24"/>
                <w:szCs w:val="24"/>
                <w:u w:val="none" w:color="auto"/>
              </w:rPr>
              <w:t>的监测结果表明，各监测点TVOC均符合《环境影响评价技术导则（HJ2.3-2018）》（大气环境附录D)中标准要求</w:t>
            </w:r>
            <w:r>
              <w:rPr>
                <w:rFonts w:hint="eastAsia" w:ascii="Times New Roman" w:hAnsi="Times New Roman" w:cs="Times New Roman"/>
                <w:color w:val="auto"/>
                <w:sz w:val="24"/>
                <w:szCs w:val="24"/>
                <w:u w:val="non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3.2地表水环境质量现状</w:t>
            </w:r>
          </w:p>
          <w:p>
            <w:pPr>
              <w:spacing w:line="360" w:lineRule="auto"/>
              <w:ind w:firstLine="462" w:firstLineChars="200"/>
              <w:textAlignment w:val="baseline"/>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eastAsia="zh-CN"/>
              </w:rPr>
              <w:t>本项目无水废水外排，</w:t>
            </w:r>
            <w:r>
              <w:rPr>
                <w:rFonts w:hint="default" w:ascii="Times New Roman" w:hAnsi="Times New Roman" w:cs="Times New Roman"/>
                <w:color w:val="auto"/>
                <w:sz w:val="24"/>
                <w:szCs w:val="24"/>
                <w:u w:val="none" w:color="auto"/>
              </w:rPr>
              <w:t>为了解建设项目所在地的地表水环境状况</w:t>
            </w:r>
            <w:r>
              <w:rPr>
                <w:rFonts w:hint="eastAsia" w:cs="Times New Roman"/>
                <w:color w:val="auto"/>
                <w:sz w:val="24"/>
                <w:szCs w:val="24"/>
                <w:u w:val="none" w:color="auto"/>
                <w:lang w:eastAsia="zh-CN"/>
              </w:rPr>
              <w:t>，本次环评引用</w:t>
            </w:r>
            <w:r>
              <w:rPr>
                <w:rFonts w:hint="eastAsia" w:cs="Times New Roman"/>
                <w:color w:val="auto"/>
                <w:sz w:val="24"/>
                <w:szCs w:val="24"/>
                <w:u w:val="none" w:color="auto"/>
                <w:lang w:val="en-US" w:eastAsia="zh-CN"/>
              </w:rPr>
              <w:t>2018年湘阴县环境监测站对周边水体进行监测（</w:t>
            </w:r>
            <w:r>
              <w:rPr>
                <w:bCs/>
                <w:sz w:val="24"/>
                <w:u w:val="none" w:color="auto"/>
              </w:rPr>
              <w:t>本项目西侧</w:t>
            </w:r>
            <w:r>
              <w:rPr>
                <w:rFonts w:hint="eastAsia"/>
                <w:bCs/>
                <w:sz w:val="24"/>
                <w:u w:val="none" w:color="auto"/>
                <w:lang w:val="en-US" w:eastAsia="zh-CN"/>
              </w:rPr>
              <w:t>3.5</w:t>
            </w:r>
            <w:r>
              <w:rPr>
                <w:bCs/>
                <w:sz w:val="24"/>
                <w:u w:val="none" w:color="auto"/>
              </w:rPr>
              <w:t xml:space="preserve">km 为洋沙湖，西北侧 </w:t>
            </w:r>
            <w:r>
              <w:rPr>
                <w:rFonts w:hint="eastAsia"/>
                <w:bCs/>
                <w:sz w:val="24"/>
                <w:u w:val="none" w:color="auto"/>
                <w:lang w:val="en-US" w:eastAsia="zh-CN"/>
              </w:rPr>
              <w:t>6.0</w:t>
            </w:r>
            <w:r>
              <w:rPr>
                <w:bCs/>
                <w:sz w:val="24"/>
                <w:u w:val="none" w:color="auto"/>
              </w:rPr>
              <w:t>km为湘江</w:t>
            </w:r>
            <w:r>
              <w:rPr>
                <w:rFonts w:hint="eastAsia"/>
                <w:bCs/>
                <w:sz w:val="24"/>
                <w:u w:val="none" w:color="auto"/>
                <w:lang w:eastAsia="zh-CN"/>
              </w:rPr>
              <w:t>）</w:t>
            </w:r>
            <w:r>
              <w:rPr>
                <w:rFonts w:hint="default" w:ascii="Times New Roman" w:hAnsi="Times New Roman" w:cs="Times New Roman"/>
                <w:color w:val="auto"/>
                <w:sz w:val="24"/>
                <w:szCs w:val="24"/>
                <w:u w:val="none" w:color="auto"/>
              </w:rPr>
              <w:t>具体监测情况详见下表。</w:t>
            </w:r>
          </w:p>
          <w:p>
            <w:pPr>
              <w:spacing w:line="360" w:lineRule="auto"/>
              <w:jc w:val="center"/>
              <w:rPr>
                <w:rFonts w:hint="default" w:ascii="Times New Roman" w:hAnsi="Times New Roman" w:cs="Times New Roman"/>
                <w:color w:val="auto"/>
                <w:sz w:val="20"/>
                <w:szCs w:val="20"/>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 xml:space="preserve"> </w:t>
            </w:r>
            <w:r>
              <w:rPr>
                <w:rFonts w:hint="default" w:ascii="Times New Roman" w:hAnsi="Times New Roman" w:eastAsia="宋体" w:cs="Times New Roman"/>
                <w:sz w:val="24"/>
                <w:szCs w:val="22"/>
                <w:u w:val="none" w:color="auto"/>
              </w:rPr>
              <w:t>洋沙湖湖心监测结果统计表  单位:mg/L pH除外</w:t>
            </w:r>
          </w:p>
          <w:p>
            <w:pPr>
              <w:pStyle w:val="82"/>
              <w:rPr>
                <w:rFonts w:ascii="Times New Roman"/>
                <w:u w:val="none" w:color="auto"/>
              </w:rPr>
            </w:pPr>
            <w:r>
              <w:rPr>
                <w:rFonts w:ascii="Times New Roman"/>
                <w:b/>
                <w:bCs/>
                <w:u w:val="none" w:color="auto"/>
              </w:rPr>
              <w:drawing>
                <wp:anchor distT="0" distB="0" distL="114300" distR="114300" simplePos="0" relativeHeight="1709947904" behindDoc="0" locked="0" layoutInCell="1" allowOverlap="1">
                  <wp:simplePos x="0" y="0"/>
                  <wp:positionH relativeFrom="column">
                    <wp:posOffset>-29845</wp:posOffset>
                  </wp:positionH>
                  <wp:positionV relativeFrom="paragraph">
                    <wp:posOffset>51435</wp:posOffset>
                  </wp:positionV>
                  <wp:extent cx="5814695" cy="1479550"/>
                  <wp:effectExtent l="0" t="0" r="14605" b="6350"/>
                  <wp:wrapNone/>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13"/>
                          <a:stretch>
                            <a:fillRect/>
                          </a:stretch>
                        </pic:blipFill>
                        <pic:spPr>
                          <a:xfrm>
                            <a:off x="0" y="0"/>
                            <a:ext cx="5814695" cy="1479550"/>
                          </a:xfrm>
                          <a:prstGeom prst="rect">
                            <a:avLst/>
                          </a:prstGeom>
                          <a:noFill/>
                          <a:ln>
                            <a:noFill/>
                          </a:ln>
                        </pic:spPr>
                      </pic:pic>
                    </a:graphicData>
                  </a:graphic>
                </wp:anchor>
              </w:drawing>
            </w:r>
          </w:p>
          <w:p>
            <w:pPr>
              <w:pStyle w:val="82"/>
              <w:rPr>
                <w:rFonts w:ascii="Times New Roman"/>
                <w:u w:val="none" w:color="auto"/>
              </w:rPr>
            </w:pPr>
          </w:p>
          <w:p>
            <w:pPr>
              <w:pStyle w:val="82"/>
              <w:rPr>
                <w:rFonts w:ascii="Times New Roman"/>
                <w:u w:val="none" w:color="auto"/>
              </w:rPr>
            </w:pPr>
          </w:p>
          <w:p>
            <w:pPr>
              <w:pStyle w:val="82"/>
              <w:rPr>
                <w:rFonts w:ascii="Times New Roman"/>
                <w:u w:val="none" w:color="auto"/>
              </w:rPr>
            </w:pPr>
          </w:p>
          <w:p>
            <w:pPr>
              <w:pStyle w:val="82"/>
              <w:rPr>
                <w:rFonts w:ascii="Times New Roman"/>
                <w:u w:val="none" w:color="auto"/>
              </w:rPr>
            </w:pPr>
          </w:p>
          <w:p>
            <w:pPr>
              <w:pStyle w:val="82"/>
              <w:rPr>
                <w:rFonts w:ascii="Times New Roman"/>
                <w:u w:val="none" w:color="auto"/>
              </w:rPr>
            </w:pPr>
          </w:p>
          <w:p>
            <w:pPr>
              <w:spacing w:line="360" w:lineRule="auto"/>
              <w:jc w:val="center"/>
              <w:rPr>
                <w:rFonts w:hint="default" w:ascii="Times New Roman" w:hAnsi="Times New Roman" w:cs="Times New Roman"/>
                <w:color w:val="auto"/>
                <w:sz w:val="20"/>
                <w:szCs w:val="20"/>
                <w:u w:val="none" w:color="auto"/>
              </w:rPr>
            </w:pPr>
            <w:r>
              <w:rPr>
                <w:rFonts w:hint="default" w:ascii="Times New Roman" w:hAnsi="Times New Roman" w:eastAsia="宋体" w:cs="Times New Roman"/>
                <w:sz w:val="24"/>
                <w:szCs w:val="22"/>
                <w:u w:val="none" w:color="auto"/>
              </w:rPr>
              <w:t>表</w:t>
            </w:r>
            <w:r>
              <w:rPr>
                <w:rFonts w:hint="eastAsia" w:ascii="Times New Roman" w:hAnsi="Times New Roman" w:eastAsia="宋体" w:cs="Times New Roman"/>
                <w:sz w:val="24"/>
                <w:szCs w:val="22"/>
                <w:u w:val="none" w:color="auto"/>
                <w:lang w:val="en-US" w:eastAsia="zh-CN"/>
              </w:rPr>
              <w:t>3-</w:t>
            </w:r>
            <w:r>
              <w:rPr>
                <w:rFonts w:hint="eastAsia" w:cs="Times New Roman"/>
                <w:sz w:val="24"/>
                <w:szCs w:val="22"/>
                <w:u w:val="none" w:color="auto"/>
                <w:lang w:val="en-US" w:eastAsia="zh-CN"/>
              </w:rPr>
              <w:t>4</w:t>
            </w:r>
            <w:r>
              <w:rPr>
                <w:rFonts w:hint="default" w:ascii="Times New Roman" w:hAnsi="Times New Roman" w:eastAsia="宋体" w:cs="Times New Roman"/>
                <w:sz w:val="24"/>
                <w:szCs w:val="22"/>
                <w:u w:val="none" w:color="auto"/>
              </w:rPr>
              <w:t xml:space="preserve">  </w:t>
            </w:r>
            <w:r>
              <w:rPr>
                <w:rFonts w:hint="default" w:ascii="Times New Roman" w:hAnsi="Times New Roman" w:cs="Times New Roman"/>
                <w:color w:val="auto"/>
                <w:sz w:val="24"/>
                <w:szCs w:val="24"/>
                <w:u w:val="none" w:color="auto"/>
              </w:rPr>
              <w:t>地表水环境质量现状监测结果</w:t>
            </w:r>
            <w:r>
              <w:rPr>
                <w:rFonts w:hint="eastAsia" w:cs="Times New Roman"/>
                <w:color w:val="auto"/>
                <w:sz w:val="24"/>
                <w:szCs w:val="24"/>
                <w:u w:val="none" w:color="auto"/>
                <w:lang w:eastAsia="zh-CN"/>
              </w:rPr>
              <w:t>（湘江湘阴段）</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0"/>
                <w:szCs w:val="20"/>
                <w:u w:val="none" w:color="auto"/>
              </w:rPr>
              <w:t>单位：mg/L (pH无量纲，粪大肠菌群个/L)</w:t>
            </w:r>
          </w:p>
          <w:p>
            <w:pPr>
              <w:pStyle w:val="82"/>
              <w:rPr>
                <w:rFonts w:hint="default" w:ascii="Times New Roman" w:hAnsi="Times New Roman" w:eastAsia="宋体" w:cs="Times New Roman"/>
                <w:sz w:val="24"/>
                <w:szCs w:val="22"/>
                <w:u w:val="none" w:color="auto"/>
              </w:rPr>
            </w:pPr>
            <w:r>
              <w:rPr>
                <w:rFonts w:ascii="Times New Roman"/>
                <w:b/>
                <w:bCs/>
                <w:u w:val="none" w:color="auto"/>
              </w:rPr>
              <w:drawing>
                <wp:anchor distT="0" distB="0" distL="114300" distR="114300" simplePos="0" relativeHeight="1709946880" behindDoc="0" locked="0" layoutInCell="1" allowOverlap="1">
                  <wp:simplePos x="0" y="0"/>
                  <wp:positionH relativeFrom="column">
                    <wp:posOffset>1270</wp:posOffset>
                  </wp:positionH>
                  <wp:positionV relativeFrom="paragraph">
                    <wp:posOffset>116840</wp:posOffset>
                  </wp:positionV>
                  <wp:extent cx="5734685" cy="4632325"/>
                  <wp:effectExtent l="0" t="0" r="18415" b="15875"/>
                  <wp:wrapNone/>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14"/>
                          <a:stretch>
                            <a:fillRect/>
                          </a:stretch>
                        </pic:blipFill>
                        <pic:spPr>
                          <a:xfrm>
                            <a:off x="0" y="0"/>
                            <a:ext cx="5734685" cy="4632325"/>
                          </a:xfrm>
                          <a:prstGeom prst="rect">
                            <a:avLst/>
                          </a:prstGeom>
                          <a:noFill/>
                          <a:ln>
                            <a:noFill/>
                          </a:ln>
                        </pic:spPr>
                      </pic:pic>
                    </a:graphicData>
                  </a:graphic>
                </wp:anchor>
              </w:drawing>
            </w: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rPr>
                <w:rFonts w:hint="default" w:ascii="Times New Roman" w:hAnsi="Times New Roman" w:eastAsia="宋体" w:cs="Times New Roman"/>
                <w:sz w:val="24"/>
                <w:szCs w:val="22"/>
                <w:u w:val="none" w:color="auto"/>
              </w:rPr>
            </w:pPr>
          </w:p>
          <w:p>
            <w:pPr>
              <w:pStyle w:val="82"/>
              <w:spacing w:line="360" w:lineRule="auto"/>
              <w:ind w:firstLine="462" w:firstLineChars="200"/>
              <w:jc w:val="both"/>
              <w:rPr>
                <w:bCs/>
                <w:sz w:val="24"/>
                <w:u w:val="none" w:color="auto"/>
              </w:rPr>
            </w:pPr>
          </w:p>
          <w:p>
            <w:pPr>
              <w:bidi w:val="0"/>
              <w:spacing w:line="360" w:lineRule="auto"/>
              <w:ind w:firstLine="462" w:firstLineChars="200"/>
              <w:rPr>
                <w:rFonts w:hint="eastAsia"/>
                <w:sz w:val="24"/>
                <w:szCs w:val="22"/>
                <w:u w:val="none" w:color="auto"/>
                <w:lang w:eastAsia="zh-CN"/>
              </w:rPr>
            </w:pPr>
            <w:r>
              <w:rPr>
                <w:sz w:val="24"/>
                <w:szCs w:val="22"/>
                <w:u w:val="none" w:color="auto"/>
              </w:rPr>
              <w:t>由表可知，湘江湘阴段洋沙湖断面、乌龙咀断面及洋沙湖湖心水质各项指标均达到《地表水环境质量标准》（GB3838-2002）中Ⅲ类标准，区域水质状况良好</w:t>
            </w:r>
            <w:r>
              <w:rPr>
                <w:rFonts w:hint="eastAsia"/>
                <w:sz w:val="24"/>
                <w:szCs w:val="22"/>
                <w:u w:val="none" w:color="auto"/>
                <w:lang w:eastAsia="zh-CN"/>
              </w:rPr>
              <w:t>。</w:t>
            </w:r>
          </w:p>
          <w:p>
            <w:pPr>
              <w:spacing w:line="360" w:lineRule="auto"/>
              <w:rPr>
                <w:rFonts w:hint="default" w:ascii="Times New Roman" w:hAnsi="Times New Roman" w:eastAsia="宋体" w:cs="Times New Roman"/>
                <w:b/>
                <w:bCs/>
                <w:color w:val="auto"/>
                <w:sz w:val="24"/>
                <w:szCs w:val="24"/>
                <w:u w:val="single" w:color="auto"/>
                <w:lang w:val="en-US" w:eastAsia="zh-CN"/>
              </w:rPr>
            </w:pPr>
            <w:r>
              <w:rPr>
                <w:rFonts w:hint="eastAsia" w:cs="Times New Roman"/>
                <w:b/>
                <w:bCs/>
                <w:color w:val="auto"/>
                <w:sz w:val="24"/>
                <w:szCs w:val="24"/>
                <w:u w:val="single" w:color="auto"/>
                <w:lang w:val="en-US" w:eastAsia="zh-CN"/>
              </w:rPr>
              <w:t>3.3 地下水环境质量现状</w:t>
            </w:r>
          </w:p>
          <w:p>
            <w:pPr>
              <w:spacing w:line="360" w:lineRule="auto"/>
              <w:ind w:firstLine="462" w:firstLineChars="200"/>
              <w:rPr>
                <w:rFonts w:hint="eastAsia" w:ascii="Times New Roman" w:hAnsi="Times New Roman" w:eastAsia="宋体" w:cs="Times New Roman"/>
                <w:b/>
                <w:bCs/>
                <w:color w:val="auto"/>
                <w:sz w:val="24"/>
                <w:szCs w:val="24"/>
                <w:u w:val="single" w:color="auto"/>
                <w:lang w:eastAsia="zh-CN"/>
              </w:rPr>
            </w:pPr>
            <w:r>
              <w:rPr>
                <w:rFonts w:hint="eastAsia"/>
                <w:color w:val="auto"/>
                <w:sz w:val="24"/>
                <w:szCs w:val="24"/>
                <w:u w:val="single" w:color="auto"/>
                <w:lang w:eastAsia="zh-CN"/>
              </w:rPr>
              <w:t>根据《环境影响评价技术导则</w:t>
            </w:r>
            <w:r>
              <w:rPr>
                <w:rFonts w:hint="eastAsia"/>
                <w:color w:val="auto"/>
                <w:sz w:val="24"/>
                <w:szCs w:val="24"/>
                <w:u w:val="single" w:color="auto"/>
                <w:lang w:val="en-US" w:eastAsia="zh-CN"/>
              </w:rPr>
              <w:t>-地下水环境</w:t>
            </w:r>
            <w:r>
              <w:rPr>
                <w:rFonts w:hint="eastAsia"/>
                <w:color w:val="auto"/>
                <w:sz w:val="24"/>
                <w:szCs w:val="24"/>
                <w:u w:val="single" w:color="auto"/>
                <w:lang w:eastAsia="zh-CN"/>
              </w:rPr>
              <w:t>》中附录</w:t>
            </w:r>
            <w:r>
              <w:rPr>
                <w:rFonts w:hint="eastAsia"/>
                <w:color w:val="auto"/>
                <w:sz w:val="24"/>
                <w:szCs w:val="24"/>
                <w:u w:val="single" w:color="auto"/>
                <w:lang w:val="en-US" w:eastAsia="zh-CN"/>
              </w:rPr>
              <w:t>A（规范性目录）地下水环境影响行业分类表中可知，本项目为“78、电气机械及器材制造”中的“其他”，则地下水环境影响评价项目类别为Ⅳ类，Ⅳ类建设项目不开展地下水环境影响评价。因此且本项目不进行地下水评价</w:t>
            </w:r>
            <w:r>
              <w:rPr>
                <w:rFonts w:hint="eastAsia"/>
                <w:color w:val="auto"/>
                <w:sz w:val="24"/>
                <w:u w:val="single" w:color="auto"/>
                <w:lang w:eastAsia="zh-CN"/>
              </w:rPr>
              <w:t>。</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3.4</w:t>
            </w:r>
            <w:r>
              <w:rPr>
                <w:rFonts w:hint="default" w:ascii="Times New Roman" w:hAnsi="Times New Roman" w:cs="Times New Roman"/>
                <w:b/>
                <w:bCs/>
                <w:color w:val="auto"/>
                <w:sz w:val="24"/>
                <w:szCs w:val="24"/>
                <w:u w:val="none" w:color="auto"/>
              </w:rPr>
              <w:t>声环境质量现状</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为了解项目所在地声环境质量现状，本环评特委托湖南</w:t>
            </w:r>
            <w:r>
              <w:rPr>
                <w:rFonts w:hint="default" w:ascii="Times New Roman" w:hAnsi="Times New Roman" w:cs="Times New Roman"/>
                <w:color w:val="auto"/>
                <w:sz w:val="24"/>
                <w:szCs w:val="24"/>
                <w:u w:val="none" w:color="auto"/>
                <w:lang w:eastAsia="zh-CN"/>
              </w:rPr>
              <w:t>精准通</w:t>
            </w:r>
            <w:r>
              <w:rPr>
                <w:rFonts w:hint="default" w:ascii="Times New Roman" w:hAnsi="Times New Roman" w:cs="Times New Roman"/>
                <w:color w:val="auto"/>
                <w:sz w:val="24"/>
                <w:szCs w:val="24"/>
                <w:u w:val="none" w:color="auto"/>
              </w:rPr>
              <w:t>检测技术有限公司于201</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rPr>
              <w:t>年</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rPr>
              <w:t>月</w:t>
            </w:r>
            <w:r>
              <w:rPr>
                <w:rFonts w:hint="eastAsia" w:cs="Times New Roman"/>
                <w:color w:val="auto"/>
                <w:sz w:val="24"/>
                <w:szCs w:val="24"/>
                <w:u w:val="none" w:color="auto"/>
                <w:lang w:val="en-US" w:eastAsia="zh-CN"/>
              </w:rPr>
              <w:t>12-13</w:t>
            </w:r>
            <w:r>
              <w:rPr>
                <w:rFonts w:hint="default" w:ascii="Times New Roman" w:hAnsi="Times New Roman" w:cs="Times New Roman"/>
                <w:color w:val="auto"/>
                <w:sz w:val="24"/>
                <w:szCs w:val="24"/>
                <w:u w:val="none" w:color="auto"/>
              </w:rPr>
              <w:t>日在项目地东、南、西、北厂界外1m各布设1个监测，昼、夜间各监测一次。</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表3-</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声质量现状监测与评价统计表    单位：dB(A)</w:t>
            </w:r>
          </w:p>
          <w:tbl>
            <w:tblPr>
              <w:tblStyle w:val="40"/>
              <w:tblW w:w="905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848"/>
              <w:gridCol w:w="1369"/>
              <w:gridCol w:w="972"/>
              <w:gridCol w:w="973"/>
              <w:gridCol w:w="974"/>
              <w:gridCol w:w="973"/>
              <w:gridCol w:w="975"/>
              <w:gridCol w:w="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监测点</w:t>
                  </w:r>
                </w:p>
              </w:tc>
              <w:tc>
                <w:tcPr>
                  <w:tcW w:w="136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监测日期</w:t>
                  </w:r>
                </w:p>
              </w:tc>
              <w:tc>
                <w:tcPr>
                  <w:tcW w:w="2919"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昼间</w:t>
                  </w:r>
                </w:p>
              </w:tc>
              <w:tc>
                <w:tcPr>
                  <w:tcW w:w="2920" w:type="dxa"/>
                  <w:gridSpan w:val="3"/>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36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监测</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结果</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标准值</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东</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10</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24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54.6</w:t>
                  </w:r>
                </w:p>
              </w:tc>
              <w:tc>
                <w:tcPr>
                  <w:tcW w:w="973"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39.1</w:t>
                  </w:r>
                </w:p>
              </w:tc>
              <w:tc>
                <w:tcPr>
                  <w:tcW w:w="975"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10</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24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61.7</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70</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40.8</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西</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10</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24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60.4</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70</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42.5</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w:t>
                  </w:r>
                  <w:r>
                    <w:rPr>
                      <w:rFonts w:hint="default" w:ascii="Times New Roman" w:hAnsi="Times New Roman" w:cs="Times New Roman"/>
                      <w:color w:val="auto"/>
                      <w:sz w:val="22"/>
                      <w:szCs w:val="22"/>
                      <w:u w:val="none" w:color="auto"/>
                      <w:lang w:eastAsia="zh-CN"/>
                    </w:rPr>
                    <w:t>北</w:t>
                  </w:r>
                  <w:r>
                    <w:rPr>
                      <w:rFonts w:hint="default" w:ascii="Times New Roman" w:hAnsi="Times New Roman" w:cs="Times New Roman"/>
                      <w:color w:val="auto"/>
                      <w:sz w:val="22"/>
                      <w:szCs w:val="22"/>
                      <w:u w:val="none" w:color="auto"/>
                    </w:rPr>
                    <w:t>面</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（厂界外 1m）</w:t>
                  </w:r>
                </w:p>
              </w:tc>
              <w:tc>
                <w:tcPr>
                  <w:tcW w:w="136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10</w:t>
                  </w:r>
                  <w:r>
                    <w:rPr>
                      <w:rFonts w:hint="default" w:ascii="Times New Roman" w:hAnsi="Times New Roman" w:cs="Times New Roman"/>
                      <w:color w:val="auto"/>
                      <w:sz w:val="22"/>
                      <w:szCs w:val="22"/>
                      <w:u w:val="none" w:color="auto"/>
                      <w:lang w:val="en-US" w:eastAsia="zh-CN"/>
                    </w:rPr>
                    <w:t>月</w:t>
                  </w:r>
                  <w:r>
                    <w:rPr>
                      <w:rFonts w:hint="eastAsia" w:cs="Times New Roman"/>
                      <w:color w:val="auto"/>
                      <w:sz w:val="22"/>
                      <w:szCs w:val="22"/>
                      <w:u w:val="none" w:color="auto"/>
                      <w:lang w:val="en-US" w:eastAsia="zh-CN"/>
                    </w:rPr>
                    <w:t>24</w:t>
                  </w:r>
                  <w:r>
                    <w:rPr>
                      <w:rFonts w:hint="default" w:ascii="Times New Roman" w:hAnsi="Times New Roman" w:cs="Times New Roman"/>
                      <w:color w:val="auto"/>
                      <w:sz w:val="22"/>
                      <w:szCs w:val="22"/>
                      <w:u w:val="none" w:color="auto"/>
                      <w:lang w:val="en-US" w:eastAsia="zh-CN"/>
                    </w:rPr>
                    <w:t>日</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52.8</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65</w:t>
                  </w:r>
                </w:p>
              </w:tc>
              <w:tc>
                <w:tcPr>
                  <w:tcW w:w="97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c>
                <w:tcPr>
                  <w:tcW w:w="973"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38.6</w:t>
                  </w:r>
                </w:p>
              </w:tc>
              <w:tc>
                <w:tcPr>
                  <w:tcW w:w="97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55</w:t>
                  </w:r>
                </w:p>
              </w:tc>
              <w:tc>
                <w:tcPr>
                  <w:tcW w:w="972"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达标</w:t>
                  </w:r>
                </w:p>
              </w:tc>
            </w:tr>
          </w:tbl>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本项目所在地声环境质量现状满足《声环境质量标准》（GB3096-2008）中</w:t>
            </w:r>
            <w:r>
              <w:rPr>
                <w:rFonts w:hint="eastAsia" w:cs="Times New Roman"/>
                <w:color w:val="auto"/>
                <w:sz w:val="24"/>
                <w:szCs w:val="24"/>
                <w:u w:val="none" w:color="auto"/>
                <w:lang w:val="en-US" w:eastAsia="zh-CN"/>
              </w:rPr>
              <w:t>3、4a</w:t>
            </w:r>
            <w:r>
              <w:rPr>
                <w:rFonts w:hint="default" w:ascii="Times New Roman" w:hAnsi="Times New Roman" w:cs="Times New Roman"/>
                <w:color w:val="auto"/>
                <w:sz w:val="24"/>
                <w:szCs w:val="24"/>
                <w:u w:val="none" w:color="auto"/>
              </w:rPr>
              <w:t>类区标准要求。因此，本项目所在区域声环境质量现状较好。</w:t>
            </w:r>
          </w:p>
          <w:p>
            <w:pPr>
              <w:spacing w:line="360" w:lineRule="auto"/>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3.5</w:t>
            </w:r>
            <w:r>
              <w:rPr>
                <w:rFonts w:hint="default" w:ascii="Times New Roman" w:hAnsi="Times New Roman" w:cs="Times New Roman"/>
                <w:b/>
                <w:bCs/>
                <w:color w:val="auto"/>
                <w:sz w:val="24"/>
                <w:szCs w:val="24"/>
                <w:u w:val="none" w:color="auto"/>
              </w:rPr>
              <w:t>、生态环境</w:t>
            </w:r>
          </w:p>
          <w:p>
            <w:pPr>
              <w:snapToGrid w:val="0"/>
              <w:spacing w:line="360" w:lineRule="auto"/>
              <w:ind w:firstLine="453" w:firstLineChars="196"/>
              <w:rPr>
                <w:rFonts w:hint="eastAsia"/>
                <w:b/>
                <w:color w:val="auto"/>
                <w:sz w:val="24"/>
                <w:u w:val="none" w:color="auto"/>
                <w:lang w:val="en-US" w:eastAsia="zh-CN"/>
              </w:rPr>
            </w:pPr>
            <w:r>
              <w:rPr>
                <w:rFonts w:hint="default" w:ascii="Times New Roman" w:hAnsi="Times New Roman" w:cs="Times New Roman"/>
                <w:color w:val="auto"/>
                <w:sz w:val="24"/>
                <w:szCs w:val="24"/>
                <w:u w:val="none" w:color="auto"/>
              </w:rPr>
              <w:t>项目所在区域植被有城市绿化的樟、灌木丛、花卉等，项目区域内植被以人工绿化苗木为主，植物种类单一，主要有樟树、桂花、柳树等，并伴有少量野生杉、桃、</w:t>
            </w:r>
            <w:r>
              <w:rPr>
                <w:rFonts w:hint="default" w:ascii="Times New Roman" w:hAnsi="Times New Roman" w:cs="Times New Roman"/>
                <w:color w:val="auto"/>
                <w:spacing w:val="-11"/>
                <w:sz w:val="24"/>
                <w:szCs w:val="24"/>
                <w:u w:val="none" w:color="auto"/>
              </w:rPr>
              <w:t xml:space="preserve">梨等；生态环境一般。本区域及其周边为典型的城市生态环境，目前植被覆盖率较低， </w:t>
            </w:r>
            <w:r>
              <w:rPr>
                <w:rFonts w:hint="default" w:ascii="Times New Roman" w:hAnsi="Times New Roman" w:cs="Times New Roman"/>
                <w:color w:val="auto"/>
                <w:sz w:val="24"/>
                <w:szCs w:val="24"/>
                <w:u w:val="none" w:color="auto"/>
              </w:rPr>
              <w:t>主要为人工草皮及较少灌木，物种较为单一，生态稳定性较差。根据现场踏勘，本项目区域内未发现野生珍稀动植物物种</w:t>
            </w:r>
            <w:r>
              <w:rPr>
                <w:rFonts w:hint="eastAsia" w:hAnsi="宋体"/>
                <w:bCs/>
                <w:color w:val="auto"/>
                <w:sz w:val="24"/>
                <w:u w:val="none" w:color="auto"/>
              </w:rPr>
              <w:t>。</w:t>
            </w:r>
          </w:p>
          <w:p>
            <w:pPr>
              <w:pStyle w:val="34"/>
              <w:adjustRightInd w:val="0"/>
              <w:snapToGrid w:val="0"/>
              <w:spacing w:line="360" w:lineRule="auto"/>
              <w:ind w:left="0" w:leftChars="0" w:firstLine="0" w:firstLineChars="0"/>
              <w:rPr>
                <w:b/>
                <w:color w:val="auto"/>
                <w:u w:val="single" w:color="auto"/>
              </w:rPr>
            </w:pPr>
            <w:r>
              <w:rPr>
                <w:rFonts w:hint="eastAsia"/>
                <w:b/>
                <w:color w:val="auto"/>
                <w:sz w:val="24"/>
                <w:u w:val="single" w:color="auto"/>
                <w:lang w:val="en-US" w:eastAsia="zh-CN"/>
              </w:rPr>
              <w:t>3.6</w:t>
            </w:r>
            <w:r>
              <w:rPr>
                <w:rFonts w:hint="eastAsia"/>
                <w:b/>
                <w:color w:val="auto"/>
                <w:sz w:val="24"/>
                <w:u w:val="single" w:color="auto"/>
              </w:rPr>
              <w:t>、</w:t>
            </w:r>
            <w:r>
              <w:rPr>
                <w:b/>
                <w:color w:val="auto"/>
                <w:sz w:val="24"/>
                <w:u w:val="single" w:color="auto"/>
              </w:rPr>
              <w:t>主要环境保护目标</w:t>
            </w:r>
          </w:p>
          <w:p>
            <w:pPr>
              <w:adjustRightInd w:val="0"/>
              <w:snapToGrid w:val="0"/>
              <w:ind w:firstLine="462" w:firstLineChars="200"/>
              <w:jc w:val="center"/>
              <w:textAlignment w:val="baseline"/>
              <w:rPr>
                <w:b/>
                <w:color w:val="auto"/>
                <w:kern w:val="0"/>
                <w:sz w:val="24"/>
                <w:szCs w:val="24"/>
                <w:u w:val="single" w:color="auto"/>
              </w:rPr>
            </w:pPr>
            <w:r>
              <w:rPr>
                <w:b/>
                <w:color w:val="auto"/>
                <w:kern w:val="0"/>
                <w:sz w:val="24"/>
                <w:szCs w:val="24"/>
                <w:u w:val="single" w:color="auto"/>
              </w:rPr>
              <w:t>表3-</w:t>
            </w:r>
            <w:r>
              <w:rPr>
                <w:rFonts w:hint="eastAsia"/>
                <w:b/>
                <w:color w:val="auto"/>
                <w:kern w:val="0"/>
                <w:sz w:val="24"/>
                <w:szCs w:val="24"/>
                <w:u w:val="single" w:color="auto"/>
                <w:lang w:val="en-US" w:eastAsia="zh-CN"/>
              </w:rPr>
              <w:t>6</w:t>
            </w:r>
            <w:r>
              <w:rPr>
                <w:b/>
                <w:color w:val="auto"/>
                <w:kern w:val="0"/>
                <w:sz w:val="24"/>
                <w:szCs w:val="24"/>
                <w:u w:val="single" w:color="auto"/>
              </w:rPr>
              <w:t xml:space="preserve">  主要环境保护目标一览表</w:t>
            </w:r>
          </w:p>
          <w:tbl>
            <w:tblPr>
              <w:tblStyle w:val="40"/>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316"/>
              <w:gridCol w:w="1845"/>
              <w:gridCol w:w="1866"/>
              <w:gridCol w:w="22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0"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类别</w:t>
                  </w:r>
                </w:p>
              </w:tc>
              <w:tc>
                <w:tcPr>
                  <w:tcW w:w="2316"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环境保护目标</w:t>
                  </w:r>
                </w:p>
              </w:tc>
              <w:tc>
                <w:tcPr>
                  <w:tcW w:w="1845"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相对位置</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功能、规模</w:t>
                  </w:r>
                </w:p>
              </w:tc>
              <w:tc>
                <w:tcPr>
                  <w:tcW w:w="2275" w:type="dxa"/>
                  <w:tcBorders>
                    <w:tl2br w:val="nil"/>
                    <w:tr2bl w:val="nil"/>
                  </w:tcBorders>
                  <w:vAlign w:val="center"/>
                </w:tcPr>
                <w:p>
                  <w:pPr>
                    <w:widowControl/>
                    <w:spacing w:line="360" w:lineRule="auto"/>
                    <w:jc w:val="center"/>
                    <w:textAlignment w:val="center"/>
                    <w:rPr>
                      <w:rFonts w:hint="default" w:ascii="Times New Roman" w:hAnsi="Times New Roman" w:cs="Times New Roman"/>
                      <w:b/>
                      <w:color w:val="auto"/>
                      <w:spacing w:val="8"/>
                      <w:sz w:val="22"/>
                      <w:szCs w:val="22"/>
                      <w:u w:val="single" w:color="auto"/>
                    </w:rPr>
                  </w:pPr>
                  <w:r>
                    <w:rPr>
                      <w:rFonts w:hint="default" w:ascii="Times New Roman" w:hAnsi="Times New Roman" w:cs="Times New Roman"/>
                      <w:b/>
                      <w:color w:val="auto"/>
                      <w:kern w:val="0"/>
                      <w:sz w:val="22"/>
                      <w:szCs w:val="22"/>
                      <w:u w:val="single" w:color="auto"/>
                      <w:lang w:bidi="ar"/>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20" w:type="dxa"/>
                  <w:vMerge w:val="restart"/>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空气环境</w:t>
                  </w: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波里屋居民点（东经：112.919412，北纬：28.647718）</w:t>
                  </w:r>
                </w:p>
              </w:tc>
              <w:tc>
                <w:tcPr>
                  <w:tcW w:w="1845" w:type="dxa"/>
                  <w:tcBorders>
                    <w:tl2br w:val="nil"/>
                    <w:tr2bl w:val="nil"/>
                  </w:tcBorders>
                  <w:vAlign w:val="center"/>
                </w:tcPr>
                <w:p>
                  <w:pPr>
                    <w:widowControl/>
                    <w:spacing w:line="360" w:lineRule="auto"/>
                    <w:jc w:val="center"/>
                    <w:textAlignment w:val="center"/>
                    <w:rPr>
                      <w:rFonts w:hint="default" w:ascii="Times New Roman" w:hAnsi="Times New Roman" w:eastAsia="宋体" w:cs="Times New Roman"/>
                      <w:color w:val="auto"/>
                      <w:kern w:val="0"/>
                      <w:sz w:val="22"/>
                      <w:szCs w:val="22"/>
                      <w:u w:val="single" w:color="auto"/>
                      <w:lang w:val="en-US" w:eastAsia="zh-CN" w:bidi="ar"/>
                    </w:rPr>
                  </w:pPr>
                  <w:r>
                    <w:rPr>
                      <w:rFonts w:hint="eastAsia" w:cs="Times New Roman"/>
                      <w:color w:val="auto"/>
                      <w:kern w:val="0"/>
                      <w:sz w:val="22"/>
                      <w:szCs w:val="22"/>
                      <w:u w:val="single" w:color="auto"/>
                      <w:lang w:eastAsia="zh-CN" w:bidi="ar"/>
                    </w:rPr>
                    <w:t>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540</w:t>
                  </w:r>
                  <w:r>
                    <w:rPr>
                      <w:rFonts w:hint="eastAsia" w:ascii="Times New Roman" w:hAnsi="Times New Roman" w:cs="Times New Roman"/>
                      <w:color w:val="auto"/>
                      <w:kern w:val="0"/>
                      <w:sz w:val="22"/>
                      <w:szCs w:val="22"/>
                      <w:u w:val="single" w:color="auto"/>
                      <w:lang w:val="en-US" w:eastAsia="zh-CN" w:bidi="ar"/>
                    </w:rPr>
                    <w:t>m</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eastAsia="宋体" w:cs="Times New Roman"/>
                      <w:color w:val="auto"/>
                      <w:spacing w:val="8"/>
                      <w:sz w:val="22"/>
                      <w:szCs w:val="22"/>
                      <w:u w:val="single" w:color="auto"/>
                      <w:lang w:val="en-US" w:eastAsia="zh-CN"/>
                    </w:rPr>
                  </w:pPr>
                  <w:r>
                    <w:rPr>
                      <w:rFonts w:hint="default" w:ascii="Times New Roman" w:hAnsi="Times New Roman" w:cs="Times New Roman"/>
                      <w:color w:val="auto"/>
                      <w:spacing w:val="8"/>
                      <w:sz w:val="22"/>
                      <w:szCs w:val="22"/>
                      <w:u w:val="single" w:color="auto"/>
                    </w:rPr>
                    <w:t>居住</w:t>
                  </w:r>
                  <w:r>
                    <w:rPr>
                      <w:rFonts w:hint="eastAsia" w:cs="Times New Roman"/>
                      <w:color w:val="auto"/>
                      <w:spacing w:val="8"/>
                      <w:sz w:val="22"/>
                      <w:szCs w:val="22"/>
                      <w:u w:val="single" w:color="auto"/>
                      <w:lang w:eastAsia="zh-CN"/>
                    </w:rPr>
                    <w:t>区，约</w:t>
                  </w:r>
                  <w:r>
                    <w:rPr>
                      <w:rFonts w:hint="eastAsia" w:cs="Times New Roman"/>
                      <w:color w:val="auto"/>
                      <w:spacing w:val="8"/>
                      <w:sz w:val="22"/>
                      <w:szCs w:val="22"/>
                      <w:u w:val="single" w:color="auto"/>
                      <w:lang w:val="en-US" w:eastAsia="zh-CN"/>
                    </w:rPr>
                    <w:t>28户</w:t>
                  </w:r>
                </w:p>
              </w:tc>
              <w:tc>
                <w:tcPr>
                  <w:tcW w:w="2275" w:type="dxa"/>
                  <w:vMerge w:val="restart"/>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《环境空气质量标准》（GB3095-2012）二级标准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8"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戴家垄</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（东经：112.913146，北纬：28.642690）</w:t>
                  </w:r>
                </w:p>
              </w:tc>
              <w:tc>
                <w:tcPr>
                  <w:tcW w:w="184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kern w:val="0"/>
                      <w:sz w:val="22"/>
                      <w:szCs w:val="22"/>
                      <w:u w:val="single" w:color="auto"/>
                      <w:lang w:eastAsia="zh-CN" w:bidi="ar"/>
                    </w:rPr>
                    <w:t>西</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610</w:t>
                  </w:r>
                  <w:r>
                    <w:rPr>
                      <w:rFonts w:hint="eastAsia" w:ascii="Times New Roman" w:hAnsi="Times New Roman" w:cs="Times New Roman"/>
                      <w:color w:val="auto"/>
                      <w:kern w:val="0"/>
                      <w:sz w:val="22"/>
                      <w:szCs w:val="22"/>
                      <w:u w:val="single" w:color="auto"/>
                      <w:lang w:val="en-US" w:eastAsia="zh-CN" w:bidi="ar"/>
                    </w:rPr>
                    <w:t>m</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lang w:val="en-US"/>
                    </w:rPr>
                  </w:pPr>
                  <w:r>
                    <w:rPr>
                      <w:rFonts w:hint="default" w:ascii="Times New Roman" w:hAnsi="Times New Roman" w:cs="Times New Roman"/>
                      <w:color w:val="auto"/>
                      <w:spacing w:val="8"/>
                      <w:sz w:val="22"/>
                      <w:szCs w:val="22"/>
                      <w:u w:val="single" w:color="auto"/>
                    </w:rPr>
                    <w:t>居住</w:t>
                  </w:r>
                  <w:r>
                    <w:rPr>
                      <w:rFonts w:hint="eastAsia" w:cs="Times New Roman"/>
                      <w:color w:val="auto"/>
                      <w:spacing w:val="8"/>
                      <w:sz w:val="22"/>
                      <w:szCs w:val="22"/>
                      <w:u w:val="single" w:color="auto"/>
                      <w:lang w:eastAsia="zh-CN"/>
                    </w:rPr>
                    <w:t>区，约</w:t>
                  </w:r>
                  <w:r>
                    <w:rPr>
                      <w:rFonts w:hint="eastAsia" w:cs="Times New Roman"/>
                      <w:color w:val="auto"/>
                      <w:spacing w:val="8"/>
                      <w:sz w:val="22"/>
                      <w:szCs w:val="22"/>
                      <w:u w:val="single" w:color="auto"/>
                      <w:lang w:val="en-US" w:eastAsia="zh-CN"/>
                    </w:rPr>
                    <w:t>32户</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2316" w:type="dxa"/>
                  <w:tcBorders>
                    <w:tl2br w:val="nil"/>
                    <w:tr2bl w:val="nil"/>
                  </w:tcBorders>
                  <w:vAlign w:val="center"/>
                </w:tcPr>
                <w:p>
                  <w:pPr>
                    <w:widowControl/>
                    <w:spacing w:line="360" w:lineRule="auto"/>
                    <w:jc w:val="center"/>
                    <w:textAlignment w:val="center"/>
                    <w:rPr>
                      <w:rFonts w:hint="eastAsia" w:cs="Times New Roman"/>
                      <w:color w:val="auto"/>
                      <w:spacing w:val="8"/>
                      <w:sz w:val="22"/>
                      <w:szCs w:val="22"/>
                      <w:u w:val="single" w:color="auto"/>
                      <w:lang w:eastAsia="zh-CN"/>
                    </w:rPr>
                  </w:pPr>
                  <w:r>
                    <w:rPr>
                      <w:rFonts w:hint="eastAsia" w:ascii="Times New Roman" w:hAnsi="Times New Roman" w:cs="Times New Roman"/>
                      <w:color w:val="auto"/>
                      <w:spacing w:val="8"/>
                      <w:sz w:val="22"/>
                      <w:szCs w:val="22"/>
                      <w:u w:val="single" w:color="auto"/>
                      <w:lang w:eastAsia="zh-CN"/>
                    </w:rPr>
                    <w:t>茉莉堆居民区</w:t>
                  </w:r>
                  <w:r>
                    <w:rPr>
                      <w:rFonts w:hint="eastAsia" w:cs="Times New Roman"/>
                      <w:color w:val="auto"/>
                      <w:spacing w:val="8"/>
                      <w:sz w:val="22"/>
                      <w:szCs w:val="22"/>
                      <w:u w:val="single" w:color="auto"/>
                      <w:lang w:eastAsia="zh-CN"/>
                    </w:rPr>
                    <w:t>（东经：112.909498，北纬：28.645139）</w:t>
                  </w:r>
                </w:p>
              </w:tc>
              <w:tc>
                <w:tcPr>
                  <w:tcW w:w="1845" w:type="dxa"/>
                  <w:tcBorders>
                    <w:tl2br w:val="nil"/>
                    <w:tr2bl w:val="nil"/>
                  </w:tcBorders>
                  <w:vAlign w:val="center"/>
                </w:tcPr>
                <w:p>
                  <w:pPr>
                    <w:widowControl/>
                    <w:spacing w:line="360" w:lineRule="auto"/>
                    <w:jc w:val="center"/>
                    <w:textAlignment w:val="center"/>
                    <w:rPr>
                      <w:rFonts w:hint="eastAsia" w:cs="Times New Roman"/>
                      <w:color w:val="auto"/>
                      <w:kern w:val="0"/>
                      <w:sz w:val="22"/>
                      <w:szCs w:val="22"/>
                      <w:u w:val="single" w:color="auto"/>
                      <w:lang w:eastAsia="zh-CN" w:bidi="ar"/>
                    </w:rPr>
                  </w:pPr>
                  <w:r>
                    <w:rPr>
                      <w:rFonts w:hint="eastAsia" w:cs="Times New Roman"/>
                      <w:color w:val="auto"/>
                      <w:kern w:val="0"/>
                      <w:sz w:val="22"/>
                      <w:szCs w:val="22"/>
                      <w:u w:val="single" w:color="auto"/>
                      <w:lang w:eastAsia="zh-CN" w:bidi="ar"/>
                    </w:rPr>
                    <w:t>西</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780</w:t>
                  </w:r>
                  <w:r>
                    <w:rPr>
                      <w:rFonts w:hint="eastAsia" w:ascii="Times New Roman" w:hAnsi="Times New Roman" w:cs="Times New Roman"/>
                      <w:color w:val="auto"/>
                      <w:kern w:val="0"/>
                      <w:sz w:val="22"/>
                      <w:szCs w:val="22"/>
                      <w:u w:val="single" w:color="auto"/>
                      <w:lang w:val="en-US" w:eastAsia="zh-CN" w:bidi="ar"/>
                    </w:rPr>
                    <w:t>m</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lang w:val="en-US"/>
                    </w:rPr>
                  </w:pPr>
                  <w:r>
                    <w:rPr>
                      <w:rFonts w:hint="default" w:ascii="Times New Roman" w:hAnsi="Times New Roman" w:cs="Times New Roman"/>
                      <w:color w:val="auto"/>
                      <w:spacing w:val="8"/>
                      <w:sz w:val="22"/>
                      <w:szCs w:val="22"/>
                      <w:u w:val="single" w:color="auto"/>
                    </w:rPr>
                    <w:t>居住</w:t>
                  </w:r>
                  <w:r>
                    <w:rPr>
                      <w:rFonts w:hint="eastAsia" w:cs="Times New Roman"/>
                      <w:color w:val="auto"/>
                      <w:spacing w:val="8"/>
                      <w:sz w:val="22"/>
                      <w:szCs w:val="22"/>
                      <w:u w:val="single" w:color="auto"/>
                      <w:lang w:eastAsia="zh-CN"/>
                    </w:rPr>
                    <w:t>区，约</w:t>
                  </w:r>
                  <w:r>
                    <w:rPr>
                      <w:rFonts w:hint="eastAsia" w:cs="Times New Roman"/>
                      <w:color w:val="auto"/>
                      <w:spacing w:val="8"/>
                      <w:sz w:val="22"/>
                      <w:szCs w:val="22"/>
                      <w:u w:val="single" w:color="auto"/>
                      <w:lang w:val="en-US" w:eastAsia="zh-CN"/>
                    </w:rPr>
                    <w:t>26户</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9"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孙家坪</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（东经：112.914004，北纬：28.637191）</w:t>
                  </w:r>
                </w:p>
              </w:tc>
              <w:tc>
                <w:tcPr>
                  <w:tcW w:w="184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kern w:val="0"/>
                      <w:sz w:val="22"/>
                      <w:szCs w:val="22"/>
                      <w:u w:val="single" w:color="auto"/>
                      <w:lang w:eastAsia="zh-CN" w:bidi="ar"/>
                    </w:rPr>
                    <w:t>西南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520</w:t>
                  </w:r>
                  <w:r>
                    <w:rPr>
                      <w:rFonts w:hint="eastAsia" w:ascii="Times New Roman" w:hAnsi="Times New Roman" w:cs="Times New Roman"/>
                      <w:color w:val="auto"/>
                      <w:kern w:val="0"/>
                      <w:sz w:val="22"/>
                      <w:szCs w:val="22"/>
                      <w:u w:val="single" w:color="auto"/>
                      <w:lang w:val="en-US" w:eastAsia="zh-CN" w:bidi="ar"/>
                    </w:rPr>
                    <w:t>m</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lang w:val="en-US"/>
                    </w:rPr>
                  </w:pPr>
                  <w:r>
                    <w:rPr>
                      <w:rFonts w:hint="default" w:ascii="Times New Roman" w:hAnsi="Times New Roman" w:cs="Times New Roman"/>
                      <w:color w:val="auto"/>
                      <w:spacing w:val="8"/>
                      <w:sz w:val="22"/>
                      <w:szCs w:val="22"/>
                      <w:u w:val="single" w:color="auto"/>
                    </w:rPr>
                    <w:t>居住</w:t>
                  </w:r>
                  <w:r>
                    <w:rPr>
                      <w:rFonts w:hint="eastAsia" w:cs="Times New Roman"/>
                      <w:color w:val="auto"/>
                      <w:spacing w:val="8"/>
                      <w:sz w:val="22"/>
                      <w:szCs w:val="22"/>
                      <w:u w:val="single" w:color="auto"/>
                      <w:lang w:eastAsia="zh-CN"/>
                    </w:rPr>
                    <w:t>区，约</w:t>
                  </w:r>
                  <w:r>
                    <w:rPr>
                      <w:rFonts w:hint="eastAsia" w:cs="Times New Roman"/>
                      <w:color w:val="auto"/>
                      <w:spacing w:val="8"/>
                      <w:sz w:val="22"/>
                      <w:szCs w:val="22"/>
                      <w:u w:val="single" w:color="auto"/>
                      <w:lang w:val="en-US" w:eastAsia="zh-CN"/>
                    </w:rPr>
                    <w:t>52户</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戴家大屋</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（东经：112.921429，北纬：28.637643）</w:t>
                  </w:r>
                </w:p>
              </w:tc>
              <w:tc>
                <w:tcPr>
                  <w:tcW w:w="184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cs="Times New Roman"/>
                      <w:color w:val="auto"/>
                      <w:kern w:val="0"/>
                      <w:sz w:val="22"/>
                      <w:szCs w:val="22"/>
                      <w:u w:val="single" w:color="auto"/>
                      <w:lang w:eastAsia="zh-CN" w:bidi="ar"/>
                    </w:rPr>
                    <w:t>南</w:t>
                  </w:r>
                  <w:r>
                    <w:rPr>
                      <w:rFonts w:hint="eastAsia" w:ascii="Times New Roman" w:hAnsi="Times New Roman" w:cs="Times New Roman"/>
                      <w:color w:val="auto"/>
                      <w:kern w:val="0"/>
                      <w:sz w:val="22"/>
                      <w:szCs w:val="22"/>
                      <w:u w:val="single" w:color="auto"/>
                      <w:lang w:eastAsia="zh-CN" w:bidi="ar"/>
                    </w:rPr>
                    <w:t>，</w:t>
                  </w:r>
                  <w:r>
                    <w:rPr>
                      <w:rFonts w:hint="eastAsia" w:cs="Times New Roman"/>
                      <w:color w:val="auto"/>
                      <w:kern w:val="0"/>
                      <w:sz w:val="22"/>
                      <w:szCs w:val="22"/>
                      <w:u w:val="single" w:color="auto"/>
                      <w:lang w:val="en-US" w:eastAsia="zh-CN" w:bidi="ar"/>
                    </w:rPr>
                    <w:t>480</w:t>
                  </w:r>
                  <w:r>
                    <w:rPr>
                      <w:rFonts w:hint="eastAsia" w:ascii="Times New Roman" w:hAnsi="Times New Roman" w:cs="Times New Roman"/>
                      <w:color w:val="auto"/>
                      <w:kern w:val="0"/>
                      <w:sz w:val="22"/>
                      <w:szCs w:val="22"/>
                      <w:u w:val="single" w:color="auto"/>
                      <w:lang w:val="en-US" w:eastAsia="zh-CN" w:bidi="ar"/>
                    </w:rPr>
                    <w:t>m</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lang w:val="en-US"/>
                    </w:rPr>
                  </w:pPr>
                  <w:r>
                    <w:rPr>
                      <w:rFonts w:hint="default" w:ascii="Times New Roman" w:hAnsi="Times New Roman" w:cs="Times New Roman"/>
                      <w:color w:val="auto"/>
                      <w:spacing w:val="8"/>
                      <w:sz w:val="22"/>
                      <w:szCs w:val="22"/>
                      <w:u w:val="single" w:color="auto"/>
                    </w:rPr>
                    <w:t>居住</w:t>
                  </w:r>
                  <w:r>
                    <w:rPr>
                      <w:rFonts w:hint="eastAsia" w:cs="Times New Roman"/>
                      <w:color w:val="auto"/>
                      <w:spacing w:val="8"/>
                      <w:sz w:val="22"/>
                      <w:szCs w:val="22"/>
                      <w:u w:val="single" w:color="auto"/>
                      <w:lang w:eastAsia="zh-CN"/>
                    </w:rPr>
                    <w:t>区，约</w:t>
                  </w:r>
                  <w:r>
                    <w:rPr>
                      <w:rFonts w:hint="eastAsia" w:cs="Times New Roman"/>
                      <w:color w:val="auto"/>
                      <w:spacing w:val="8"/>
                      <w:sz w:val="22"/>
                      <w:szCs w:val="22"/>
                      <w:u w:val="single" w:color="auto"/>
                      <w:lang w:val="en-US" w:eastAsia="zh-CN"/>
                    </w:rPr>
                    <w:t>21户</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9"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spacing w:val="8"/>
                      <w:sz w:val="22"/>
                      <w:szCs w:val="22"/>
                      <w:u w:val="single" w:color="auto"/>
                      <w:lang w:eastAsia="zh-CN"/>
                    </w:rPr>
                  </w:pPr>
                  <w:r>
                    <w:rPr>
                      <w:rFonts w:hint="eastAsia" w:cs="Times New Roman"/>
                      <w:color w:val="auto"/>
                      <w:spacing w:val="8"/>
                      <w:sz w:val="22"/>
                      <w:szCs w:val="22"/>
                      <w:u w:val="single" w:color="auto"/>
                      <w:lang w:eastAsia="zh-CN"/>
                    </w:rPr>
                    <w:t>许家大屋</w:t>
                  </w:r>
                  <w:r>
                    <w:rPr>
                      <w:rFonts w:hint="eastAsia" w:ascii="Times New Roman" w:hAnsi="Times New Roman" w:cs="Times New Roman"/>
                      <w:color w:val="auto"/>
                      <w:spacing w:val="8"/>
                      <w:sz w:val="22"/>
                      <w:szCs w:val="22"/>
                      <w:u w:val="single" w:color="auto"/>
                      <w:lang w:eastAsia="zh-CN"/>
                    </w:rPr>
                    <w:t>居民区</w:t>
                  </w:r>
                  <w:r>
                    <w:rPr>
                      <w:rFonts w:hint="eastAsia" w:cs="Times New Roman"/>
                      <w:color w:val="auto"/>
                      <w:spacing w:val="8"/>
                      <w:sz w:val="22"/>
                      <w:szCs w:val="22"/>
                      <w:u w:val="single" w:color="auto"/>
                      <w:lang w:eastAsia="zh-CN"/>
                    </w:rPr>
                    <w:t>（东经：112.928681，北纬：28.642201）</w:t>
                  </w:r>
                </w:p>
              </w:tc>
              <w:tc>
                <w:tcPr>
                  <w:tcW w:w="184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ascii="Times New Roman" w:hAnsi="Times New Roman" w:cs="Times New Roman"/>
                      <w:color w:val="auto"/>
                      <w:kern w:val="0"/>
                      <w:sz w:val="22"/>
                      <w:szCs w:val="22"/>
                      <w:u w:val="single" w:color="auto"/>
                      <w:lang w:eastAsia="zh-CN" w:bidi="ar"/>
                    </w:rPr>
                    <w:t>东，</w:t>
                  </w:r>
                  <w:r>
                    <w:rPr>
                      <w:rFonts w:hint="eastAsia" w:cs="Times New Roman"/>
                      <w:color w:val="auto"/>
                      <w:kern w:val="0"/>
                      <w:sz w:val="22"/>
                      <w:szCs w:val="22"/>
                      <w:u w:val="single" w:color="auto"/>
                      <w:lang w:val="en-US" w:eastAsia="zh-CN" w:bidi="ar"/>
                    </w:rPr>
                    <w:t>590</w:t>
                  </w:r>
                  <w:r>
                    <w:rPr>
                      <w:rFonts w:hint="eastAsia" w:ascii="Times New Roman" w:hAnsi="Times New Roman" w:cs="Times New Roman"/>
                      <w:color w:val="auto"/>
                      <w:kern w:val="0"/>
                      <w:sz w:val="22"/>
                      <w:szCs w:val="22"/>
                      <w:u w:val="single" w:color="auto"/>
                      <w:lang w:val="en-US" w:eastAsia="zh-CN" w:bidi="ar"/>
                    </w:rPr>
                    <w:t>m</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lang w:val="en-US"/>
                    </w:rPr>
                  </w:pPr>
                  <w:r>
                    <w:rPr>
                      <w:rFonts w:hint="default" w:ascii="Times New Roman" w:hAnsi="Times New Roman" w:cs="Times New Roman"/>
                      <w:color w:val="auto"/>
                      <w:spacing w:val="8"/>
                      <w:sz w:val="22"/>
                      <w:szCs w:val="22"/>
                      <w:u w:val="single" w:color="auto"/>
                    </w:rPr>
                    <w:t>居住</w:t>
                  </w:r>
                  <w:r>
                    <w:rPr>
                      <w:rFonts w:hint="eastAsia" w:cs="Times New Roman"/>
                      <w:color w:val="auto"/>
                      <w:spacing w:val="8"/>
                      <w:sz w:val="22"/>
                      <w:szCs w:val="22"/>
                      <w:u w:val="single" w:color="auto"/>
                      <w:lang w:eastAsia="zh-CN"/>
                    </w:rPr>
                    <w:t>区，约</w:t>
                  </w:r>
                  <w:r>
                    <w:rPr>
                      <w:rFonts w:hint="eastAsia" w:cs="Times New Roman"/>
                      <w:color w:val="auto"/>
                      <w:spacing w:val="8"/>
                      <w:sz w:val="22"/>
                      <w:szCs w:val="22"/>
                      <w:u w:val="single" w:color="auto"/>
                      <w:lang w:val="en-US" w:eastAsia="zh-CN"/>
                    </w:rPr>
                    <w:t>66户</w:t>
                  </w:r>
                </w:p>
              </w:tc>
              <w:tc>
                <w:tcPr>
                  <w:tcW w:w="2275"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720"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声环境</w:t>
                  </w:r>
                </w:p>
              </w:tc>
              <w:tc>
                <w:tcPr>
                  <w:tcW w:w="8302" w:type="dxa"/>
                  <w:gridSpan w:val="4"/>
                  <w:tcBorders>
                    <w:tl2br w:val="nil"/>
                    <w:tr2bl w:val="nil"/>
                  </w:tcBorders>
                  <w:vAlign w:val="center"/>
                </w:tcPr>
                <w:p>
                  <w:pPr>
                    <w:widowControl/>
                    <w:spacing w:line="360" w:lineRule="auto"/>
                    <w:jc w:val="center"/>
                    <w:textAlignment w:val="center"/>
                    <w:rPr>
                      <w:rFonts w:hint="default" w:ascii="Times New Roman" w:hAnsi="Times New Roman" w:eastAsia="宋体" w:cs="Times New Roman"/>
                      <w:color w:val="auto"/>
                      <w:spacing w:val="8"/>
                      <w:sz w:val="22"/>
                      <w:szCs w:val="22"/>
                      <w:u w:val="single" w:color="auto"/>
                      <w:lang w:val="en-US" w:eastAsia="zh-CN"/>
                    </w:rPr>
                  </w:pPr>
                  <w:r>
                    <w:rPr>
                      <w:rFonts w:hint="eastAsia" w:cs="Times New Roman"/>
                      <w:color w:val="auto"/>
                      <w:spacing w:val="8"/>
                      <w:sz w:val="22"/>
                      <w:szCs w:val="22"/>
                      <w:u w:val="single" w:color="auto"/>
                      <w:lang w:eastAsia="zh-CN"/>
                    </w:rPr>
                    <w:t>项目</w:t>
                  </w:r>
                  <w:r>
                    <w:rPr>
                      <w:rFonts w:hint="eastAsia" w:cs="Times New Roman"/>
                      <w:color w:val="auto"/>
                      <w:spacing w:val="8"/>
                      <w:sz w:val="22"/>
                      <w:szCs w:val="22"/>
                      <w:u w:val="single" w:color="auto"/>
                      <w:lang w:val="en-US" w:eastAsia="zh-CN"/>
                    </w:rPr>
                    <w:t>200m范围内无敏感目标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720" w:type="dxa"/>
                  <w:vMerge w:val="restart"/>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default" w:ascii="Times New Roman" w:hAnsi="Times New Roman" w:cs="Times New Roman"/>
                      <w:color w:val="auto"/>
                      <w:kern w:val="0"/>
                      <w:sz w:val="22"/>
                      <w:szCs w:val="22"/>
                      <w:u w:val="single" w:color="auto"/>
                      <w:lang w:bidi="ar"/>
                    </w:rPr>
                    <w:t>水环境</w:t>
                  </w: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kern w:val="0"/>
                      <w:sz w:val="22"/>
                      <w:szCs w:val="22"/>
                      <w:u w:val="single" w:color="auto"/>
                      <w:lang w:eastAsia="zh-CN" w:bidi="ar"/>
                    </w:rPr>
                  </w:pPr>
                  <w:r>
                    <w:rPr>
                      <w:rFonts w:hint="eastAsia" w:cs="Times New Roman"/>
                      <w:color w:val="auto"/>
                      <w:sz w:val="22"/>
                      <w:szCs w:val="22"/>
                      <w:u w:val="single" w:color="auto"/>
                      <w:lang w:eastAsia="zh-CN" w:bidi="ar"/>
                    </w:rPr>
                    <w:t>洋沙湖</w:t>
                  </w:r>
                </w:p>
              </w:tc>
              <w:tc>
                <w:tcPr>
                  <w:tcW w:w="1845" w:type="dxa"/>
                  <w:tcBorders>
                    <w:tl2br w:val="nil"/>
                    <w:tr2bl w:val="nil"/>
                  </w:tcBorders>
                  <w:vAlign w:val="center"/>
                </w:tcPr>
                <w:p>
                  <w:pPr>
                    <w:widowControl/>
                    <w:spacing w:line="360" w:lineRule="auto"/>
                    <w:jc w:val="center"/>
                    <w:textAlignment w:val="center"/>
                    <w:rPr>
                      <w:rFonts w:hint="eastAsia" w:ascii="Times New Roman" w:hAnsi="Times New Roman" w:eastAsia="宋体" w:cs="Times New Roman"/>
                      <w:color w:val="auto"/>
                      <w:kern w:val="0"/>
                      <w:sz w:val="22"/>
                      <w:szCs w:val="22"/>
                      <w:u w:val="single" w:color="auto"/>
                      <w:lang w:eastAsia="zh-CN" w:bidi="ar"/>
                    </w:rPr>
                  </w:pPr>
                  <w:r>
                    <w:rPr>
                      <w:rFonts w:hint="eastAsia" w:cs="Times New Roman"/>
                      <w:bCs/>
                      <w:color w:val="auto"/>
                      <w:sz w:val="22"/>
                      <w:szCs w:val="22"/>
                      <w:u w:val="single" w:color="auto"/>
                      <w:lang w:eastAsia="zh-CN"/>
                    </w:rPr>
                    <w:t>湿地公园</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eastAsia" w:ascii="Times New Roman" w:hAnsi="Times New Roman" w:cs="Times New Roman"/>
                      <w:color w:val="auto"/>
                      <w:sz w:val="22"/>
                      <w:szCs w:val="22"/>
                      <w:u w:val="single" w:color="auto"/>
                      <w:lang w:eastAsia="zh-CN" w:bidi="ar"/>
                    </w:rPr>
                    <w:t>西</w:t>
                  </w:r>
                  <w:r>
                    <w:rPr>
                      <w:rFonts w:hint="eastAsia" w:cs="Times New Roman"/>
                      <w:color w:val="auto"/>
                      <w:sz w:val="22"/>
                      <w:szCs w:val="22"/>
                      <w:u w:val="single" w:color="auto"/>
                      <w:lang w:val="en-US" w:eastAsia="zh-CN" w:bidi="ar"/>
                    </w:rPr>
                    <w:t>3.8</w:t>
                  </w:r>
                  <w:r>
                    <w:rPr>
                      <w:rFonts w:hint="default" w:ascii="Times New Roman" w:hAnsi="Times New Roman" w:cs="Times New Roman"/>
                      <w:color w:val="auto"/>
                      <w:sz w:val="22"/>
                      <w:szCs w:val="22"/>
                      <w:u w:val="single" w:color="auto"/>
                      <w:lang w:bidi="ar"/>
                    </w:rPr>
                    <w:t>km</w:t>
                  </w:r>
                </w:p>
              </w:tc>
              <w:tc>
                <w:tcPr>
                  <w:tcW w:w="227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pacing w:val="8"/>
                      <w:sz w:val="22"/>
                      <w:szCs w:val="22"/>
                      <w:u w:val="single" w:color="auto"/>
                    </w:rPr>
                  </w:pPr>
                  <w:r>
                    <w:rPr>
                      <w:rFonts w:hint="eastAsia"/>
                      <w:color w:val="auto"/>
                      <w:sz w:val="24"/>
                      <w:u w:val="single" w:color="auto"/>
                    </w:rPr>
                    <w:t>《</w:t>
                  </w:r>
                  <w:r>
                    <w:rPr>
                      <w:rFonts w:hint="eastAsia"/>
                      <w:color w:val="auto"/>
                      <w:szCs w:val="21"/>
                      <w:u w:val="single" w:color="auto"/>
                    </w:rPr>
                    <w:t>地表水环境质量标准（</w:t>
                  </w:r>
                  <w:r>
                    <w:rPr>
                      <w:color w:val="auto"/>
                      <w:szCs w:val="21"/>
                      <w:u w:val="single" w:color="auto"/>
                    </w:rPr>
                    <w:t>GB3838-2002</w:t>
                  </w:r>
                  <w:r>
                    <w:rPr>
                      <w:rFonts w:hint="eastAsia"/>
                      <w:color w:val="auto"/>
                      <w:szCs w:val="21"/>
                      <w:u w:val="single" w:color="auto"/>
                    </w:rPr>
                    <w:t>）》中</w:t>
                  </w:r>
                  <w:r>
                    <w:rPr>
                      <w:rFonts w:hint="eastAsia" w:ascii="宋体" w:hAnsi="宋体" w:cs="宋体"/>
                      <w:color w:val="auto"/>
                      <w:szCs w:val="21"/>
                      <w:u w:val="single" w:color="auto"/>
                    </w:rPr>
                    <w:fldChar w:fldCharType="begin"/>
                  </w:r>
                  <w:r>
                    <w:rPr>
                      <w:rFonts w:hint="eastAsia" w:ascii="宋体" w:hAnsi="宋体" w:cs="宋体"/>
                      <w:color w:val="auto"/>
                      <w:szCs w:val="21"/>
                      <w:u w:val="single" w:color="auto"/>
                    </w:rPr>
                    <w:instrText xml:space="preserve"> = 3 \* ROMAN \* MERGEFORMAT </w:instrText>
                  </w:r>
                  <w:r>
                    <w:rPr>
                      <w:rFonts w:hint="eastAsia" w:ascii="宋体" w:hAnsi="宋体" w:cs="宋体"/>
                      <w:color w:val="auto"/>
                      <w:szCs w:val="21"/>
                      <w:u w:val="single" w:color="auto"/>
                    </w:rPr>
                    <w:fldChar w:fldCharType="separate"/>
                  </w:r>
                  <w:r>
                    <w:rPr>
                      <w:u w:val="single" w:color="auto"/>
                    </w:rPr>
                    <w:t>III</w:t>
                  </w:r>
                  <w:r>
                    <w:rPr>
                      <w:rFonts w:hint="eastAsia" w:ascii="宋体" w:hAnsi="宋体" w:cs="宋体"/>
                      <w:color w:val="auto"/>
                      <w:szCs w:val="21"/>
                      <w:u w:val="single" w:color="auto"/>
                    </w:rPr>
                    <w:fldChar w:fldCharType="end"/>
                  </w:r>
                  <w:r>
                    <w:rPr>
                      <w:rFonts w:hint="eastAsia"/>
                      <w:color w:val="auto"/>
                      <w:szCs w:val="21"/>
                      <w:u w:val="single" w:color="auto"/>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720" w:type="dxa"/>
                  <w:vMerge w:val="continue"/>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p>
              </w:tc>
              <w:tc>
                <w:tcPr>
                  <w:tcW w:w="2316" w:type="dxa"/>
                  <w:tcBorders>
                    <w:tl2br w:val="nil"/>
                    <w:tr2bl w:val="nil"/>
                  </w:tcBorders>
                  <w:vAlign w:val="center"/>
                </w:tcPr>
                <w:p>
                  <w:pPr>
                    <w:widowControl/>
                    <w:spacing w:line="360" w:lineRule="auto"/>
                    <w:jc w:val="center"/>
                    <w:textAlignment w:val="center"/>
                    <w:rPr>
                      <w:rFonts w:hint="eastAsia" w:ascii="Times New Roman" w:hAnsi="Times New Roman" w:cs="Times New Roman"/>
                      <w:color w:val="auto"/>
                      <w:sz w:val="22"/>
                      <w:szCs w:val="22"/>
                      <w:u w:val="single" w:color="auto"/>
                      <w:lang w:eastAsia="zh-CN" w:bidi="ar"/>
                    </w:rPr>
                  </w:pPr>
                  <w:r>
                    <w:rPr>
                      <w:rFonts w:hint="eastAsia" w:cs="Times New Roman"/>
                      <w:color w:val="auto"/>
                      <w:sz w:val="22"/>
                      <w:szCs w:val="22"/>
                      <w:u w:val="single" w:color="auto"/>
                      <w:lang w:eastAsia="zh-CN" w:bidi="ar"/>
                    </w:rPr>
                    <w:t>湘江</w:t>
                  </w:r>
                </w:p>
              </w:tc>
              <w:tc>
                <w:tcPr>
                  <w:tcW w:w="1845" w:type="dxa"/>
                  <w:tcBorders>
                    <w:tl2br w:val="nil"/>
                    <w:tr2bl w:val="nil"/>
                  </w:tcBorders>
                  <w:vAlign w:val="center"/>
                </w:tcPr>
                <w:p>
                  <w:pPr>
                    <w:widowControl/>
                    <w:spacing w:line="360" w:lineRule="auto"/>
                    <w:jc w:val="center"/>
                    <w:textAlignment w:val="center"/>
                    <w:rPr>
                      <w:rFonts w:hint="eastAsia" w:ascii="Times New Roman" w:hAnsi="Times New Roman" w:cs="Times New Roman"/>
                      <w:bCs/>
                      <w:color w:val="auto"/>
                      <w:sz w:val="22"/>
                      <w:szCs w:val="22"/>
                      <w:u w:val="single" w:color="auto"/>
                      <w:lang w:eastAsia="zh-CN"/>
                    </w:rPr>
                  </w:pPr>
                  <w:r>
                    <w:rPr>
                      <w:rFonts w:hint="eastAsia" w:cs="Times New Roman"/>
                      <w:bCs/>
                      <w:color w:val="auto"/>
                      <w:sz w:val="22"/>
                      <w:szCs w:val="22"/>
                      <w:u w:val="single" w:color="auto"/>
                      <w:lang w:eastAsia="zh-CN"/>
                    </w:rPr>
                    <w:t>大河</w:t>
                  </w:r>
                </w:p>
              </w:tc>
              <w:tc>
                <w:tcPr>
                  <w:tcW w:w="1866"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sz w:val="22"/>
                      <w:szCs w:val="22"/>
                      <w:u w:val="single" w:color="auto"/>
                      <w:lang w:val="en-US" w:eastAsia="zh-CN" w:bidi="ar"/>
                    </w:rPr>
                  </w:pPr>
                  <w:r>
                    <w:rPr>
                      <w:rFonts w:hint="eastAsia" w:cs="Times New Roman"/>
                      <w:color w:val="auto"/>
                      <w:sz w:val="22"/>
                      <w:szCs w:val="22"/>
                      <w:u w:val="single" w:color="auto"/>
                      <w:lang w:eastAsia="zh-CN" w:bidi="ar"/>
                    </w:rPr>
                    <w:t>西</w:t>
                  </w:r>
                  <w:r>
                    <w:rPr>
                      <w:rFonts w:hint="eastAsia" w:cs="Times New Roman"/>
                      <w:color w:val="auto"/>
                      <w:sz w:val="22"/>
                      <w:szCs w:val="22"/>
                      <w:u w:val="single" w:color="auto"/>
                      <w:lang w:val="en-US" w:eastAsia="zh-CN" w:bidi="ar"/>
                    </w:rPr>
                    <w:t>6.2km</w:t>
                  </w:r>
                </w:p>
              </w:tc>
              <w:tc>
                <w:tcPr>
                  <w:tcW w:w="2275" w:type="dxa"/>
                  <w:tcBorders>
                    <w:tl2br w:val="nil"/>
                    <w:tr2bl w:val="nil"/>
                  </w:tcBorders>
                  <w:vAlign w:val="center"/>
                </w:tcPr>
                <w:p>
                  <w:pPr>
                    <w:widowControl/>
                    <w:spacing w:line="360" w:lineRule="auto"/>
                    <w:jc w:val="center"/>
                    <w:textAlignment w:val="center"/>
                    <w:rPr>
                      <w:rFonts w:hint="default" w:ascii="Times New Roman" w:hAnsi="Times New Roman" w:cs="Times New Roman"/>
                      <w:color w:val="auto"/>
                      <w:kern w:val="0"/>
                      <w:sz w:val="22"/>
                      <w:szCs w:val="22"/>
                      <w:u w:val="single" w:color="auto"/>
                      <w:lang w:bidi="ar"/>
                    </w:rPr>
                  </w:pPr>
                  <w:r>
                    <w:rPr>
                      <w:rFonts w:hint="default" w:ascii="Times New Roman" w:hAnsi="Times New Roman" w:cs="Times New Roman"/>
                      <w:color w:val="auto"/>
                      <w:kern w:val="0"/>
                      <w:sz w:val="22"/>
                      <w:szCs w:val="22"/>
                      <w:u w:val="single" w:color="auto"/>
                      <w:lang w:bidi="ar"/>
                    </w:rPr>
                    <w:t>《地表水环境质量标准》（</w:t>
                  </w:r>
                  <w:r>
                    <w:rPr>
                      <w:rStyle w:val="70"/>
                      <w:rFonts w:hint="default" w:ascii="Times New Roman" w:hAnsi="Times New Roman" w:cs="Times New Roman"/>
                      <w:color w:val="auto"/>
                      <w:sz w:val="22"/>
                      <w:szCs w:val="22"/>
                      <w:u w:val="single" w:color="auto"/>
                      <w:lang w:bidi="ar"/>
                    </w:rPr>
                    <w:t>GB3838</w:t>
                  </w:r>
                  <w:r>
                    <w:rPr>
                      <w:rStyle w:val="57"/>
                      <w:rFonts w:hint="default" w:ascii="Times New Roman" w:hAnsi="Times New Roman" w:cs="Times New Roman"/>
                      <w:color w:val="auto"/>
                      <w:sz w:val="22"/>
                      <w:szCs w:val="22"/>
                      <w:u w:val="single" w:color="auto"/>
                    </w:rPr>
                    <w:t>-</w:t>
                  </w:r>
                  <w:r>
                    <w:rPr>
                      <w:rStyle w:val="70"/>
                      <w:rFonts w:hint="default" w:ascii="Times New Roman" w:hAnsi="Times New Roman" w:cs="Times New Roman"/>
                      <w:color w:val="auto"/>
                      <w:sz w:val="22"/>
                      <w:szCs w:val="22"/>
                      <w:u w:val="single" w:color="auto"/>
                      <w:lang w:bidi="ar"/>
                    </w:rPr>
                    <w:t>2002</w:t>
                  </w:r>
                  <w:r>
                    <w:rPr>
                      <w:rStyle w:val="57"/>
                      <w:rFonts w:hint="default" w:ascii="Times New Roman" w:hAnsi="Times New Roman" w:cs="Times New Roman"/>
                      <w:color w:val="auto"/>
                      <w:sz w:val="22"/>
                      <w:szCs w:val="22"/>
                      <w:u w:val="single" w:color="auto"/>
                      <w:lang w:bidi="ar"/>
                    </w:rPr>
                    <w:t>）</w:t>
                  </w:r>
                  <w:r>
                    <w:rPr>
                      <w:rFonts w:hint="default" w:ascii="Times New Roman" w:hAnsi="Times New Roman" w:cs="Times New Roman"/>
                      <w:color w:val="auto"/>
                      <w:sz w:val="22"/>
                      <w:szCs w:val="22"/>
                      <w:u w:val="single" w:color="auto"/>
                    </w:rPr>
                    <w:t>Ⅲ</w:t>
                  </w:r>
                  <w:r>
                    <w:rPr>
                      <w:rStyle w:val="57"/>
                      <w:rFonts w:hint="default" w:ascii="Times New Roman" w:hAnsi="Times New Roman" w:cs="Times New Roman"/>
                      <w:color w:val="auto"/>
                      <w:sz w:val="22"/>
                      <w:szCs w:val="22"/>
                      <w:u w:val="single" w:color="auto"/>
                      <w:lang w:bidi="ar"/>
                    </w:rPr>
                    <w:t>类标准</w:t>
                  </w:r>
                </w:p>
              </w:tc>
            </w:tr>
          </w:tbl>
          <w:p>
            <w:pPr>
              <w:snapToGrid w:val="0"/>
              <w:spacing w:line="360" w:lineRule="auto"/>
              <w:ind w:firstLine="462" w:firstLineChars="200"/>
              <w:rPr>
                <w:bCs/>
                <w:color w:val="auto"/>
                <w:sz w:val="24"/>
                <w:u w:val="none" w:color="auto"/>
              </w:rPr>
            </w:pPr>
          </w:p>
          <w:p>
            <w:pPr>
              <w:snapToGrid w:val="0"/>
              <w:jc w:val="center"/>
              <w:rPr>
                <w:color w:val="auto"/>
                <w:u w:val="none" w:color="auto"/>
              </w:rPr>
            </w:pPr>
            <w:r>
              <w:rPr>
                <w:rFonts w:hAnsi="宋体"/>
                <w:color w:val="auto"/>
                <w:sz w:val="24"/>
                <w:szCs w:val="24"/>
                <w:u w:val="none" w:color="auto"/>
              </w:rPr>
              <w:cr/>
            </w:r>
            <w:r>
              <w:rPr>
                <w:rFonts w:hAnsi="宋体"/>
                <w:color w:val="auto"/>
                <w:sz w:val="24"/>
                <w:szCs w:val="24"/>
                <w:u w:val="none" w:color="auto"/>
              </w:rPr>
              <w:t xml:space="preserve">  </w:t>
            </w:r>
          </w:p>
          <w:p>
            <w:pPr>
              <w:pStyle w:val="34"/>
              <w:ind w:left="0" w:leftChars="0"/>
              <w:rPr>
                <w:color w:val="auto"/>
                <w:u w:val="none" w:color="auto"/>
              </w:rPr>
            </w:pPr>
          </w:p>
        </w:tc>
      </w:tr>
    </w:tbl>
    <w:p>
      <w:pPr>
        <w:snapToGrid w:val="0"/>
        <w:textAlignment w:val="baseline"/>
        <w:outlineLvl w:val="0"/>
        <w:rPr>
          <w:rFonts w:eastAsia="黑体"/>
          <w:color w:val="auto"/>
          <w:sz w:val="32"/>
          <w:u w:val="none" w:color="auto"/>
        </w:rPr>
      </w:pPr>
      <w:r>
        <w:rPr>
          <w:color w:val="auto"/>
          <w:u w:val="none" w:color="auto"/>
        </w:rPr>
        <w:br w:type="page"/>
      </w:r>
      <w:bookmarkStart w:id="4" w:name="_Toc15014"/>
      <w:r>
        <w:rPr>
          <w:rFonts w:hint="default" w:ascii="Times New Roman" w:hAnsi="Times New Roman" w:eastAsia="黑体" w:cs="Times New Roman"/>
          <w:color w:val="auto"/>
          <w:sz w:val="32"/>
          <w:szCs w:val="32"/>
          <w:u w:val="none" w:color="auto"/>
        </w:rPr>
        <w:t>四、</w:t>
      </w:r>
      <w:r>
        <w:rPr>
          <w:rFonts w:hint="default" w:ascii="Times New Roman" w:hAnsi="Times New Roman" w:eastAsia="黑体" w:cs="Times New Roman"/>
          <w:color w:val="auto"/>
          <w:sz w:val="32"/>
          <w:u w:val="none" w:color="auto"/>
        </w:rPr>
        <w:t>评价适用标准</w:t>
      </w:r>
      <w:bookmarkEnd w:id="4"/>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6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74"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环境质量标准</w:t>
            </w:r>
          </w:p>
        </w:tc>
        <w:tc>
          <w:tcPr>
            <w:tcW w:w="8676" w:type="dxa"/>
            <w:vAlign w:val="center"/>
          </w:tcPr>
          <w:p>
            <w:pPr>
              <w:pStyle w:val="172"/>
              <w:numPr>
                <w:ilvl w:val="0"/>
                <w:numId w:val="0"/>
              </w:numPr>
              <w:spacing w:line="360" w:lineRule="auto"/>
              <w:rPr>
                <w:rFonts w:hint="eastAsia" w:eastAsia="宋体"/>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w:t>
            </w:r>
            <w:r>
              <w:rPr>
                <w:color w:val="auto"/>
                <w:sz w:val="24"/>
                <w:szCs w:val="24"/>
                <w:u w:val="none" w:color="auto"/>
              </w:rPr>
              <w:t>环境空气质量：</w:t>
            </w:r>
            <w:r>
              <w:rPr>
                <w:rFonts w:hint="default"/>
                <w:color w:val="auto"/>
                <w:sz w:val="24"/>
                <w:szCs w:val="24"/>
                <w:u w:val="none" w:color="auto"/>
              </w:rPr>
              <w:t>SO</w:t>
            </w:r>
            <w:r>
              <w:rPr>
                <w:rFonts w:hint="default"/>
                <w:color w:val="auto"/>
                <w:sz w:val="24"/>
                <w:szCs w:val="24"/>
                <w:u w:val="none" w:color="auto"/>
                <w:vertAlign w:val="subscript"/>
              </w:rPr>
              <w:t>2</w:t>
            </w:r>
            <w:r>
              <w:rPr>
                <w:rFonts w:hint="default"/>
                <w:color w:val="auto"/>
                <w:sz w:val="24"/>
                <w:szCs w:val="24"/>
                <w:u w:val="none" w:color="auto"/>
              </w:rPr>
              <w:t>、NO</w:t>
            </w:r>
            <w:r>
              <w:rPr>
                <w:rFonts w:hint="default"/>
                <w:color w:val="auto"/>
                <w:sz w:val="24"/>
                <w:szCs w:val="24"/>
                <w:u w:val="none" w:color="auto"/>
                <w:vertAlign w:val="subscript"/>
              </w:rPr>
              <w:t>2</w:t>
            </w:r>
            <w:r>
              <w:rPr>
                <w:rFonts w:hint="default"/>
                <w:color w:val="auto"/>
                <w:sz w:val="24"/>
                <w:szCs w:val="24"/>
                <w:u w:val="none" w:color="auto"/>
              </w:rPr>
              <w:t>、PM</w:t>
            </w:r>
            <w:r>
              <w:rPr>
                <w:rFonts w:hint="default"/>
                <w:color w:val="auto"/>
                <w:sz w:val="24"/>
                <w:szCs w:val="24"/>
                <w:u w:val="none" w:color="auto"/>
                <w:vertAlign w:val="subscript"/>
              </w:rPr>
              <w:t>10</w:t>
            </w:r>
            <w:r>
              <w:rPr>
                <w:rFonts w:hint="eastAsia"/>
                <w:color w:val="auto"/>
                <w:sz w:val="24"/>
                <w:szCs w:val="24"/>
                <w:u w:val="none" w:color="auto"/>
                <w:vertAlign w:val="baseline"/>
                <w:lang w:eastAsia="zh-CN"/>
              </w:rPr>
              <w:t>、</w:t>
            </w:r>
            <w:r>
              <w:rPr>
                <w:rFonts w:hint="default" w:ascii="Times New Roman" w:hAnsi="Times New Roman" w:cs="Times New Roman"/>
                <w:color w:val="auto"/>
                <w:sz w:val="24"/>
                <w:szCs w:val="24"/>
                <w:u w:val="none" w:color="auto"/>
              </w:rPr>
              <w:t>PM</w:t>
            </w:r>
            <w:r>
              <w:rPr>
                <w:rFonts w:hint="eastAsia" w:ascii="Times New Roman" w:hAnsi="Times New Roman" w:cs="Times New Roman"/>
                <w:color w:val="auto"/>
                <w:sz w:val="24"/>
                <w:szCs w:val="24"/>
                <w:u w:val="none" w:color="auto"/>
                <w:vertAlign w:val="subscript"/>
                <w:lang w:val="en-US" w:eastAsia="zh-CN"/>
              </w:rPr>
              <w:t>2.5</w:t>
            </w:r>
            <w:r>
              <w:rPr>
                <w:rFonts w:hint="eastAsia" w:cs="Times New Roman"/>
                <w:color w:val="auto"/>
                <w:sz w:val="24"/>
                <w:szCs w:val="24"/>
                <w:u w:val="none" w:color="auto"/>
                <w:vertAlign w:val="baseline"/>
                <w:lang w:val="en-US" w:eastAsia="zh-CN"/>
              </w:rPr>
              <w:t>、</w:t>
            </w:r>
            <w:r>
              <w:rPr>
                <w:rFonts w:hint="eastAsia" w:ascii="Times New Roman" w:hAnsi="Times New Roman"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O</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O</w:t>
            </w:r>
            <w:r>
              <w:rPr>
                <w:rFonts w:hint="eastAsia" w:ascii="Times New Roman" w:hAnsi="Times New Roman" w:cs="Times New Roman"/>
                <w:color w:val="auto"/>
                <w:sz w:val="24"/>
                <w:szCs w:val="24"/>
                <w:u w:val="none" w:color="auto"/>
                <w:vertAlign w:val="subscript"/>
                <w:lang w:val="en-US" w:eastAsia="zh-CN"/>
              </w:rPr>
              <w:t>3</w:t>
            </w:r>
            <w:r>
              <w:rPr>
                <w:rFonts w:hint="default"/>
                <w:color w:val="auto"/>
                <w:sz w:val="24"/>
                <w:szCs w:val="24"/>
                <w:u w:val="none" w:color="auto"/>
              </w:rPr>
              <w:t>执行《环境空气质量标准》（GB3095-2012）中的二级标准</w:t>
            </w:r>
            <w:r>
              <w:rPr>
                <w:rFonts w:hint="eastAsia"/>
                <w:color w:val="auto"/>
                <w:sz w:val="24"/>
                <w:szCs w:val="24"/>
                <w:u w:val="none" w:color="auto"/>
                <w:lang w:eastAsia="zh-CN"/>
              </w:rPr>
              <w:t>。</w:t>
            </w:r>
            <w:r>
              <w:rPr>
                <w:rFonts w:hint="default"/>
                <w:color w:val="auto"/>
                <w:sz w:val="24"/>
                <w:szCs w:val="24"/>
                <w:u w:val="none" w:color="auto"/>
              </w:rPr>
              <w:t>TVOC满足《环境影响评价技术导则 大气环境》（HJ2.2-2018）附录D中相应的标准</w:t>
            </w:r>
          </w:p>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4-1</w:t>
            </w:r>
            <w:r>
              <w:rPr>
                <w:rFonts w:hint="default"/>
                <w:color w:val="auto"/>
                <w:u w:val="none" w:color="auto"/>
                <w:lang w:val="en-US" w:eastAsia="zh-CN"/>
              </w:rPr>
              <w:t xml:space="preserve">   环境空气质量标准  单位：ug/m</w:t>
            </w:r>
            <w:r>
              <w:rPr>
                <w:rFonts w:hint="default"/>
                <w:color w:val="auto"/>
                <w:u w:val="none" w:color="auto"/>
                <w:vertAlign w:val="superscript"/>
                <w:lang w:val="en-US" w:eastAsia="zh-CN"/>
              </w:rPr>
              <w:t>3</w:t>
            </w:r>
          </w:p>
          <w:tbl>
            <w:tblPr>
              <w:tblStyle w:val="40"/>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9"/>
              <w:gridCol w:w="1757"/>
              <w:gridCol w:w="1787"/>
              <w:gridCol w:w="1781"/>
              <w:gridCol w:w="1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restart"/>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污染物名称</w:t>
                  </w:r>
                </w:p>
              </w:tc>
              <w:tc>
                <w:tcPr>
                  <w:tcW w:w="7101" w:type="dxa"/>
                  <w:gridSpan w:val="4"/>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vMerge w:val="continue"/>
                  <w:tcBorders>
                    <w:tl2br w:val="nil"/>
                    <w:tr2bl w:val="nil"/>
                  </w:tcBorders>
                  <w:noWrap w:val="0"/>
                  <w:vAlign w:val="center"/>
                </w:tcPr>
                <w:p>
                  <w:pPr>
                    <w:pStyle w:val="184"/>
                    <w:rPr>
                      <w:rFonts w:hint="default"/>
                      <w:color w:val="auto"/>
                      <w:sz w:val="22"/>
                      <w:szCs w:val="22"/>
                      <w:u w:val="none" w:color="auto"/>
                    </w:rPr>
                  </w:pP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1小时平均</w:t>
                  </w:r>
                </w:p>
              </w:tc>
              <w:tc>
                <w:tcPr>
                  <w:tcW w:w="178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日平均</w:t>
                  </w:r>
                </w:p>
              </w:tc>
              <w:tc>
                <w:tcPr>
                  <w:tcW w:w="1781"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8小时均值</w:t>
                  </w:r>
                </w:p>
              </w:tc>
              <w:tc>
                <w:tcPr>
                  <w:tcW w:w="1776"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SO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500</w:t>
                  </w:r>
                </w:p>
              </w:tc>
              <w:tc>
                <w:tcPr>
                  <w:tcW w:w="178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150</w:t>
                  </w:r>
                </w:p>
              </w:tc>
              <w:tc>
                <w:tcPr>
                  <w:tcW w:w="1781"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NO</w:t>
                  </w:r>
                  <w:r>
                    <w:rPr>
                      <w:rFonts w:hint="default"/>
                      <w:color w:val="auto"/>
                      <w:sz w:val="22"/>
                      <w:szCs w:val="22"/>
                      <w:u w:val="none" w:color="auto"/>
                      <w:vertAlign w:val="subscript"/>
                    </w:rPr>
                    <w:t>2</w:t>
                  </w: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200</w:t>
                  </w:r>
                </w:p>
              </w:tc>
              <w:tc>
                <w:tcPr>
                  <w:tcW w:w="178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80</w:t>
                  </w:r>
                </w:p>
              </w:tc>
              <w:tc>
                <w:tcPr>
                  <w:tcW w:w="1781"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PM</w:t>
                  </w:r>
                  <w:r>
                    <w:rPr>
                      <w:rFonts w:hint="default"/>
                      <w:color w:val="auto"/>
                      <w:sz w:val="22"/>
                      <w:szCs w:val="22"/>
                      <w:u w:val="none" w:color="auto"/>
                      <w:vertAlign w:val="subscript"/>
                    </w:rPr>
                    <w:t>10</w:t>
                  </w:r>
                </w:p>
              </w:tc>
              <w:tc>
                <w:tcPr>
                  <w:tcW w:w="1757"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w:t>
                  </w:r>
                </w:p>
              </w:tc>
              <w:tc>
                <w:tcPr>
                  <w:tcW w:w="1787"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val="en-US" w:eastAsia="zh-CN"/>
                    </w:rPr>
                    <w:t>150</w:t>
                  </w:r>
                </w:p>
              </w:tc>
              <w:tc>
                <w:tcPr>
                  <w:tcW w:w="1781" w:type="dxa"/>
                  <w:tcBorders>
                    <w:tl2br w:val="nil"/>
                    <w:tr2bl w:val="nil"/>
                  </w:tcBorders>
                  <w:noWrap w:val="0"/>
                  <w:vAlign w:val="center"/>
                </w:tcPr>
                <w:p>
                  <w:pPr>
                    <w:pStyle w:val="184"/>
                    <w:rPr>
                      <w:rFonts w:hint="eastAsia"/>
                      <w:color w:val="auto"/>
                      <w:sz w:val="22"/>
                      <w:szCs w:val="22"/>
                      <w:u w:val="none" w:color="auto"/>
                      <w:lang w:val="en-US" w:eastAsia="zh-CN"/>
                    </w:rPr>
                  </w:pPr>
                  <w:r>
                    <w:rPr>
                      <w:color w:val="auto"/>
                      <w:sz w:val="22"/>
                      <w:szCs w:val="22"/>
                      <w:u w:val="none" w:color="auto"/>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PM</w:t>
                  </w:r>
                  <w:r>
                    <w:rPr>
                      <w:rFonts w:hint="eastAsia" w:ascii="Times New Roman" w:hAnsi="Times New Roman" w:cs="Times New Roman"/>
                      <w:color w:val="auto"/>
                      <w:sz w:val="22"/>
                      <w:szCs w:val="22"/>
                      <w:u w:val="none" w:color="auto"/>
                      <w:vertAlign w:val="subscript"/>
                      <w:lang w:val="en-US" w:eastAsia="zh-CN"/>
                    </w:rPr>
                    <w:t>2.5</w:t>
                  </w:r>
                </w:p>
              </w:tc>
              <w:tc>
                <w:tcPr>
                  <w:tcW w:w="1757"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87" w:type="dxa"/>
                  <w:tcBorders>
                    <w:tl2br w:val="nil"/>
                    <w:tr2bl w:val="nil"/>
                  </w:tcBorders>
                  <w:noWrap w:val="0"/>
                  <w:vAlign w:val="center"/>
                </w:tcPr>
                <w:p>
                  <w:pPr>
                    <w:pStyle w:val="184"/>
                    <w:rPr>
                      <w:rFonts w:hint="eastAsia"/>
                      <w:color w:val="auto"/>
                      <w:sz w:val="22"/>
                      <w:szCs w:val="22"/>
                      <w:u w:val="none" w:color="auto"/>
                      <w:lang w:val="en-US" w:eastAsia="zh-CN"/>
                    </w:rPr>
                  </w:pPr>
                  <w:r>
                    <w:rPr>
                      <w:rFonts w:hint="eastAsia"/>
                      <w:color w:val="auto"/>
                      <w:sz w:val="22"/>
                      <w:szCs w:val="22"/>
                      <w:u w:val="none" w:color="auto"/>
                      <w:lang w:val="en-US" w:eastAsia="zh-CN"/>
                    </w:rPr>
                    <w:t>75</w:t>
                  </w:r>
                </w:p>
              </w:tc>
              <w:tc>
                <w:tcPr>
                  <w:tcW w:w="1781"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eastAsia" w:ascii="Times New Roman" w:hAnsi="Times New Roman" w:cs="Times New Roman"/>
                      <w:color w:val="auto"/>
                      <w:sz w:val="22"/>
                      <w:szCs w:val="22"/>
                      <w:u w:val="none" w:color="auto"/>
                      <w:lang w:val="en-US" w:eastAsia="zh-CN"/>
                    </w:rPr>
                    <w:t>C</w:t>
                  </w:r>
                  <w:r>
                    <w:rPr>
                      <w:rFonts w:hint="default" w:ascii="Times New Roman" w:hAnsi="Times New Roman" w:cs="Times New Roman"/>
                      <w:color w:val="auto"/>
                      <w:sz w:val="22"/>
                      <w:szCs w:val="22"/>
                      <w:u w:val="none" w:color="auto"/>
                    </w:rPr>
                    <w:t>O</w:t>
                  </w:r>
                </w:p>
              </w:tc>
              <w:tc>
                <w:tcPr>
                  <w:tcW w:w="1757"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10000</w:t>
                  </w:r>
                </w:p>
              </w:tc>
              <w:tc>
                <w:tcPr>
                  <w:tcW w:w="1787" w:type="dxa"/>
                  <w:tcBorders>
                    <w:tl2br w:val="nil"/>
                    <w:tr2bl w:val="nil"/>
                  </w:tcBorders>
                  <w:noWrap w:val="0"/>
                  <w:vAlign w:val="center"/>
                </w:tcPr>
                <w:p>
                  <w:pPr>
                    <w:pStyle w:val="184"/>
                    <w:rPr>
                      <w:rFonts w:hint="eastAsia"/>
                      <w:color w:val="auto"/>
                      <w:sz w:val="22"/>
                      <w:szCs w:val="22"/>
                      <w:u w:val="none" w:color="auto"/>
                      <w:lang w:val="en-US" w:eastAsia="zh-CN"/>
                    </w:rPr>
                  </w:pPr>
                  <w:r>
                    <w:rPr>
                      <w:rFonts w:hint="eastAsia"/>
                      <w:color w:val="auto"/>
                      <w:sz w:val="22"/>
                      <w:szCs w:val="22"/>
                      <w:u w:val="none" w:color="auto"/>
                      <w:lang w:val="en-US" w:eastAsia="zh-CN"/>
                    </w:rPr>
                    <w:t>4000</w:t>
                  </w:r>
                </w:p>
              </w:tc>
              <w:tc>
                <w:tcPr>
                  <w:tcW w:w="1781"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9" w:type="dxa"/>
                  <w:tcBorders>
                    <w:tl2br w:val="nil"/>
                    <w:tr2bl w:val="nil"/>
                  </w:tcBorders>
                  <w:noWrap w:val="0"/>
                  <w:vAlign w:val="center"/>
                </w:tcPr>
                <w:p>
                  <w:pPr>
                    <w:jc w:val="center"/>
                    <w:rPr>
                      <w:rFonts w:hint="default"/>
                      <w:color w:val="auto"/>
                      <w:sz w:val="22"/>
                      <w:szCs w:val="22"/>
                      <w:u w:val="none" w:color="auto"/>
                    </w:rPr>
                  </w:pPr>
                  <w:r>
                    <w:rPr>
                      <w:rFonts w:hint="default" w:ascii="Times New Roman" w:hAnsi="Times New Roman" w:cs="Times New Roman"/>
                      <w:color w:val="auto"/>
                      <w:sz w:val="22"/>
                      <w:szCs w:val="22"/>
                      <w:u w:val="none" w:color="auto"/>
                    </w:rPr>
                    <w:t>O</w:t>
                  </w:r>
                  <w:r>
                    <w:rPr>
                      <w:rFonts w:hint="eastAsia" w:ascii="Times New Roman" w:hAnsi="Times New Roman" w:cs="Times New Roman"/>
                      <w:color w:val="auto"/>
                      <w:sz w:val="22"/>
                      <w:szCs w:val="22"/>
                      <w:u w:val="none" w:color="auto"/>
                      <w:vertAlign w:val="subscript"/>
                      <w:lang w:val="en-US" w:eastAsia="zh-CN"/>
                    </w:rPr>
                    <w:t>3</w:t>
                  </w:r>
                </w:p>
              </w:tc>
              <w:tc>
                <w:tcPr>
                  <w:tcW w:w="1757"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200</w:t>
                  </w:r>
                </w:p>
              </w:tc>
              <w:tc>
                <w:tcPr>
                  <w:tcW w:w="1787" w:type="dxa"/>
                  <w:tcBorders>
                    <w:tl2br w:val="nil"/>
                    <w:tr2bl w:val="nil"/>
                  </w:tcBorders>
                  <w:noWrap w:val="0"/>
                  <w:vAlign w:val="center"/>
                </w:tcPr>
                <w:p>
                  <w:pPr>
                    <w:pStyle w:val="184"/>
                    <w:rPr>
                      <w:rFonts w:hint="eastAsia"/>
                      <w:color w:val="auto"/>
                      <w:sz w:val="22"/>
                      <w:szCs w:val="22"/>
                      <w:u w:val="none" w:color="auto"/>
                      <w:lang w:val="en-US" w:eastAsia="zh-CN"/>
                    </w:rPr>
                  </w:pPr>
                  <w:r>
                    <w:rPr>
                      <w:rFonts w:hint="eastAsia"/>
                      <w:color w:val="auto"/>
                      <w:sz w:val="22"/>
                      <w:szCs w:val="22"/>
                      <w:u w:val="none" w:color="auto"/>
                      <w:lang w:val="en-US" w:eastAsia="zh-CN"/>
                    </w:rPr>
                    <w:t>/</w:t>
                  </w:r>
                </w:p>
              </w:tc>
              <w:tc>
                <w:tcPr>
                  <w:tcW w:w="1781"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160</w:t>
                  </w:r>
                </w:p>
              </w:tc>
              <w:tc>
                <w:tcPr>
                  <w:tcW w:w="1776" w:type="dxa"/>
                  <w:tcBorders>
                    <w:tl2br w:val="nil"/>
                    <w:tr2bl w:val="nil"/>
                  </w:tcBorders>
                  <w:noWrap w:val="0"/>
                  <w:vAlign w:val="center"/>
                </w:tcPr>
                <w:p>
                  <w:pPr>
                    <w:pStyle w:val="184"/>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pStyle w:val="186"/>
              <w:rPr>
                <w:rFonts w:hint="default"/>
                <w:color w:val="auto"/>
                <w:u w:val="none" w:color="auto"/>
                <w:lang w:val="en-US" w:eastAsia="zh-CN"/>
              </w:rPr>
            </w:pPr>
            <w:r>
              <w:rPr>
                <w:rFonts w:hint="default"/>
                <w:color w:val="auto"/>
                <w:u w:val="none" w:color="auto"/>
                <w:lang w:val="en-US" w:eastAsia="zh-CN"/>
              </w:rPr>
              <w:t>表</w:t>
            </w:r>
            <w:r>
              <w:rPr>
                <w:rFonts w:hint="eastAsia"/>
                <w:color w:val="auto"/>
                <w:u w:val="none" w:color="auto"/>
                <w:lang w:val="en-US" w:eastAsia="zh-CN"/>
              </w:rPr>
              <w:t>4-2</w:t>
            </w:r>
            <w:r>
              <w:rPr>
                <w:rFonts w:hint="default"/>
                <w:color w:val="auto"/>
                <w:u w:val="none" w:color="auto"/>
                <w:lang w:val="en-US" w:eastAsia="zh-CN"/>
              </w:rPr>
              <w:t xml:space="preserve">   </w:t>
            </w:r>
            <w:r>
              <w:rPr>
                <w:rFonts w:hint="default"/>
                <w:color w:val="auto"/>
                <w:u w:val="none" w:color="auto"/>
              </w:rPr>
              <w:t>附录D</w:t>
            </w:r>
            <w:r>
              <w:rPr>
                <w:rFonts w:hint="eastAsia"/>
                <w:color w:val="auto"/>
                <w:u w:val="none" w:color="auto"/>
                <w:lang w:val="en-US" w:eastAsia="zh-CN"/>
              </w:rPr>
              <w:t>其他污染物空气质量浓度参考限值</w:t>
            </w:r>
            <w:r>
              <w:rPr>
                <w:rFonts w:hint="default"/>
                <w:color w:val="auto"/>
                <w:u w:val="none" w:color="auto"/>
                <w:lang w:val="en-US" w:eastAsia="zh-CN"/>
              </w:rPr>
              <w:t xml:space="preserve">  单位：ug/m</w:t>
            </w:r>
            <w:r>
              <w:rPr>
                <w:rFonts w:hint="default"/>
                <w:color w:val="auto"/>
                <w:u w:val="none" w:color="auto"/>
                <w:vertAlign w:val="superscript"/>
                <w:lang w:val="en-US" w:eastAsia="zh-CN"/>
              </w:rPr>
              <w:t>3</w:t>
            </w:r>
          </w:p>
          <w:tbl>
            <w:tblPr>
              <w:tblStyle w:val="40"/>
              <w:tblW w:w="84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4"/>
              <w:gridCol w:w="2225"/>
              <w:gridCol w:w="2265"/>
              <w:gridCol w:w="2254"/>
              <w:gridCol w:w="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84" w:type="dxa"/>
                  <w:vMerge w:val="restart"/>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污染物名称</w:t>
                  </w:r>
                </w:p>
              </w:tc>
              <w:tc>
                <w:tcPr>
                  <w:tcW w:w="6746" w:type="dxa"/>
                  <w:gridSpan w:val="4"/>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vMerge w:val="continue"/>
                  <w:tcBorders>
                    <w:tl2br w:val="nil"/>
                    <w:tr2bl w:val="nil"/>
                  </w:tcBorders>
                  <w:noWrap w:val="0"/>
                  <w:vAlign w:val="center"/>
                </w:tcPr>
                <w:p>
                  <w:pPr>
                    <w:pStyle w:val="184"/>
                    <w:rPr>
                      <w:rFonts w:hint="default"/>
                      <w:color w:val="auto"/>
                      <w:sz w:val="22"/>
                      <w:szCs w:val="22"/>
                      <w:u w:val="none" w:color="auto"/>
                    </w:rPr>
                  </w:pPr>
                </w:p>
              </w:tc>
              <w:tc>
                <w:tcPr>
                  <w:tcW w:w="2225"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1小时平均</w:t>
                  </w:r>
                </w:p>
              </w:tc>
              <w:tc>
                <w:tcPr>
                  <w:tcW w:w="2265" w:type="dxa"/>
                  <w:tcBorders>
                    <w:tl2br w:val="nil"/>
                    <w:tr2bl w:val="nil"/>
                  </w:tcBorders>
                  <w:noWrap w:val="0"/>
                  <w:vAlign w:val="center"/>
                </w:tcPr>
                <w:p>
                  <w:pPr>
                    <w:pStyle w:val="184"/>
                    <w:rPr>
                      <w:rFonts w:hint="default"/>
                      <w:color w:val="auto"/>
                      <w:sz w:val="22"/>
                      <w:szCs w:val="22"/>
                      <w:u w:val="none" w:color="auto"/>
                    </w:rPr>
                  </w:pPr>
                  <w:r>
                    <w:rPr>
                      <w:rFonts w:hint="default"/>
                      <w:color w:val="auto"/>
                      <w:sz w:val="22"/>
                      <w:szCs w:val="22"/>
                      <w:u w:val="none" w:color="auto"/>
                    </w:rPr>
                    <w:t>日平均</w:t>
                  </w:r>
                </w:p>
              </w:tc>
              <w:tc>
                <w:tcPr>
                  <w:tcW w:w="2254" w:type="dxa"/>
                  <w:tcBorders>
                    <w:tl2br w:val="nil"/>
                    <w:tr2bl w:val="nil"/>
                  </w:tcBorders>
                  <w:noWrap w:val="0"/>
                  <w:vAlign w:val="center"/>
                </w:tcPr>
                <w:p>
                  <w:pPr>
                    <w:pStyle w:val="184"/>
                    <w:rPr>
                      <w:rFonts w:hint="default"/>
                      <w:color w:val="auto"/>
                      <w:sz w:val="22"/>
                      <w:szCs w:val="22"/>
                      <w:u w:val="none" w:color="auto"/>
                    </w:rPr>
                  </w:pPr>
                  <w:r>
                    <w:rPr>
                      <w:color w:val="auto"/>
                      <w:sz w:val="22"/>
                      <w:szCs w:val="22"/>
                      <w:u w:val="none" w:color="auto"/>
                    </w:rPr>
                    <w:t>8小时均值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 w:type="dxa"/>
                <w:trHeight w:val="340" w:hRule="atLeast"/>
                <w:jc w:val="center"/>
              </w:trPr>
              <w:tc>
                <w:tcPr>
                  <w:tcW w:w="1684"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TVOC</w:t>
                  </w:r>
                </w:p>
              </w:tc>
              <w:tc>
                <w:tcPr>
                  <w:tcW w:w="2225"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65" w:type="dxa"/>
                  <w:tcBorders>
                    <w:tl2br w:val="nil"/>
                    <w:tr2bl w:val="nil"/>
                  </w:tcBorders>
                  <w:noWrap w:val="0"/>
                  <w:vAlign w:val="center"/>
                </w:tcPr>
                <w:p>
                  <w:pPr>
                    <w:pStyle w:val="184"/>
                    <w:rPr>
                      <w:rFonts w:hint="eastAsia" w:eastAsia="宋体"/>
                      <w:color w:val="auto"/>
                      <w:sz w:val="22"/>
                      <w:szCs w:val="22"/>
                      <w:u w:val="none" w:color="auto"/>
                      <w:lang w:eastAsia="zh-CN"/>
                    </w:rPr>
                  </w:pPr>
                  <w:r>
                    <w:rPr>
                      <w:rFonts w:hint="eastAsia"/>
                      <w:color w:val="auto"/>
                      <w:sz w:val="22"/>
                      <w:szCs w:val="22"/>
                      <w:u w:val="none" w:color="auto"/>
                      <w:lang w:val="en-US" w:eastAsia="zh-CN"/>
                    </w:rPr>
                    <w:t>/</w:t>
                  </w:r>
                </w:p>
              </w:tc>
              <w:tc>
                <w:tcPr>
                  <w:tcW w:w="2254" w:type="dxa"/>
                  <w:tcBorders>
                    <w:tl2br w:val="nil"/>
                    <w:tr2bl w:val="nil"/>
                  </w:tcBorders>
                  <w:noWrap w:val="0"/>
                  <w:vAlign w:val="center"/>
                </w:tcPr>
                <w:p>
                  <w:pPr>
                    <w:pStyle w:val="184"/>
                    <w:rPr>
                      <w:rFonts w:hint="default" w:eastAsia="宋体"/>
                      <w:color w:val="auto"/>
                      <w:sz w:val="22"/>
                      <w:szCs w:val="22"/>
                      <w:u w:val="none" w:color="auto"/>
                      <w:lang w:val="en-US" w:eastAsia="zh-CN"/>
                    </w:rPr>
                  </w:pPr>
                  <w:r>
                    <w:rPr>
                      <w:rFonts w:hint="eastAsia"/>
                      <w:color w:val="auto"/>
                      <w:sz w:val="22"/>
                      <w:szCs w:val="22"/>
                      <w:u w:val="none" w:color="auto"/>
                      <w:lang w:val="en-US" w:eastAsia="zh-CN"/>
                    </w:rPr>
                    <w:t>600</w:t>
                  </w:r>
                </w:p>
              </w:tc>
            </w:tr>
          </w:tbl>
          <w:p>
            <w:pPr>
              <w:pStyle w:val="165"/>
              <w:numPr>
                <w:ilvl w:val="0"/>
                <w:numId w:val="6"/>
              </w:numPr>
              <w:snapToGrid w:val="0"/>
              <w:spacing w:line="360" w:lineRule="auto"/>
              <w:ind w:firstLineChars="0"/>
              <w:rPr>
                <w:color w:val="auto"/>
                <w:sz w:val="24"/>
                <w:u w:val="none" w:color="auto"/>
              </w:rPr>
            </w:pPr>
            <w:r>
              <w:rPr>
                <w:color w:val="auto"/>
                <w:sz w:val="24"/>
                <w:u w:val="none" w:color="auto"/>
              </w:rPr>
              <w:t>地表水环境：执行《地表水环境质量标准》（GB3838-2002）中的</w:t>
            </w:r>
            <w:r>
              <w:rPr>
                <w:color w:val="auto"/>
                <w:szCs w:val="21"/>
                <w:u w:val="none" w:color="auto"/>
              </w:rPr>
              <w:t>III</w:t>
            </w:r>
            <w:r>
              <w:rPr>
                <w:color w:val="auto"/>
                <w:sz w:val="24"/>
                <w:u w:val="none" w:color="auto"/>
              </w:rPr>
              <w:t>类标准</w:t>
            </w:r>
          </w:p>
          <w:p>
            <w:pPr>
              <w:jc w:val="center"/>
              <w:rPr>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3</w:t>
            </w:r>
            <w:r>
              <w:rPr>
                <w:b/>
                <w:bCs/>
                <w:color w:val="auto"/>
                <w:sz w:val="22"/>
                <w:szCs w:val="22"/>
                <w:u w:val="none" w:color="auto"/>
              </w:rPr>
              <w:t xml:space="preserve">  《地表水环境质量标准》中的</w:t>
            </w:r>
            <w:r>
              <w:rPr>
                <w:color w:val="auto"/>
                <w:sz w:val="22"/>
                <w:szCs w:val="22"/>
                <w:u w:val="none" w:color="auto"/>
              </w:rPr>
              <w:t>III</w:t>
            </w:r>
            <w:r>
              <w:rPr>
                <w:b/>
                <w:bCs/>
                <w:color w:val="auto"/>
                <w:sz w:val="22"/>
                <w:szCs w:val="22"/>
                <w:u w:val="none" w:color="auto"/>
              </w:rPr>
              <w:t>类标准</w:t>
            </w:r>
          </w:p>
          <w:tbl>
            <w:tblPr>
              <w:tblStyle w:val="40"/>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87"/>
              <w:gridCol w:w="1191"/>
              <w:gridCol w:w="1212"/>
              <w:gridCol w:w="1212"/>
              <w:gridCol w:w="1213"/>
              <w:gridCol w:w="1212"/>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87"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主要污</w:t>
                  </w:r>
                </w:p>
                <w:p>
                  <w:pPr>
                    <w:jc w:val="center"/>
                    <w:rPr>
                      <w:b/>
                      <w:color w:val="auto"/>
                      <w:sz w:val="22"/>
                      <w:szCs w:val="22"/>
                      <w:u w:val="none" w:color="auto"/>
                    </w:rPr>
                  </w:pPr>
                  <w:r>
                    <w:rPr>
                      <w:b/>
                      <w:bCs/>
                      <w:color w:val="auto"/>
                      <w:sz w:val="22"/>
                      <w:szCs w:val="22"/>
                      <w:u w:val="none" w:color="auto"/>
                    </w:rPr>
                    <w:t>染物</w:t>
                  </w:r>
                </w:p>
              </w:tc>
              <w:tc>
                <w:tcPr>
                  <w:tcW w:w="1191" w:type="dxa"/>
                  <w:tcBorders>
                    <w:tl2br w:val="nil"/>
                    <w:tr2bl w:val="nil"/>
                  </w:tcBorders>
                  <w:vAlign w:val="center"/>
                </w:tcPr>
                <w:p>
                  <w:pPr>
                    <w:jc w:val="center"/>
                    <w:rPr>
                      <w:b/>
                      <w:color w:val="auto"/>
                      <w:sz w:val="22"/>
                      <w:szCs w:val="22"/>
                      <w:u w:val="none" w:color="auto"/>
                    </w:rPr>
                  </w:pPr>
                  <w:r>
                    <w:rPr>
                      <w:b/>
                      <w:bCs/>
                      <w:color w:val="auto"/>
                      <w:sz w:val="22"/>
                      <w:szCs w:val="22"/>
                      <w:u w:val="none" w:color="auto"/>
                    </w:rPr>
                    <w:t>pH</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COD</w:t>
                  </w:r>
                  <w:r>
                    <w:rPr>
                      <w:b/>
                      <w:bCs/>
                      <w:color w:val="auto"/>
                      <w:sz w:val="22"/>
                      <w:szCs w:val="22"/>
                      <w:u w:val="none" w:color="auto"/>
                      <w:vertAlign w:val="subscript"/>
                    </w:rPr>
                    <w:t>Cr</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BOD</w:t>
                  </w:r>
                  <w:r>
                    <w:rPr>
                      <w:b/>
                      <w:bCs/>
                      <w:color w:val="auto"/>
                      <w:sz w:val="22"/>
                      <w:szCs w:val="22"/>
                      <w:u w:val="none" w:color="auto"/>
                      <w:vertAlign w:val="subscript"/>
                    </w:rPr>
                    <w:t>5</w:t>
                  </w:r>
                </w:p>
                <w:p>
                  <w:pPr>
                    <w:jc w:val="center"/>
                    <w:rPr>
                      <w:b/>
                      <w:color w:val="auto"/>
                      <w:sz w:val="22"/>
                      <w:szCs w:val="22"/>
                      <w:u w:val="none" w:color="auto"/>
                    </w:rPr>
                  </w:pPr>
                  <w:r>
                    <w:rPr>
                      <w:b/>
                      <w:bCs/>
                      <w:color w:val="auto"/>
                      <w:sz w:val="22"/>
                      <w:szCs w:val="22"/>
                      <w:u w:val="none" w:color="auto"/>
                    </w:rPr>
                    <w:t>（mg/L）</w:t>
                  </w:r>
                </w:p>
              </w:tc>
              <w:tc>
                <w:tcPr>
                  <w:tcW w:w="1213"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氨氮</w:t>
                  </w:r>
                </w:p>
                <w:p>
                  <w:pPr>
                    <w:jc w:val="center"/>
                    <w:rPr>
                      <w:b/>
                      <w:color w:val="auto"/>
                      <w:sz w:val="22"/>
                      <w:szCs w:val="22"/>
                      <w:u w:val="none" w:color="auto"/>
                    </w:rPr>
                  </w:pPr>
                  <w:r>
                    <w:rPr>
                      <w:b/>
                      <w:bCs/>
                      <w:color w:val="auto"/>
                      <w:sz w:val="22"/>
                      <w:szCs w:val="22"/>
                      <w:u w:val="none" w:color="auto"/>
                    </w:rPr>
                    <w:t>（mg/L）</w:t>
                  </w:r>
                </w:p>
              </w:tc>
              <w:tc>
                <w:tcPr>
                  <w:tcW w:w="1212" w:type="dxa"/>
                  <w:tcBorders>
                    <w:tl2br w:val="nil"/>
                    <w:tr2bl w:val="nil"/>
                  </w:tcBorders>
                  <w:vAlign w:val="center"/>
                </w:tcPr>
                <w:p>
                  <w:pPr>
                    <w:jc w:val="center"/>
                    <w:rPr>
                      <w:b/>
                      <w:bCs/>
                      <w:color w:val="auto"/>
                      <w:sz w:val="22"/>
                      <w:szCs w:val="22"/>
                      <w:u w:val="none" w:color="auto"/>
                    </w:rPr>
                  </w:pPr>
                  <w:r>
                    <w:rPr>
                      <w:b/>
                      <w:bCs/>
                      <w:color w:val="auto"/>
                      <w:sz w:val="22"/>
                      <w:szCs w:val="22"/>
                      <w:u w:val="none" w:color="auto"/>
                    </w:rPr>
                    <w:t>DO</w:t>
                  </w:r>
                </w:p>
                <w:p>
                  <w:pPr>
                    <w:jc w:val="center"/>
                    <w:rPr>
                      <w:b/>
                      <w:color w:val="auto"/>
                      <w:sz w:val="22"/>
                      <w:szCs w:val="22"/>
                      <w:u w:val="none" w:color="auto"/>
                    </w:rPr>
                  </w:pPr>
                  <w:r>
                    <w:rPr>
                      <w:b/>
                      <w:bCs/>
                      <w:color w:val="auto"/>
                      <w:sz w:val="22"/>
                      <w:szCs w:val="22"/>
                      <w:u w:val="none" w:color="auto"/>
                    </w:rPr>
                    <w:t>（mg/L）</w:t>
                  </w:r>
                </w:p>
              </w:tc>
              <w:tc>
                <w:tcPr>
                  <w:tcW w:w="1203" w:type="dxa"/>
                  <w:tcBorders>
                    <w:tl2br w:val="nil"/>
                    <w:tr2bl w:val="nil"/>
                  </w:tcBorders>
                  <w:vAlign w:val="center"/>
                </w:tcPr>
                <w:p>
                  <w:pPr>
                    <w:jc w:val="center"/>
                    <w:rPr>
                      <w:b/>
                      <w:color w:val="auto"/>
                      <w:sz w:val="22"/>
                      <w:szCs w:val="22"/>
                      <w:u w:val="none" w:color="auto"/>
                    </w:rPr>
                  </w:pPr>
                  <w:r>
                    <w:rPr>
                      <w:b/>
                      <w:bCs/>
                      <w:color w:val="auto"/>
                      <w:sz w:val="22"/>
                      <w:szCs w:val="22"/>
                      <w:u w:val="none" w:color="auto"/>
                    </w:rPr>
                    <w:t>石油类(mg/L)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87" w:type="dxa"/>
                  <w:tcBorders>
                    <w:tl2br w:val="nil"/>
                    <w:tr2bl w:val="nil"/>
                  </w:tcBorders>
                  <w:vAlign w:val="center"/>
                </w:tcPr>
                <w:p>
                  <w:pPr>
                    <w:jc w:val="center"/>
                    <w:rPr>
                      <w:color w:val="auto"/>
                      <w:sz w:val="22"/>
                      <w:szCs w:val="22"/>
                      <w:u w:val="none" w:color="auto"/>
                    </w:rPr>
                  </w:pPr>
                  <w:r>
                    <w:rPr>
                      <w:bCs/>
                      <w:color w:val="auto"/>
                      <w:sz w:val="22"/>
                      <w:szCs w:val="22"/>
                      <w:u w:val="none" w:color="auto"/>
                    </w:rPr>
                    <w:t>浓度限值</w:t>
                  </w:r>
                </w:p>
              </w:tc>
              <w:tc>
                <w:tcPr>
                  <w:tcW w:w="1191" w:type="dxa"/>
                  <w:tcBorders>
                    <w:tl2br w:val="nil"/>
                    <w:tr2bl w:val="nil"/>
                  </w:tcBorders>
                  <w:vAlign w:val="center"/>
                </w:tcPr>
                <w:p>
                  <w:pPr>
                    <w:jc w:val="center"/>
                    <w:rPr>
                      <w:color w:val="auto"/>
                      <w:sz w:val="22"/>
                      <w:szCs w:val="22"/>
                      <w:u w:val="none" w:color="auto"/>
                    </w:rPr>
                  </w:pPr>
                  <w:r>
                    <w:rPr>
                      <w:bCs/>
                      <w:color w:val="auto"/>
                      <w:sz w:val="22"/>
                      <w:szCs w:val="22"/>
                      <w:u w:val="none" w:color="auto"/>
                    </w:rPr>
                    <w:t>6～9</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≤20</w:t>
                  </w:r>
                </w:p>
              </w:tc>
              <w:tc>
                <w:tcPr>
                  <w:tcW w:w="1212" w:type="dxa"/>
                  <w:tcBorders>
                    <w:tl2br w:val="nil"/>
                    <w:tr2bl w:val="nil"/>
                  </w:tcBorders>
                  <w:vAlign w:val="center"/>
                </w:tcPr>
                <w:p>
                  <w:pPr>
                    <w:jc w:val="center"/>
                    <w:rPr>
                      <w:color w:val="auto"/>
                      <w:sz w:val="22"/>
                      <w:szCs w:val="22"/>
                      <w:u w:val="none" w:color="auto"/>
                    </w:rPr>
                  </w:pPr>
                  <w:r>
                    <w:rPr>
                      <w:bCs/>
                      <w:color w:val="auto"/>
                      <w:sz w:val="22"/>
                      <w:szCs w:val="22"/>
                      <w:u w:val="none" w:color="auto"/>
                    </w:rPr>
                    <w:t>≤4.0</w:t>
                  </w:r>
                </w:p>
              </w:tc>
              <w:tc>
                <w:tcPr>
                  <w:tcW w:w="1213" w:type="dxa"/>
                  <w:tcBorders>
                    <w:tl2br w:val="nil"/>
                    <w:tr2bl w:val="nil"/>
                  </w:tcBorders>
                  <w:vAlign w:val="center"/>
                </w:tcPr>
                <w:p>
                  <w:pPr>
                    <w:jc w:val="center"/>
                    <w:rPr>
                      <w:color w:val="auto"/>
                      <w:sz w:val="22"/>
                      <w:szCs w:val="22"/>
                      <w:u w:val="none" w:color="auto"/>
                    </w:rPr>
                  </w:pPr>
                  <w:r>
                    <w:rPr>
                      <w:bCs/>
                      <w:color w:val="auto"/>
                      <w:sz w:val="22"/>
                      <w:szCs w:val="22"/>
                      <w:u w:val="none" w:color="auto"/>
                    </w:rPr>
                    <w:t>≤1.0</w:t>
                  </w:r>
                </w:p>
              </w:tc>
              <w:tc>
                <w:tcPr>
                  <w:tcW w:w="1212" w:type="dxa"/>
                  <w:tcBorders>
                    <w:tl2br w:val="nil"/>
                    <w:tr2bl w:val="nil"/>
                  </w:tcBorders>
                  <w:vAlign w:val="center"/>
                </w:tcPr>
                <w:p>
                  <w:pPr>
                    <w:jc w:val="center"/>
                    <w:rPr>
                      <w:color w:val="auto"/>
                      <w:sz w:val="22"/>
                      <w:szCs w:val="22"/>
                      <w:u w:val="none" w:color="auto"/>
                    </w:rPr>
                  </w:pPr>
                  <w:r>
                    <w:rPr>
                      <w:color w:val="auto"/>
                      <w:sz w:val="22"/>
                      <w:szCs w:val="22"/>
                      <w:u w:val="none" w:color="auto"/>
                    </w:rPr>
                    <w:t>≥5</w:t>
                  </w:r>
                </w:p>
              </w:tc>
              <w:tc>
                <w:tcPr>
                  <w:tcW w:w="1203" w:type="dxa"/>
                  <w:tcBorders>
                    <w:tl2br w:val="nil"/>
                    <w:tr2bl w:val="nil"/>
                  </w:tcBorders>
                  <w:vAlign w:val="center"/>
                </w:tcPr>
                <w:p>
                  <w:pPr>
                    <w:jc w:val="center"/>
                    <w:rPr>
                      <w:color w:val="auto"/>
                      <w:sz w:val="22"/>
                      <w:szCs w:val="22"/>
                      <w:u w:val="none" w:color="auto"/>
                    </w:rPr>
                  </w:pPr>
                  <w:r>
                    <w:rPr>
                      <w:bCs/>
                      <w:color w:val="auto"/>
                      <w:sz w:val="22"/>
                      <w:szCs w:val="22"/>
                      <w:u w:val="none" w:color="auto"/>
                    </w:rPr>
                    <w:t>≤0.05</w:t>
                  </w:r>
                </w:p>
              </w:tc>
            </w:tr>
          </w:tbl>
          <w:p>
            <w:pPr>
              <w:pStyle w:val="34"/>
              <w:numPr>
                <w:ilvl w:val="0"/>
                <w:numId w:val="0"/>
              </w:numPr>
              <w:spacing w:line="360" w:lineRule="auto"/>
              <w:ind w:leftChars="0"/>
              <w:rPr>
                <w:color w:val="auto"/>
                <w:sz w:val="24"/>
                <w:u w:val="none" w:color="auto"/>
              </w:rPr>
            </w:pPr>
            <w:r>
              <w:rPr>
                <w:rFonts w:hint="eastAsia"/>
                <w:color w:val="auto"/>
                <w:sz w:val="24"/>
                <w:u w:val="none" w:color="auto"/>
                <w:lang w:val="en-US" w:eastAsia="zh-CN"/>
              </w:rPr>
              <w:t>3、</w:t>
            </w:r>
            <w:r>
              <w:rPr>
                <w:color w:val="auto"/>
                <w:sz w:val="24"/>
                <w:u w:val="none" w:color="auto"/>
              </w:rPr>
              <w:t>声环境：执行《声环境质量标准》（GB3096-</w:t>
            </w:r>
            <w:r>
              <w:rPr>
                <w:rFonts w:hint="eastAsia"/>
                <w:color w:val="auto"/>
                <w:sz w:val="24"/>
                <w:u w:val="none" w:color="auto"/>
                <w:lang w:val="en-US" w:eastAsia="zh-CN"/>
              </w:rPr>
              <w:t>2008</w:t>
            </w:r>
            <w:r>
              <w:rPr>
                <w:color w:val="auto"/>
                <w:sz w:val="24"/>
                <w:u w:val="none" w:color="auto"/>
              </w:rPr>
              <w:t>）中的</w:t>
            </w:r>
            <w:r>
              <w:rPr>
                <w:rFonts w:hint="eastAsia"/>
                <w:color w:val="auto"/>
                <w:sz w:val="24"/>
                <w:u w:val="none" w:color="auto"/>
                <w:lang w:val="en-US" w:eastAsia="zh-CN"/>
              </w:rPr>
              <w:t>2</w:t>
            </w:r>
            <w:r>
              <w:rPr>
                <w:color w:val="auto"/>
                <w:sz w:val="24"/>
                <w:u w:val="none" w:color="auto"/>
              </w:rPr>
              <w:t>类标准</w:t>
            </w:r>
          </w:p>
          <w:p>
            <w:pPr>
              <w:pStyle w:val="34"/>
              <w:ind w:left="0" w:leftChars="0" w:firstLine="462"/>
              <w:jc w:val="center"/>
              <w:rPr>
                <w:b/>
                <w:bCs/>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4</w:t>
            </w:r>
            <w:r>
              <w:rPr>
                <w:b/>
                <w:bCs/>
                <w:color w:val="auto"/>
                <w:sz w:val="22"/>
                <w:szCs w:val="22"/>
                <w:u w:val="none" w:color="auto"/>
              </w:rPr>
              <w:t xml:space="preserve">  《声环境质量标准》中的标准</w:t>
            </w:r>
          </w:p>
          <w:tbl>
            <w:tblPr>
              <w:tblStyle w:val="40"/>
              <w:tblW w:w="8430" w:type="dxa"/>
              <w:tblInd w:w="1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12"/>
              <w:gridCol w:w="2806"/>
              <w:gridCol w:w="2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trPr>
              <w:tc>
                <w:tcPr>
                  <w:tcW w:w="2812" w:type="dxa"/>
                  <w:vMerge w:val="restart"/>
                  <w:tcBorders>
                    <w:tl2br w:val="nil"/>
                    <w:tr2bl w:val="nil"/>
                  </w:tcBorders>
                  <w:vAlign w:val="center"/>
                </w:tcPr>
                <w:p>
                  <w:pPr>
                    <w:pStyle w:val="34"/>
                    <w:ind w:left="0" w:leftChars="0" w:firstLine="462"/>
                    <w:jc w:val="center"/>
                    <w:rPr>
                      <w:b/>
                      <w:bCs/>
                      <w:color w:val="auto"/>
                      <w:sz w:val="22"/>
                      <w:szCs w:val="22"/>
                      <w:u w:val="none" w:color="auto"/>
                    </w:rPr>
                  </w:pPr>
                  <w:r>
                    <w:rPr>
                      <w:b/>
                      <w:bCs/>
                      <w:color w:val="auto"/>
                      <w:sz w:val="22"/>
                      <w:szCs w:val="22"/>
                      <w:u w:val="none" w:color="auto"/>
                    </w:rPr>
                    <w:t>声环境功能区类别</w:t>
                  </w:r>
                </w:p>
              </w:tc>
              <w:tc>
                <w:tcPr>
                  <w:tcW w:w="5618" w:type="dxa"/>
                  <w:gridSpan w:val="2"/>
                  <w:tcBorders>
                    <w:tl2br w:val="nil"/>
                    <w:tr2bl w:val="nil"/>
                  </w:tcBorders>
                  <w:vAlign w:val="center"/>
                </w:tcPr>
                <w:p>
                  <w:pPr>
                    <w:pStyle w:val="34"/>
                    <w:ind w:left="0" w:leftChars="0" w:firstLine="462"/>
                    <w:jc w:val="center"/>
                    <w:rPr>
                      <w:b/>
                      <w:bCs/>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2812" w:type="dxa"/>
                  <w:vMerge w:val="continue"/>
                  <w:tcBorders>
                    <w:tl2br w:val="nil"/>
                    <w:tr2bl w:val="nil"/>
                  </w:tcBorders>
                  <w:vAlign w:val="center"/>
                </w:tcPr>
                <w:p>
                  <w:pPr>
                    <w:pStyle w:val="34"/>
                    <w:ind w:left="400" w:firstLine="462"/>
                    <w:jc w:val="center"/>
                    <w:rPr>
                      <w:b/>
                      <w:bCs/>
                      <w:color w:val="auto"/>
                      <w:sz w:val="22"/>
                      <w:szCs w:val="22"/>
                      <w:u w:val="none" w:color="auto"/>
                    </w:rPr>
                  </w:pPr>
                </w:p>
              </w:tc>
              <w:tc>
                <w:tcPr>
                  <w:tcW w:w="2806" w:type="dxa"/>
                  <w:tcBorders>
                    <w:tl2br w:val="nil"/>
                    <w:tr2bl w:val="nil"/>
                  </w:tcBorders>
                  <w:vAlign w:val="center"/>
                </w:tcPr>
                <w:p>
                  <w:pPr>
                    <w:pStyle w:val="34"/>
                    <w:ind w:left="0" w:leftChars="0" w:firstLine="462"/>
                    <w:jc w:val="center"/>
                    <w:rPr>
                      <w:b/>
                      <w:bCs/>
                      <w:color w:val="auto"/>
                      <w:sz w:val="22"/>
                      <w:szCs w:val="22"/>
                      <w:u w:val="none" w:color="auto"/>
                    </w:rPr>
                  </w:pPr>
                  <w:r>
                    <w:rPr>
                      <w:b/>
                      <w:bCs/>
                      <w:color w:val="auto"/>
                      <w:sz w:val="22"/>
                      <w:szCs w:val="22"/>
                      <w:u w:val="none" w:color="auto"/>
                    </w:rPr>
                    <w:t>昼间</w:t>
                  </w:r>
                </w:p>
              </w:tc>
              <w:tc>
                <w:tcPr>
                  <w:tcW w:w="2812" w:type="dxa"/>
                  <w:tcBorders>
                    <w:tl2br w:val="nil"/>
                    <w:tr2bl w:val="nil"/>
                  </w:tcBorders>
                  <w:vAlign w:val="center"/>
                </w:tcPr>
                <w:p>
                  <w:pPr>
                    <w:pStyle w:val="34"/>
                    <w:ind w:left="0" w:leftChars="0" w:firstLine="462"/>
                    <w:jc w:val="center"/>
                    <w:rPr>
                      <w:b/>
                      <w:bCs/>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trPr>
              <w:tc>
                <w:tcPr>
                  <w:tcW w:w="2812" w:type="dxa"/>
                  <w:tcBorders>
                    <w:tl2br w:val="nil"/>
                    <w:tr2bl w:val="nil"/>
                  </w:tcBorders>
                  <w:vAlign w:val="center"/>
                </w:tcPr>
                <w:p>
                  <w:pPr>
                    <w:pStyle w:val="34"/>
                    <w:ind w:left="0" w:leftChars="0" w:firstLine="46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6" w:type="dxa"/>
                  <w:tcBorders>
                    <w:tl2br w:val="nil"/>
                    <w:tr2bl w:val="nil"/>
                  </w:tcBorders>
                  <w:vAlign w:val="center"/>
                </w:tcPr>
                <w:p>
                  <w:pPr>
                    <w:pStyle w:val="34"/>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2" w:type="dxa"/>
                  <w:tcBorders>
                    <w:tl2br w:val="nil"/>
                    <w:tr2bl w:val="nil"/>
                  </w:tcBorders>
                  <w:vAlign w:val="center"/>
                </w:tcPr>
                <w:p>
                  <w:pPr>
                    <w:pStyle w:val="34"/>
                    <w:ind w:left="0" w:leftChars="0" w:firstLine="46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bl>
          <w:p>
            <w:pPr>
              <w:pStyle w:val="165"/>
              <w:ind w:left="360" w:firstLine="0" w:firstLineChars="0"/>
              <w:rPr>
                <w:color w:val="auto"/>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5" w:hRule="atLeast"/>
          <w:jc w:val="center"/>
        </w:trPr>
        <w:tc>
          <w:tcPr>
            <w:tcW w:w="592" w:type="dxa"/>
            <w:vAlign w:val="center"/>
          </w:tcPr>
          <w:p>
            <w:pPr>
              <w:jc w:val="center"/>
              <w:rPr>
                <w:b/>
                <w:bCs/>
                <w:color w:val="auto"/>
                <w:sz w:val="24"/>
                <w:szCs w:val="24"/>
                <w:u w:val="none" w:color="auto"/>
              </w:rPr>
            </w:pPr>
            <w:r>
              <w:rPr>
                <w:b/>
                <w:bCs/>
                <w:color w:val="auto"/>
                <w:sz w:val="24"/>
                <w:szCs w:val="24"/>
                <w:u w:val="none" w:color="auto"/>
              </w:rPr>
              <w:t>污染物排放标准</w:t>
            </w:r>
          </w:p>
        </w:tc>
        <w:tc>
          <w:tcPr>
            <w:tcW w:w="8676" w:type="dxa"/>
            <w:vAlign w:val="center"/>
          </w:tcPr>
          <w:p>
            <w:pPr>
              <w:pStyle w:val="14"/>
              <w:spacing w:line="360" w:lineRule="auto"/>
              <w:rPr>
                <w:color w:val="auto"/>
                <w:sz w:val="24"/>
                <w:szCs w:val="24"/>
                <w:u w:val="none" w:color="auto"/>
              </w:rPr>
            </w:pPr>
            <w:r>
              <w:rPr>
                <w:rFonts w:hint="eastAsia"/>
                <w:color w:val="auto"/>
                <w:kern w:val="0"/>
                <w:sz w:val="24"/>
                <w:szCs w:val="24"/>
                <w:u w:val="none" w:color="auto"/>
              </w:rPr>
              <w:t>1、</w:t>
            </w:r>
            <w:r>
              <w:rPr>
                <w:color w:val="auto"/>
                <w:kern w:val="0"/>
                <w:sz w:val="24"/>
                <w:szCs w:val="24"/>
                <w:u w:val="none" w:color="auto"/>
              </w:rPr>
              <w:t>废水：</w:t>
            </w:r>
            <w:r>
              <w:rPr>
                <w:rStyle w:val="187"/>
                <w:rFonts w:hint="eastAsia"/>
                <w:color w:val="auto"/>
                <w:sz w:val="24"/>
                <w:szCs w:val="24"/>
                <w:u w:val="none" w:color="auto"/>
              </w:rPr>
              <w:t>项目</w:t>
            </w:r>
            <w:r>
              <w:rPr>
                <w:rStyle w:val="187"/>
                <w:rFonts w:hint="eastAsia"/>
                <w:color w:val="auto"/>
                <w:sz w:val="24"/>
                <w:szCs w:val="24"/>
                <w:u w:val="none" w:color="auto"/>
                <w:lang w:eastAsia="zh-CN"/>
              </w:rPr>
              <w:t>生活污水</w:t>
            </w:r>
            <w:r>
              <w:rPr>
                <w:rStyle w:val="187"/>
                <w:rFonts w:hint="eastAsia"/>
                <w:color w:val="auto"/>
                <w:sz w:val="24"/>
                <w:szCs w:val="24"/>
                <w:u w:val="none" w:color="auto"/>
              </w:rPr>
              <w:t>经化粪池处理后排入园区污水管网达到</w:t>
            </w:r>
            <w:r>
              <w:rPr>
                <w:rStyle w:val="187"/>
                <w:color w:val="auto"/>
                <w:sz w:val="24"/>
                <w:szCs w:val="24"/>
                <w:u w:val="none" w:color="auto"/>
              </w:rPr>
              <w:t>《污水综合排放标准》(GB8978-1996)中的</w:t>
            </w:r>
            <w:r>
              <w:rPr>
                <w:rStyle w:val="187"/>
                <w:rFonts w:hint="eastAsia"/>
                <w:color w:val="auto"/>
                <w:sz w:val="24"/>
                <w:szCs w:val="24"/>
                <w:u w:val="none" w:color="auto"/>
                <w:lang w:eastAsia="zh-CN"/>
              </w:rPr>
              <w:t>三</w:t>
            </w:r>
            <w:r>
              <w:rPr>
                <w:rStyle w:val="187"/>
                <w:color w:val="auto"/>
                <w:sz w:val="24"/>
                <w:szCs w:val="24"/>
                <w:u w:val="none" w:color="auto"/>
              </w:rPr>
              <w:t>级</w:t>
            </w:r>
            <w:r>
              <w:rPr>
                <w:rStyle w:val="187"/>
                <w:rFonts w:hint="eastAsia"/>
                <w:color w:val="auto"/>
                <w:sz w:val="24"/>
                <w:szCs w:val="24"/>
                <w:u w:val="none" w:color="auto"/>
              </w:rPr>
              <w:t>标准后进入湘阴县第二污水处理厂，最终排入湘江</w:t>
            </w:r>
            <w:r>
              <w:rPr>
                <w:rFonts w:hint="eastAsia" w:hAnsi="宋体"/>
                <w:color w:val="auto"/>
                <w:sz w:val="24"/>
                <w:szCs w:val="24"/>
                <w:u w:val="none" w:color="auto"/>
              </w:rPr>
              <w:t>。</w:t>
            </w:r>
          </w:p>
          <w:p>
            <w:pPr>
              <w:pStyle w:val="186"/>
              <w:rPr>
                <w:rFonts w:hint="eastAsia" w:eastAsia="宋体"/>
                <w:color w:val="auto"/>
                <w:u w:val="none" w:color="auto"/>
                <w:lang w:eastAsia="zh-CN"/>
              </w:rPr>
            </w:pPr>
            <w:r>
              <w:rPr>
                <w:color w:val="auto"/>
                <w:u w:val="none" w:color="auto"/>
              </w:rPr>
              <w:t>表4-</w:t>
            </w:r>
            <w:r>
              <w:rPr>
                <w:rFonts w:hint="eastAsia"/>
                <w:color w:val="auto"/>
                <w:u w:val="none" w:color="auto"/>
              </w:rPr>
              <w:t>5</w:t>
            </w:r>
            <w:r>
              <w:rPr>
                <w:color w:val="auto"/>
                <w:u w:val="none" w:color="auto"/>
              </w:rPr>
              <w:t xml:space="preserve">  污水排放标准</w:t>
            </w:r>
            <w:r>
              <w:rPr>
                <w:rFonts w:hint="eastAsia"/>
                <w:color w:val="auto"/>
                <w:u w:val="none" w:color="auto"/>
              </w:rPr>
              <w:t xml:space="preserve"> </w:t>
            </w:r>
            <w:r>
              <w:rPr>
                <w:color w:val="auto"/>
                <w:u w:val="none" w:color="auto"/>
              </w:rPr>
              <w:t>单位：mg/L，pH</w:t>
            </w:r>
            <w:r>
              <w:rPr>
                <w:rFonts w:hint="eastAsia"/>
                <w:color w:val="auto"/>
                <w:u w:val="none" w:color="auto"/>
                <w:lang w:eastAsia="zh-CN"/>
              </w:rPr>
              <w:t>：无量纲</w:t>
            </w:r>
          </w:p>
          <w:tbl>
            <w:tblPr>
              <w:tblStyle w:val="40"/>
              <w:tblW w:w="846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10"/>
              <w:gridCol w:w="1878"/>
              <w:gridCol w:w="1245"/>
              <w:gridCol w:w="1302"/>
              <w:gridCol w:w="1645"/>
              <w:gridCol w:w="138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83" w:hRule="atLeast"/>
                <w:jc w:val="center"/>
              </w:trPr>
              <w:tc>
                <w:tcPr>
                  <w:tcW w:w="1010"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水质</w:t>
                  </w:r>
                </w:p>
                <w:p>
                  <w:pPr>
                    <w:pStyle w:val="184"/>
                    <w:spacing w:line="360" w:lineRule="auto"/>
                    <w:rPr>
                      <w:color w:val="auto"/>
                      <w:sz w:val="22"/>
                      <w:szCs w:val="22"/>
                      <w:u w:val="none" w:color="auto"/>
                    </w:rPr>
                  </w:pPr>
                  <w:r>
                    <w:rPr>
                      <w:color w:val="auto"/>
                      <w:sz w:val="22"/>
                      <w:szCs w:val="22"/>
                      <w:u w:val="none" w:color="auto"/>
                    </w:rPr>
                    <w:t>指标</w:t>
                  </w:r>
                </w:p>
              </w:tc>
              <w:tc>
                <w:tcPr>
                  <w:tcW w:w="187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pH</w:t>
                  </w:r>
                </w:p>
              </w:tc>
              <w:tc>
                <w:tcPr>
                  <w:tcW w:w="1245"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COD</w:t>
                  </w:r>
                </w:p>
              </w:tc>
              <w:tc>
                <w:tcPr>
                  <w:tcW w:w="1302"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BOD</w:t>
                  </w:r>
                  <w:r>
                    <w:rPr>
                      <w:color w:val="auto"/>
                      <w:sz w:val="22"/>
                      <w:szCs w:val="22"/>
                      <w:u w:val="none" w:color="auto"/>
                      <w:vertAlign w:val="subscript"/>
                    </w:rPr>
                    <w:t>5</w:t>
                  </w:r>
                </w:p>
              </w:tc>
              <w:tc>
                <w:tcPr>
                  <w:tcW w:w="1645"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氨氮</w:t>
                  </w:r>
                </w:p>
              </w:tc>
              <w:tc>
                <w:tcPr>
                  <w:tcW w:w="1380"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动植物油</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30" w:hRule="atLeast"/>
                <w:jc w:val="center"/>
              </w:trPr>
              <w:tc>
                <w:tcPr>
                  <w:tcW w:w="1010" w:type="dxa"/>
                  <w:vMerge w:val="restart"/>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三级标准</w:t>
                  </w:r>
                </w:p>
              </w:tc>
              <w:tc>
                <w:tcPr>
                  <w:tcW w:w="187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6～9</w:t>
                  </w:r>
                </w:p>
              </w:tc>
              <w:tc>
                <w:tcPr>
                  <w:tcW w:w="124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100</w:t>
                  </w:r>
                </w:p>
              </w:tc>
              <w:tc>
                <w:tcPr>
                  <w:tcW w:w="1302"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20</w:t>
                  </w:r>
                </w:p>
              </w:tc>
              <w:tc>
                <w:tcPr>
                  <w:tcW w:w="164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15</w:t>
                  </w:r>
                </w:p>
              </w:tc>
              <w:tc>
                <w:tcPr>
                  <w:tcW w:w="1380"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1010" w:type="dxa"/>
                  <w:vMerge w:val="continue"/>
                  <w:tcBorders>
                    <w:tl2br w:val="nil"/>
                    <w:tr2bl w:val="nil"/>
                  </w:tcBorders>
                  <w:noWrap w:val="0"/>
                  <w:vAlign w:val="center"/>
                </w:tcPr>
                <w:p>
                  <w:pPr>
                    <w:pStyle w:val="184"/>
                    <w:spacing w:line="360" w:lineRule="auto"/>
                    <w:rPr>
                      <w:color w:val="auto"/>
                      <w:sz w:val="22"/>
                      <w:szCs w:val="22"/>
                      <w:u w:val="none" w:color="auto"/>
                    </w:rPr>
                  </w:pPr>
                </w:p>
              </w:tc>
              <w:tc>
                <w:tcPr>
                  <w:tcW w:w="1878" w:type="dxa"/>
                  <w:tcBorders>
                    <w:tl2br w:val="nil"/>
                    <w:tr2bl w:val="nil"/>
                  </w:tcBorders>
                  <w:noWrap w:val="0"/>
                  <w:vAlign w:val="center"/>
                </w:tcPr>
                <w:p>
                  <w:pPr>
                    <w:pStyle w:val="184"/>
                    <w:spacing w:line="360" w:lineRule="auto"/>
                    <w:rPr>
                      <w:color w:val="auto"/>
                      <w:sz w:val="22"/>
                      <w:szCs w:val="22"/>
                      <w:u w:val="none" w:color="auto"/>
                    </w:rPr>
                  </w:pPr>
                  <w:r>
                    <w:rPr>
                      <w:color w:val="auto"/>
                      <w:sz w:val="22"/>
                      <w:szCs w:val="22"/>
                      <w:u w:val="none" w:color="auto"/>
                    </w:rPr>
                    <w:t>SS</w:t>
                  </w:r>
                </w:p>
              </w:tc>
              <w:tc>
                <w:tcPr>
                  <w:tcW w:w="1245" w:type="dxa"/>
                  <w:tcBorders>
                    <w:tl2br w:val="nil"/>
                    <w:tr2bl w:val="nil"/>
                  </w:tcBorders>
                  <w:noWrap w:val="0"/>
                  <w:vAlign w:val="center"/>
                </w:tcPr>
                <w:p>
                  <w:pPr>
                    <w:pStyle w:val="184"/>
                    <w:spacing w:line="360" w:lineRule="auto"/>
                    <w:rPr>
                      <w:rFonts w:hint="eastAsia" w:eastAsia="宋体"/>
                      <w:color w:val="auto"/>
                      <w:sz w:val="22"/>
                      <w:szCs w:val="22"/>
                      <w:u w:val="none" w:color="auto"/>
                      <w:lang w:eastAsia="zh-CN"/>
                    </w:rPr>
                  </w:pPr>
                  <w:r>
                    <w:rPr>
                      <w:rFonts w:hint="eastAsia"/>
                      <w:color w:val="auto"/>
                      <w:sz w:val="22"/>
                      <w:szCs w:val="22"/>
                      <w:u w:val="none" w:color="auto"/>
                      <w:lang w:eastAsia="zh-CN"/>
                    </w:rPr>
                    <w:t>磷酸盐</w:t>
                  </w:r>
                </w:p>
              </w:tc>
              <w:tc>
                <w:tcPr>
                  <w:tcW w:w="1302" w:type="dxa"/>
                  <w:tcBorders>
                    <w:tl2br w:val="nil"/>
                    <w:tr2bl w:val="nil"/>
                  </w:tcBorders>
                  <w:noWrap w:val="0"/>
                  <w:vAlign w:val="center"/>
                </w:tcPr>
                <w:p>
                  <w:pPr>
                    <w:pStyle w:val="184"/>
                    <w:spacing w:line="360" w:lineRule="auto"/>
                    <w:rPr>
                      <w:color w:val="auto"/>
                      <w:sz w:val="22"/>
                      <w:szCs w:val="22"/>
                      <w:u w:val="none" w:color="auto"/>
                    </w:rPr>
                  </w:pPr>
                </w:p>
              </w:tc>
              <w:tc>
                <w:tcPr>
                  <w:tcW w:w="1645" w:type="dxa"/>
                  <w:tcBorders>
                    <w:tl2br w:val="nil"/>
                    <w:tr2bl w:val="nil"/>
                  </w:tcBorders>
                  <w:noWrap w:val="0"/>
                  <w:vAlign w:val="center"/>
                </w:tcPr>
                <w:p>
                  <w:pPr>
                    <w:pStyle w:val="184"/>
                    <w:spacing w:line="360" w:lineRule="auto"/>
                    <w:rPr>
                      <w:color w:val="auto"/>
                      <w:sz w:val="22"/>
                      <w:szCs w:val="22"/>
                      <w:u w:val="none" w:color="auto"/>
                    </w:rPr>
                  </w:pPr>
                </w:p>
              </w:tc>
              <w:tc>
                <w:tcPr>
                  <w:tcW w:w="1380" w:type="dxa"/>
                  <w:tcBorders>
                    <w:tl2br w:val="nil"/>
                    <w:tr2bl w:val="nil"/>
                  </w:tcBorders>
                  <w:noWrap w:val="0"/>
                  <w:vAlign w:val="center"/>
                </w:tcPr>
                <w:p>
                  <w:pPr>
                    <w:pStyle w:val="184"/>
                    <w:spacing w:line="360" w:lineRule="auto"/>
                    <w:rPr>
                      <w:color w:val="auto"/>
                      <w:sz w:val="22"/>
                      <w:szCs w:val="22"/>
                      <w:u w:val="none" w:color="auto"/>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010" w:type="dxa"/>
                  <w:vMerge w:val="continue"/>
                  <w:tcBorders>
                    <w:tl2br w:val="nil"/>
                    <w:tr2bl w:val="nil"/>
                  </w:tcBorders>
                  <w:noWrap w:val="0"/>
                  <w:vAlign w:val="center"/>
                </w:tcPr>
                <w:p>
                  <w:pPr>
                    <w:pStyle w:val="184"/>
                    <w:spacing w:line="360" w:lineRule="auto"/>
                    <w:rPr>
                      <w:color w:val="auto"/>
                      <w:sz w:val="22"/>
                      <w:szCs w:val="22"/>
                      <w:u w:val="none" w:color="auto"/>
                    </w:rPr>
                  </w:pPr>
                </w:p>
              </w:tc>
              <w:tc>
                <w:tcPr>
                  <w:tcW w:w="1878"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70</w:t>
                  </w:r>
                </w:p>
              </w:tc>
              <w:tc>
                <w:tcPr>
                  <w:tcW w:w="1245" w:type="dxa"/>
                  <w:tcBorders>
                    <w:tl2br w:val="nil"/>
                    <w:tr2bl w:val="nil"/>
                  </w:tcBorders>
                  <w:noWrap w:val="0"/>
                  <w:vAlign w:val="center"/>
                </w:tcPr>
                <w:p>
                  <w:pPr>
                    <w:pStyle w:val="184"/>
                    <w:spacing w:line="360" w:lineRule="auto"/>
                    <w:rPr>
                      <w:rFonts w:hint="default" w:eastAsia="宋体"/>
                      <w:color w:val="auto"/>
                      <w:sz w:val="22"/>
                      <w:szCs w:val="22"/>
                      <w:u w:val="none" w:color="auto"/>
                      <w:lang w:val="en-US" w:eastAsia="zh-CN"/>
                    </w:rPr>
                  </w:pPr>
                  <w:r>
                    <w:rPr>
                      <w:rFonts w:hint="eastAsia"/>
                      <w:color w:val="auto"/>
                      <w:sz w:val="22"/>
                      <w:szCs w:val="22"/>
                      <w:u w:val="none" w:color="auto"/>
                      <w:lang w:val="en-US" w:eastAsia="zh-CN"/>
                    </w:rPr>
                    <w:t>0.5</w:t>
                  </w:r>
                </w:p>
              </w:tc>
              <w:tc>
                <w:tcPr>
                  <w:tcW w:w="1302" w:type="dxa"/>
                  <w:tcBorders>
                    <w:tl2br w:val="nil"/>
                    <w:tr2bl w:val="nil"/>
                  </w:tcBorders>
                  <w:noWrap w:val="0"/>
                  <w:vAlign w:val="center"/>
                </w:tcPr>
                <w:p>
                  <w:pPr>
                    <w:pStyle w:val="184"/>
                    <w:spacing w:line="360" w:lineRule="auto"/>
                    <w:rPr>
                      <w:color w:val="auto"/>
                      <w:sz w:val="22"/>
                      <w:szCs w:val="22"/>
                      <w:u w:val="none" w:color="auto"/>
                    </w:rPr>
                  </w:pPr>
                </w:p>
              </w:tc>
              <w:tc>
                <w:tcPr>
                  <w:tcW w:w="1645" w:type="dxa"/>
                  <w:tcBorders>
                    <w:tl2br w:val="nil"/>
                    <w:tr2bl w:val="nil"/>
                  </w:tcBorders>
                  <w:noWrap w:val="0"/>
                  <w:vAlign w:val="center"/>
                </w:tcPr>
                <w:p>
                  <w:pPr>
                    <w:pStyle w:val="184"/>
                    <w:spacing w:line="360" w:lineRule="auto"/>
                    <w:rPr>
                      <w:color w:val="auto"/>
                      <w:sz w:val="22"/>
                      <w:szCs w:val="22"/>
                      <w:u w:val="none" w:color="auto"/>
                    </w:rPr>
                  </w:pPr>
                </w:p>
              </w:tc>
              <w:tc>
                <w:tcPr>
                  <w:tcW w:w="1380" w:type="dxa"/>
                  <w:tcBorders>
                    <w:tl2br w:val="nil"/>
                    <w:tr2bl w:val="nil"/>
                  </w:tcBorders>
                  <w:noWrap w:val="0"/>
                  <w:vAlign w:val="center"/>
                </w:tcPr>
                <w:p>
                  <w:pPr>
                    <w:pStyle w:val="184"/>
                    <w:spacing w:line="360" w:lineRule="auto"/>
                    <w:rPr>
                      <w:rFonts w:hint="eastAsia"/>
                      <w:color w:val="auto"/>
                      <w:sz w:val="22"/>
                      <w:szCs w:val="22"/>
                      <w:u w:val="none" w:color="auto"/>
                    </w:rPr>
                  </w:pPr>
                </w:p>
              </w:tc>
            </w:tr>
          </w:tbl>
          <w:p>
            <w:pPr>
              <w:keepNext w:val="0"/>
              <w:keepLines w:val="0"/>
              <w:widowControl/>
              <w:numPr>
                <w:ilvl w:val="0"/>
                <w:numId w:val="0"/>
              </w:numPr>
              <w:suppressLineNumbers w:val="0"/>
              <w:spacing w:line="360" w:lineRule="auto"/>
              <w:jc w:val="left"/>
              <w:rPr>
                <w:rFonts w:hint="default" w:ascii="Times New Roman" w:hAnsi="Times New Roman" w:eastAsia="宋体" w:cs="Times New Roman"/>
                <w:color w:val="auto"/>
                <w:kern w:val="0"/>
                <w:sz w:val="24"/>
                <w:szCs w:val="24"/>
                <w:u w:val="none" w:color="auto"/>
                <w:lang w:val="en-US" w:eastAsia="zh-CN" w:bidi="ar"/>
              </w:rPr>
            </w:pPr>
            <w:r>
              <w:rPr>
                <w:rFonts w:hint="eastAsia"/>
                <w:color w:val="auto"/>
                <w:sz w:val="24"/>
                <w:szCs w:val="24"/>
                <w:u w:val="none" w:color="auto"/>
              </w:rPr>
              <w:t>2</w:t>
            </w:r>
            <w:r>
              <w:rPr>
                <w:color w:val="auto"/>
                <w:kern w:val="0"/>
                <w:sz w:val="24"/>
                <w:szCs w:val="24"/>
                <w:u w:val="none" w:color="auto"/>
              </w:rPr>
              <w:t>、</w:t>
            </w:r>
            <w:r>
              <w:rPr>
                <w:rFonts w:hint="default" w:ascii="Times New Roman" w:hAnsi="Times New Roman" w:eastAsia="宋体" w:cs="Times New Roman"/>
                <w:color w:val="auto"/>
                <w:kern w:val="0"/>
                <w:sz w:val="24"/>
                <w:szCs w:val="24"/>
                <w:u w:val="none" w:color="auto"/>
                <w:lang w:val="en-US" w:eastAsia="zh-CN" w:bidi="ar"/>
              </w:rPr>
              <w:t>废气：颗粒物执行《大气污染物综合排放标准》（GB16297-1996）表2的二级标准</w:t>
            </w:r>
            <w:r>
              <w:rPr>
                <w:rFonts w:hint="eastAsia" w:ascii="Times New Roman" w:hAnsi="Times New Roman" w:cs="Times New Roman"/>
                <w:color w:val="auto"/>
                <w:kern w:val="0"/>
                <w:sz w:val="24"/>
                <w:szCs w:val="24"/>
                <w:u w:val="none" w:color="auto"/>
                <w:lang w:val="en-US" w:eastAsia="zh-CN" w:bidi="ar"/>
              </w:rPr>
              <w:t>和无组织排放标准</w:t>
            </w:r>
            <w:r>
              <w:rPr>
                <w:rFonts w:hint="default" w:ascii="Times New Roman" w:hAnsi="Times New Roman" w:eastAsia="宋体" w:cs="Times New Roman"/>
                <w:color w:val="auto"/>
                <w:kern w:val="0"/>
                <w:sz w:val="24"/>
                <w:szCs w:val="24"/>
                <w:u w:val="none" w:color="auto"/>
                <w:lang w:val="en-US" w:eastAsia="zh-CN" w:bidi="ar"/>
              </w:rPr>
              <w:t>，有机废气执行《表面涂装（汽车制造及维修）挥发性有机物、 镍排放标准》（DB43/1356-2017）表1中排放标准；无组织有机废气排放执行《挥发性有机物无组织排放控制标准》（GB37822-2019）中限值要求</w:t>
            </w:r>
            <w:r>
              <w:rPr>
                <w:rFonts w:hint="eastAsia" w:cs="Times New Roman"/>
                <w:color w:val="auto"/>
                <w:kern w:val="0"/>
                <w:sz w:val="24"/>
                <w:szCs w:val="24"/>
                <w:u w:val="none" w:color="auto"/>
                <w:lang w:val="en-US" w:eastAsia="zh-CN" w:bidi="ar"/>
              </w:rPr>
              <w:t>。</w:t>
            </w:r>
          </w:p>
          <w:p>
            <w:pPr>
              <w:pStyle w:val="39"/>
              <w:adjustRightInd w:val="0"/>
              <w:snapToGrid w:val="0"/>
              <w:spacing w:after="0" w:line="360" w:lineRule="auto"/>
              <w:ind w:left="0" w:leftChars="0" w:firstLine="0" w:firstLineChars="0"/>
              <w:jc w:val="center"/>
              <w:rPr>
                <w:rFonts w:ascii="Times New Roman" w:hAnsi="Times New Roman" w:eastAsia="宋体" w:cs="Times New Roman"/>
                <w:b w:val="0"/>
                <w:bCs/>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6</w:t>
            </w:r>
            <w:r>
              <w:rPr>
                <w:rFonts w:ascii="Times New Roman" w:hAnsi="Times New Roman" w:eastAsia="宋体" w:cs="Times New Roman"/>
                <w:b w:val="0"/>
                <w:bCs/>
                <w:color w:val="auto"/>
                <w:kern w:val="2"/>
                <w:sz w:val="22"/>
                <w:szCs w:val="22"/>
                <w:u w:val="none" w:color="auto"/>
                <w:lang w:val="en-US" w:eastAsia="zh-CN" w:bidi="ar-SA"/>
              </w:rPr>
              <w:t xml:space="preserve"> </w:t>
            </w:r>
            <w:r>
              <w:rPr>
                <w:rFonts w:hint="default" w:ascii="Times New Roman" w:hAnsi="Times New Roman" w:eastAsia="宋体" w:cs="Times New Roman"/>
                <w:b w:val="0"/>
                <w:bCs/>
                <w:color w:val="auto"/>
                <w:kern w:val="2"/>
                <w:sz w:val="22"/>
                <w:szCs w:val="22"/>
                <w:u w:val="none" w:color="auto"/>
                <w:lang w:val="en-US" w:eastAsia="zh-CN" w:bidi="ar-SA"/>
              </w:rPr>
              <w:t>《大气污染物综合排放标准》（GB16297-1996）</w:t>
            </w:r>
          </w:p>
          <w:tbl>
            <w:tblPr>
              <w:tblStyle w:val="40"/>
              <w:tblW w:w="838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36"/>
              <w:gridCol w:w="1700"/>
              <w:gridCol w:w="1843"/>
              <w:gridCol w:w="2126"/>
              <w:gridCol w:w="14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1236"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170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1843"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c>
                <w:tcPr>
                  <w:tcW w:w="3605" w:type="dxa"/>
                  <w:gridSpan w:val="2"/>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 xml:space="preserve">无组织排放监测浓度限值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1236" w:type="dxa"/>
                  <w:vMerge w:val="continue"/>
                  <w:vAlign w:val="center"/>
                </w:tcPr>
                <w:p>
                  <w:pPr>
                    <w:adjustRightInd w:val="0"/>
                    <w:snapToGrid w:val="0"/>
                    <w:spacing w:line="360" w:lineRule="auto"/>
                    <w:jc w:val="center"/>
                    <w:rPr>
                      <w:b/>
                      <w:color w:val="auto"/>
                      <w:sz w:val="22"/>
                      <w:szCs w:val="22"/>
                      <w:u w:val="none" w:color="auto"/>
                    </w:rPr>
                  </w:pPr>
                </w:p>
              </w:tc>
              <w:tc>
                <w:tcPr>
                  <w:tcW w:w="1700" w:type="dxa"/>
                  <w:vMerge w:val="continue"/>
                  <w:vAlign w:val="center"/>
                </w:tcPr>
                <w:p>
                  <w:pPr>
                    <w:adjustRightInd w:val="0"/>
                    <w:snapToGrid w:val="0"/>
                    <w:spacing w:line="360" w:lineRule="auto"/>
                    <w:jc w:val="center"/>
                    <w:rPr>
                      <w:b/>
                      <w:color w:val="auto"/>
                      <w:sz w:val="22"/>
                      <w:szCs w:val="22"/>
                      <w:u w:val="none" w:color="auto"/>
                    </w:rPr>
                  </w:pPr>
                </w:p>
              </w:tc>
              <w:tc>
                <w:tcPr>
                  <w:tcW w:w="1843" w:type="dxa"/>
                  <w:vMerge w:val="continue"/>
                </w:tcPr>
                <w:p>
                  <w:pPr>
                    <w:adjustRightInd w:val="0"/>
                    <w:snapToGrid w:val="0"/>
                    <w:spacing w:line="360" w:lineRule="auto"/>
                    <w:jc w:val="center"/>
                    <w:rPr>
                      <w:b/>
                      <w:color w:val="auto"/>
                      <w:sz w:val="22"/>
                      <w:szCs w:val="22"/>
                      <w:u w:val="none" w:color="auto"/>
                    </w:rPr>
                  </w:pPr>
                </w:p>
              </w:tc>
              <w:tc>
                <w:tcPr>
                  <w:tcW w:w="2126"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rPr>
                    <w:t>监控点</w:t>
                  </w:r>
                </w:p>
              </w:tc>
              <w:tc>
                <w:tcPr>
                  <w:tcW w:w="1479" w:type="dxa"/>
                  <w:vAlign w:val="center"/>
                </w:tcPr>
                <w:p>
                  <w:pPr>
                    <w:adjustRightInd w:val="0"/>
                    <w:snapToGrid w:val="0"/>
                    <w:spacing w:line="360" w:lineRule="auto"/>
                    <w:jc w:val="center"/>
                    <w:rPr>
                      <w:b/>
                      <w:color w:val="auto"/>
                      <w:sz w:val="22"/>
                      <w:szCs w:val="22"/>
                      <w:u w:val="none" w:color="auto"/>
                    </w:rPr>
                  </w:pPr>
                  <w:r>
                    <w:rPr>
                      <w:rFonts w:hint="eastAsia"/>
                      <w:b/>
                      <w:color w:val="auto"/>
                      <w:sz w:val="22"/>
                      <w:szCs w:val="22"/>
                      <w:u w:val="none" w:color="auto"/>
                    </w:rPr>
                    <w:t>浓度</w:t>
                  </w:r>
                  <w:r>
                    <w:rPr>
                      <w:b/>
                      <w:color w:val="auto"/>
                      <w:sz w:val="22"/>
                      <w:szCs w:val="22"/>
                      <w:u w:val="none" w:color="auto"/>
                    </w:rPr>
                    <w:t>(mg/m</w:t>
                  </w:r>
                  <w:r>
                    <w:rPr>
                      <w:b/>
                      <w:color w:val="auto"/>
                      <w:sz w:val="22"/>
                      <w:szCs w:val="22"/>
                      <w:u w:val="none" w:color="auto"/>
                      <w:vertAlign w:val="superscript"/>
                    </w:rPr>
                    <w:t>3</w:t>
                  </w:r>
                  <w:r>
                    <w:rPr>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7" w:hRule="atLeast"/>
                <w:jc w:val="center"/>
              </w:trPr>
              <w:tc>
                <w:tcPr>
                  <w:tcW w:w="1236"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颗粒物</w:t>
                  </w:r>
                </w:p>
              </w:tc>
              <w:tc>
                <w:tcPr>
                  <w:tcW w:w="1700"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1</w:t>
                  </w:r>
                  <w:r>
                    <w:rPr>
                      <w:color w:val="auto"/>
                      <w:sz w:val="22"/>
                      <w:szCs w:val="22"/>
                      <w:u w:val="none" w:color="auto"/>
                    </w:rPr>
                    <w:t>20</w:t>
                  </w:r>
                </w:p>
              </w:tc>
              <w:tc>
                <w:tcPr>
                  <w:tcW w:w="1843"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3</w:t>
                  </w:r>
                  <w:r>
                    <w:rPr>
                      <w:color w:val="auto"/>
                      <w:sz w:val="22"/>
                      <w:szCs w:val="22"/>
                      <w:u w:val="none" w:color="auto"/>
                    </w:rPr>
                    <w:t>.5</w:t>
                  </w:r>
                </w:p>
              </w:tc>
              <w:tc>
                <w:tcPr>
                  <w:tcW w:w="2126"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周界外浓度最高点</w:t>
                  </w:r>
                </w:p>
              </w:tc>
              <w:tc>
                <w:tcPr>
                  <w:tcW w:w="1479" w:type="dxa"/>
                  <w:vAlign w:val="center"/>
                </w:tcPr>
                <w:p>
                  <w:pPr>
                    <w:adjustRightInd w:val="0"/>
                    <w:snapToGrid w:val="0"/>
                    <w:spacing w:line="360" w:lineRule="auto"/>
                    <w:jc w:val="center"/>
                    <w:rPr>
                      <w:color w:val="auto"/>
                      <w:sz w:val="22"/>
                      <w:szCs w:val="22"/>
                      <w:u w:val="none" w:color="auto"/>
                    </w:rPr>
                  </w:pPr>
                  <w:r>
                    <w:rPr>
                      <w:rFonts w:hint="eastAsia"/>
                      <w:color w:val="auto"/>
                      <w:sz w:val="22"/>
                      <w:szCs w:val="22"/>
                      <w:u w:val="none" w:color="auto"/>
                    </w:rPr>
                    <w:t>1</w:t>
                  </w:r>
                  <w:r>
                    <w:rPr>
                      <w:color w:val="auto"/>
                      <w:sz w:val="22"/>
                      <w:szCs w:val="22"/>
                      <w:u w:val="none" w:color="auto"/>
                    </w:rPr>
                    <w:t>.0</w:t>
                  </w:r>
                </w:p>
              </w:tc>
            </w:tr>
          </w:tbl>
          <w:p>
            <w:pPr>
              <w:pStyle w:val="39"/>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val="0"/>
                <w:bCs/>
                <w:color w:val="auto"/>
                <w:kern w:val="2"/>
                <w:sz w:val="22"/>
                <w:szCs w:val="22"/>
                <w:u w:val="none" w:color="auto"/>
                <w:lang w:val="en-US" w:eastAsia="zh-CN" w:bidi="ar-SA"/>
              </w:rPr>
              <w:t>表4</w:t>
            </w:r>
            <w:r>
              <w:rPr>
                <w:rFonts w:ascii="Times New Roman" w:hAnsi="Times New Roman" w:eastAsia="宋体" w:cs="Times New Roman"/>
                <w:b w:val="0"/>
                <w:bCs/>
                <w:color w:val="auto"/>
                <w:kern w:val="2"/>
                <w:sz w:val="22"/>
                <w:szCs w:val="22"/>
                <w:u w:val="none" w:color="auto"/>
                <w:lang w:val="en-US" w:eastAsia="zh-CN" w:bidi="ar-SA"/>
              </w:rPr>
              <w:t>-</w:t>
            </w:r>
            <w:r>
              <w:rPr>
                <w:rFonts w:hint="eastAsia" w:cs="Times New Roman"/>
                <w:b w:val="0"/>
                <w:bCs/>
                <w:color w:val="auto"/>
                <w:kern w:val="2"/>
                <w:sz w:val="22"/>
                <w:szCs w:val="22"/>
                <w:u w:val="none" w:color="auto"/>
                <w:lang w:val="en-US" w:eastAsia="zh-CN" w:bidi="ar-SA"/>
              </w:rPr>
              <w:t>7</w:t>
            </w:r>
            <w:r>
              <w:rPr>
                <w:rFonts w:ascii="Times New Roman" w:hAnsi="Times New Roman" w:eastAsia="宋体" w:cs="Times New Roman"/>
                <w:b w:val="0"/>
                <w:bCs/>
                <w:color w:val="auto"/>
                <w:kern w:val="2"/>
                <w:sz w:val="22"/>
                <w:szCs w:val="22"/>
                <w:u w:val="none" w:color="auto"/>
                <w:lang w:val="en-US" w:eastAsia="zh-CN" w:bidi="ar-SA"/>
              </w:rPr>
              <w:t xml:space="preserve"> </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《表面涂装（汽车制造及维修）挥发性有机物、 镍排放标准》（DB43/1356-2017）</w:t>
            </w:r>
          </w:p>
          <w:tbl>
            <w:tblPr>
              <w:tblStyle w:val="40"/>
              <w:tblW w:w="843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80"/>
              <w:gridCol w:w="2999"/>
              <w:gridCol w:w="3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2180"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污染物</w:t>
                  </w:r>
                </w:p>
              </w:tc>
              <w:tc>
                <w:tcPr>
                  <w:tcW w:w="2999"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最高允许排放浓度(mg/m</w:t>
                  </w:r>
                  <w:r>
                    <w:rPr>
                      <w:b/>
                      <w:color w:val="auto"/>
                      <w:sz w:val="22"/>
                      <w:szCs w:val="22"/>
                      <w:u w:val="none" w:color="auto"/>
                      <w:vertAlign w:val="superscript"/>
                    </w:rPr>
                    <w:t>3</w:t>
                  </w:r>
                  <w:r>
                    <w:rPr>
                      <w:rFonts w:hint="eastAsia"/>
                      <w:b/>
                      <w:color w:val="auto"/>
                      <w:sz w:val="22"/>
                      <w:szCs w:val="22"/>
                      <w:u w:val="none" w:color="auto"/>
                    </w:rPr>
                    <w:t>)</w:t>
                  </w:r>
                </w:p>
              </w:tc>
              <w:tc>
                <w:tcPr>
                  <w:tcW w:w="3251" w:type="dxa"/>
                  <w:vMerge w:val="restart"/>
                  <w:vAlign w:val="center"/>
                </w:tcPr>
                <w:p>
                  <w:pPr>
                    <w:adjustRightInd w:val="0"/>
                    <w:snapToGrid w:val="0"/>
                    <w:spacing w:line="360" w:lineRule="auto"/>
                    <w:jc w:val="center"/>
                    <w:rPr>
                      <w:b/>
                      <w:color w:val="auto"/>
                      <w:sz w:val="22"/>
                      <w:szCs w:val="22"/>
                      <w:u w:val="none" w:color="auto"/>
                    </w:rPr>
                  </w:pPr>
                  <w:r>
                    <w:rPr>
                      <w:b/>
                      <w:color w:val="auto"/>
                      <w:sz w:val="22"/>
                      <w:szCs w:val="22"/>
                      <w:u w:val="none" w:color="auto"/>
                    </w:rPr>
                    <w:t>最高允许排放</w:t>
                  </w:r>
                  <w:r>
                    <w:rPr>
                      <w:rFonts w:hint="eastAsia"/>
                      <w:b/>
                      <w:color w:val="auto"/>
                      <w:sz w:val="22"/>
                      <w:szCs w:val="22"/>
                      <w:u w:val="none" w:color="auto"/>
                    </w:rPr>
                    <w:t>速率（k</w:t>
                  </w:r>
                  <w:r>
                    <w:rPr>
                      <w:b/>
                      <w:color w:val="auto"/>
                      <w:sz w:val="22"/>
                      <w:szCs w:val="22"/>
                      <w:u w:val="none" w:color="auto"/>
                    </w:rPr>
                    <w:t>g/h</w:t>
                  </w:r>
                  <w:r>
                    <w:rPr>
                      <w:rFonts w:hint="eastAsia"/>
                      <w:b/>
                      <w:color w:val="auto"/>
                      <w:sz w:val="22"/>
                      <w:szCs w:val="22"/>
                      <w:u w:val="none" w:color="auto"/>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2180" w:type="dxa"/>
                  <w:vMerge w:val="continue"/>
                  <w:vAlign w:val="center"/>
                </w:tcPr>
                <w:p>
                  <w:pPr>
                    <w:adjustRightInd w:val="0"/>
                    <w:snapToGrid w:val="0"/>
                    <w:spacing w:line="360" w:lineRule="auto"/>
                    <w:jc w:val="center"/>
                    <w:rPr>
                      <w:b/>
                      <w:color w:val="auto"/>
                      <w:sz w:val="22"/>
                      <w:szCs w:val="22"/>
                      <w:u w:val="none" w:color="auto"/>
                    </w:rPr>
                  </w:pPr>
                </w:p>
              </w:tc>
              <w:tc>
                <w:tcPr>
                  <w:tcW w:w="2999" w:type="dxa"/>
                  <w:vMerge w:val="continue"/>
                  <w:vAlign w:val="center"/>
                </w:tcPr>
                <w:p>
                  <w:pPr>
                    <w:adjustRightInd w:val="0"/>
                    <w:snapToGrid w:val="0"/>
                    <w:spacing w:line="360" w:lineRule="auto"/>
                    <w:jc w:val="center"/>
                    <w:rPr>
                      <w:b/>
                      <w:color w:val="auto"/>
                      <w:sz w:val="22"/>
                      <w:szCs w:val="22"/>
                      <w:u w:val="none" w:color="auto"/>
                    </w:rPr>
                  </w:pPr>
                </w:p>
              </w:tc>
              <w:tc>
                <w:tcPr>
                  <w:tcW w:w="3251" w:type="dxa"/>
                  <w:vMerge w:val="continue"/>
                </w:tcPr>
                <w:p>
                  <w:pPr>
                    <w:adjustRightInd w:val="0"/>
                    <w:snapToGrid w:val="0"/>
                    <w:spacing w:line="360" w:lineRule="auto"/>
                    <w:jc w:val="center"/>
                    <w:rPr>
                      <w:b/>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3" w:hRule="atLeast"/>
                <w:jc w:val="center"/>
              </w:trPr>
              <w:tc>
                <w:tcPr>
                  <w:tcW w:w="2180" w:type="dxa"/>
                  <w:vAlign w:val="center"/>
                </w:tcPr>
                <w:p>
                  <w:pPr>
                    <w:adjustRightInd w:val="0"/>
                    <w:snapToGrid w:val="0"/>
                    <w:spacing w:line="360" w:lineRule="auto"/>
                    <w:jc w:val="center"/>
                    <w:rPr>
                      <w:color w:val="auto"/>
                      <w:sz w:val="22"/>
                      <w:szCs w:val="22"/>
                      <w:u w:val="none" w:color="auto"/>
                    </w:rPr>
                  </w:pPr>
                  <w:r>
                    <w:rPr>
                      <w:rFonts w:hint="default" w:ascii="Times New Roman" w:hAnsi="Times New Roman" w:cs="Times New Roman"/>
                      <w:color w:val="auto"/>
                      <w:kern w:val="0"/>
                      <w:sz w:val="24"/>
                      <w:szCs w:val="24"/>
                      <w:u w:val="none" w:color="auto"/>
                      <w:lang w:val="en-US" w:eastAsia="zh-CN" w:bidi="ar"/>
                    </w:rPr>
                    <w:t xml:space="preserve">VOCs </w:t>
                  </w:r>
                </w:p>
              </w:tc>
              <w:tc>
                <w:tcPr>
                  <w:tcW w:w="2999" w:type="dxa"/>
                  <w:vAlign w:val="center"/>
                </w:tcPr>
                <w:p>
                  <w:pPr>
                    <w:adjustRightInd w:val="0"/>
                    <w:snapToGrid w:val="0"/>
                    <w:spacing w:line="360" w:lineRule="auto"/>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50</w:t>
                  </w:r>
                </w:p>
              </w:tc>
              <w:tc>
                <w:tcPr>
                  <w:tcW w:w="3251" w:type="dxa"/>
                  <w:vAlign w:val="center"/>
                </w:tcPr>
                <w:p>
                  <w:pPr>
                    <w:adjustRightInd w:val="0"/>
                    <w:snapToGrid w:val="0"/>
                    <w:spacing w:line="360" w:lineRule="auto"/>
                    <w:jc w:val="center"/>
                    <w:rPr>
                      <w:rFonts w:hint="eastAsia" w:eastAsia="宋体"/>
                      <w:color w:val="auto"/>
                      <w:sz w:val="22"/>
                      <w:szCs w:val="22"/>
                      <w:u w:val="none" w:color="auto"/>
                      <w:lang w:val="en-US" w:eastAsia="zh-CN"/>
                    </w:rPr>
                  </w:pPr>
                  <w:r>
                    <w:rPr>
                      <w:rFonts w:hint="eastAsia"/>
                      <w:color w:val="auto"/>
                      <w:sz w:val="22"/>
                      <w:szCs w:val="22"/>
                      <w:u w:val="none" w:color="auto"/>
                      <w:lang w:val="en-US" w:eastAsia="zh-CN"/>
                    </w:rPr>
                    <w:t>/</w:t>
                  </w:r>
                </w:p>
              </w:tc>
            </w:tr>
          </w:tbl>
          <w:p>
            <w:pPr>
              <w:keepNext w:val="0"/>
              <w:keepLines w:val="0"/>
              <w:widowControl/>
              <w:numPr>
                <w:ilvl w:val="0"/>
                <w:numId w:val="0"/>
              </w:numPr>
              <w:suppressLineNumbers w:val="0"/>
              <w:spacing w:line="360" w:lineRule="auto"/>
              <w:jc w:val="left"/>
              <w:rPr>
                <w:rFonts w:hint="eastAsia" w:ascii="Times New Roman" w:hAnsi="Times New Roman" w:cs="Times New Roman"/>
                <w:color w:val="auto"/>
                <w:kern w:val="0"/>
                <w:sz w:val="24"/>
                <w:szCs w:val="24"/>
                <w:u w:val="none" w:color="auto"/>
                <w:lang w:val="en-US" w:eastAsia="zh-CN" w:bidi="ar"/>
              </w:rPr>
            </w:pPr>
            <w:r>
              <w:rPr>
                <w:rFonts w:hint="eastAsia" w:ascii="Times New Roman" w:hAnsi="Times New Roman" w:cs="Times New Roman"/>
                <w:color w:val="auto"/>
                <w:kern w:val="0"/>
                <w:sz w:val="24"/>
                <w:szCs w:val="24"/>
                <w:u w:val="none" w:color="auto"/>
                <w:lang w:val="en-US" w:eastAsia="zh-CN" w:bidi="ar"/>
              </w:rPr>
              <w:t xml:space="preserve">注：因《表面涂装（汽车制造及维修）挥发性有机物、镍排放标准》（DB43/1356-2017） </w:t>
            </w:r>
          </w:p>
          <w:p>
            <w:pPr>
              <w:keepNext w:val="0"/>
              <w:keepLines w:val="0"/>
              <w:widowControl/>
              <w:numPr>
                <w:ilvl w:val="0"/>
                <w:numId w:val="0"/>
              </w:numPr>
              <w:suppressLineNumbers w:val="0"/>
              <w:spacing w:line="360" w:lineRule="auto"/>
              <w:jc w:val="left"/>
              <w:rPr>
                <w:rFonts w:hint="eastAsia"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cs="Times New Roman"/>
                <w:color w:val="auto"/>
                <w:kern w:val="0"/>
                <w:sz w:val="24"/>
                <w:szCs w:val="24"/>
                <w:u w:val="none" w:color="auto"/>
                <w:lang w:val="en-US" w:eastAsia="zh-CN" w:bidi="ar"/>
              </w:rPr>
              <w:t xml:space="preserve">表 </w:t>
            </w:r>
            <w:r>
              <w:rPr>
                <w:rFonts w:hint="default" w:ascii="Times New Roman" w:hAnsi="Times New Roman" w:cs="Times New Roman"/>
                <w:color w:val="auto"/>
                <w:kern w:val="0"/>
                <w:sz w:val="24"/>
                <w:szCs w:val="24"/>
                <w:u w:val="none" w:color="auto"/>
                <w:lang w:val="en-US" w:eastAsia="zh-CN" w:bidi="ar"/>
              </w:rPr>
              <w:t xml:space="preserve">1 </w:t>
            </w:r>
            <w:r>
              <w:rPr>
                <w:rFonts w:hint="eastAsia" w:ascii="Times New Roman" w:hAnsi="Times New Roman" w:cs="Times New Roman"/>
                <w:color w:val="auto"/>
                <w:kern w:val="0"/>
                <w:sz w:val="24"/>
                <w:szCs w:val="24"/>
                <w:u w:val="none" w:color="auto"/>
                <w:lang w:val="en-US" w:eastAsia="zh-CN" w:bidi="ar"/>
              </w:rPr>
              <w:t xml:space="preserve">标准中，汽车维修业对 </w:t>
            </w:r>
            <w:r>
              <w:rPr>
                <w:rFonts w:hint="default" w:ascii="Times New Roman" w:hAnsi="Times New Roman" w:cs="Times New Roman"/>
                <w:color w:val="auto"/>
                <w:kern w:val="0"/>
                <w:sz w:val="24"/>
                <w:szCs w:val="24"/>
                <w:u w:val="none" w:color="auto"/>
                <w:lang w:val="en-US" w:eastAsia="zh-CN" w:bidi="ar"/>
              </w:rPr>
              <w:t xml:space="preserve">VOCs </w:t>
            </w:r>
            <w:r>
              <w:rPr>
                <w:rFonts w:hint="eastAsia" w:ascii="Times New Roman" w:hAnsi="Times New Roman" w:cs="Times New Roman"/>
                <w:color w:val="auto"/>
                <w:kern w:val="0"/>
                <w:sz w:val="24"/>
                <w:szCs w:val="24"/>
                <w:u w:val="none" w:color="auto"/>
                <w:lang w:val="en-US" w:eastAsia="zh-CN" w:bidi="ar"/>
              </w:rPr>
              <w:t>未做要求，</w:t>
            </w:r>
            <w:r>
              <w:rPr>
                <w:rFonts w:hint="default" w:ascii="Times New Roman" w:hAnsi="Times New Roman" w:cs="Times New Roman"/>
                <w:color w:val="auto"/>
                <w:kern w:val="0"/>
                <w:sz w:val="24"/>
                <w:szCs w:val="24"/>
                <w:u w:val="none" w:color="auto"/>
                <w:lang w:val="en-US" w:eastAsia="zh-CN" w:bidi="ar"/>
              </w:rPr>
              <w:t xml:space="preserve">VOCs </w:t>
            </w:r>
            <w:r>
              <w:rPr>
                <w:rFonts w:hint="eastAsia" w:ascii="Times New Roman" w:hAnsi="Times New Roman" w:cs="Times New Roman"/>
                <w:color w:val="auto"/>
                <w:kern w:val="0"/>
                <w:sz w:val="24"/>
                <w:szCs w:val="24"/>
                <w:u w:val="none" w:color="auto"/>
                <w:lang w:val="en-US" w:eastAsia="zh-CN" w:bidi="ar"/>
              </w:rPr>
              <w:t>排放浓度参考非甲烷总烃排放浓度</w:t>
            </w:r>
            <w:r>
              <w:rPr>
                <w:rFonts w:hint="eastAsia" w:cs="Times New Roman"/>
                <w:color w:val="auto"/>
                <w:kern w:val="0"/>
                <w:sz w:val="24"/>
                <w:szCs w:val="24"/>
                <w:u w:val="none" w:color="auto"/>
                <w:lang w:val="en-US" w:eastAsia="zh-CN" w:bidi="ar"/>
              </w:rPr>
              <w:t>。</w:t>
            </w:r>
          </w:p>
          <w:p>
            <w:pPr>
              <w:pStyle w:val="39"/>
              <w:adjustRightInd w:val="0"/>
              <w:snapToGrid w:val="0"/>
              <w:spacing w:after="0" w:line="360" w:lineRule="auto"/>
              <w:ind w:left="0" w:leftChars="0" w:firstLine="0" w:firstLineChars="0"/>
              <w:jc w:val="center"/>
              <w:rPr>
                <w:rFonts w:ascii="Times New Roman" w:hAnsi="Times New Roman" w:eastAsia="宋体" w:cs="Times New Roman"/>
                <w:b/>
                <w:color w:val="auto"/>
                <w:kern w:val="2"/>
                <w:sz w:val="22"/>
                <w:szCs w:val="22"/>
                <w:u w:val="none" w:color="auto"/>
                <w:lang w:val="en-US" w:eastAsia="zh-CN" w:bidi="ar-SA"/>
              </w:rPr>
            </w:pPr>
            <w:r>
              <w:rPr>
                <w:rFonts w:hint="eastAsia" w:ascii="Times New Roman" w:hAnsi="Times New Roman" w:eastAsia="宋体" w:cs="Times New Roman"/>
                <w:b/>
                <w:color w:val="auto"/>
                <w:kern w:val="2"/>
                <w:sz w:val="22"/>
                <w:szCs w:val="22"/>
                <w:u w:val="none" w:color="auto"/>
                <w:lang w:val="en-US" w:eastAsia="zh-CN" w:bidi="ar-SA"/>
              </w:rPr>
              <w:t>表4</w:t>
            </w:r>
            <w:r>
              <w:rPr>
                <w:rFonts w:ascii="Times New Roman" w:hAnsi="Times New Roman" w:eastAsia="宋体" w:cs="Times New Roman"/>
                <w:b/>
                <w:color w:val="auto"/>
                <w:kern w:val="2"/>
                <w:sz w:val="22"/>
                <w:szCs w:val="22"/>
                <w:u w:val="none" w:color="auto"/>
                <w:lang w:val="en-US" w:eastAsia="zh-CN" w:bidi="ar-SA"/>
              </w:rPr>
              <w:t>-</w:t>
            </w:r>
            <w:r>
              <w:rPr>
                <w:rFonts w:hint="eastAsia" w:cs="Times New Roman"/>
                <w:b/>
                <w:color w:val="auto"/>
                <w:kern w:val="2"/>
                <w:sz w:val="22"/>
                <w:szCs w:val="22"/>
                <w:u w:val="none" w:color="auto"/>
                <w:lang w:val="en-US" w:eastAsia="zh-CN" w:bidi="ar-SA"/>
              </w:rPr>
              <w:t>8</w:t>
            </w:r>
            <w:r>
              <w:rPr>
                <w:rFonts w:ascii="Times New Roman" w:hAnsi="Times New Roman" w:eastAsia="宋体" w:cs="Times New Roman"/>
                <w:b/>
                <w:color w:val="auto"/>
                <w:kern w:val="2"/>
                <w:sz w:val="22"/>
                <w:szCs w:val="22"/>
                <w:u w:val="none" w:color="auto"/>
                <w:lang w:val="en-US" w:eastAsia="zh-CN" w:bidi="ar-SA"/>
              </w:rPr>
              <w:t xml:space="preserve">  </w:t>
            </w:r>
            <w:r>
              <w:rPr>
                <w:rFonts w:hint="default" w:ascii="Times New Roman" w:hAnsi="Times New Roman" w:eastAsia="宋体" w:cs="Times New Roman"/>
                <w:color w:val="auto"/>
                <w:kern w:val="0"/>
                <w:sz w:val="24"/>
                <w:szCs w:val="24"/>
                <w:u w:val="none" w:color="auto"/>
                <w:lang w:val="en-US" w:eastAsia="zh-CN" w:bidi="ar"/>
              </w:rPr>
              <w:t>《挥发性有机物无组织排放控制标准》（GB37822-2019）</w:t>
            </w:r>
          </w:p>
          <w:tbl>
            <w:tblPr>
              <w:tblStyle w:val="41"/>
              <w:tblW w:w="8450"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770"/>
              <w:gridCol w:w="2235"/>
              <w:gridCol w:w="2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 w:hRule="atLeast"/>
              </w:trPr>
              <w:tc>
                <w:tcPr>
                  <w:tcW w:w="1892"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污染物项目</w:t>
                  </w:r>
                </w:p>
              </w:tc>
              <w:tc>
                <w:tcPr>
                  <w:tcW w:w="1770"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排放限值</w:t>
                  </w:r>
                </w:p>
              </w:tc>
              <w:tc>
                <w:tcPr>
                  <w:tcW w:w="2235"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限值含义</w:t>
                  </w:r>
                </w:p>
              </w:tc>
              <w:tc>
                <w:tcPr>
                  <w:tcW w:w="2553"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3" w:hRule="atLeast"/>
              </w:trPr>
              <w:tc>
                <w:tcPr>
                  <w:tcW w:w="1892" w:type="dxa"/>
                  <w:vMerge w:val="restart"/>
                  <w:tcBorders>
                    <w:tl2br w:val="nil"/>
                    <w:tr2bl w:val="nil"/>
                  </w:tcBorders>
                  <w:vAlign w:val="center"/>
                </w:tcPr>
                <w:p>
                  <w:pPr>
                    <w:pStyle w:val="39"/>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非甲烷总烃</w:t>
                  </w:r>
                </w:p>
              </w:tc>
              <w:tc>
                <w:tcPr>
                  <w:tcW w:w="1770" w:type="dxa"/>
                  <w:tcBorders>
                    <w:tl2br w:val="nil"/>
                    <w:tr2bl w:val="nil"/>
                  </w:tcBorders>
                  <w:vAlign w:val="center"/>
                </w:tcPr>
                <w:p>
                  <w:pPr>
                    <w:pStyle w:val="39"/>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10</w:t>
                  </w:r>
                </w:p>
              </w:tc>
              <w:tc>
                <w:tcPr>
                  <w:tcW w:w="2235"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监控点处 1h 平</w:t>
                  </w:r>
                </w:p>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均浓度值</w:t>
                  </w:r>
                </w:p>
              </w:tc>
              <w:tc>
                <w:tcPr>
                  <w:tcW w:w="2553" w:type="dxa"/>
                  <w:vMerge w:val="restart"/>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eastAsia="zh-CN"/>
                    </w:rPr>
                    <w:t>在厂房外设置监控点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92" w:type="dxa"/>
                  <w:vMerge w:val="continue"/>
                  <w:tcBorders>
                    <w:tl2br w:val="nil"/>
                    <w:tr2bl w:val="nil"/>
                  </w:tcBorders>
                  <w:vAlign w:val="center"/>
                </w:tcPr>
                <w:p>
                  <w:pPr>
                    <w:pStyle w:val="39"/>
                    <w:adjustRightInd w:val="0"/>
                    <w:snapToGrid w:val="0"/>
                    <w:spacing w:after="0" w:line="360" w:lineRule="auto"/>
                    <w:jc w:val="center"/>
                    <w:rPr>
                      <w:color w:val="auto"/>
                      <w:kern w:val="0"/>
                      <w:sz w:val="24"/>
                      <w:szCs w:val="24"/>
                      <w:u w:val="none" w:color="auto"/>
                      <w:vertAlign w:val="baseline"/>
                    </w:rPr>
                  </w:pPr>
                </w:p>
              </w:tc>
              <w:tc>
                <w:tcPr>
                  <w:tcW w:w="1770" w:type="dxa"/>
                  <w:tcBorders>
                    <w:tl2br w:val="nil"/>
                    <w:tr2bl w:val="nil"/>
                  </w:tcBorders>
                  <w:vAlign w:val="center"/>
                </w:tcPr>
                <w:p>
                  <w:pPr>
                    <w:pStyle w:val="39"/>
                    <w:adjustRightInd w:val="0"/>
                    <w:snapToGrid w:val="0"/>
                    <w:spacing w:after="0" w:line="360" w:lineRule="auto"/>
                    <w:ind w:left="0" w:leftChars="0" w:firstLine="0" w:firstLineChars="0"/>
                    <w:jc w:val="center"/>
                    <w:rPr>
                      <w:rFonts w:hint="default"/>
                      <w:color w:val="auto"/>
                      <w:kern w:val="0"/>
                      <w:sz w:val="24"/>
                      <w:szCs w:val="24"/>
                      <w:u w:val="none" w:color="auto"/>
                      <w:vertAlign w:val="baseline"/>
                      <w:lang w:val="en-US" w:eastAsia="zh-CN"/>
                    </w:rPr>
                  </w:pPr>
                  <w:r>
                    <w:rPr>
                      <w:rFonts w:hint="eastAsia"/>
                      <w:color w:val="auto"/>
                      <w:kern w:val="0"/>
                      <w:sz w:val="24"/>
                      <w:szCs w:val="24"/>
                      <w:u w:val="none" w:color="auto"/>
                      <w:vertAlign w:val="baseline"/>
                      <w:lang w:val="en-US" w:eastAsia="zh-CN"/>
                    </w:rPr>
                    <w:t>30</w:t>
                  </w:r>
                </w:p>
              </w:tc>
              <w:tc>
                <w:tcPr>
                  <w:tcW w:w="2235" w:type="dxa"/>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监控点处任意</w:t>
                  </w:r>
                </w:p>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r>
                    <w:rPr>
                      <w:rFonts w:hint="eastAsia"/>
                      <w:color w:val="auto"/>
                      <w:kern w:val="0"/>
                      <w:sz w:val="24"/>
                      <w:szCs w:val="24"/>
                      <w:u w:val="none" w:color="auto"/>
                      <w:vertAlign w:val="baseline"/>
                      <w:lang w:val="en-US" w:eastAsia="zh-CN"/>
                    </w:rPr>
                    <w:t>一次浓度值</w:t>
                  </w:r>
                </w:p>
              </w:tc>
              <w:tc>
                <w:tcPr>
                  <w:tcW w:w="2553" w:type="dxa"/>
                  <w:vMerge w:val="continue"/>
                  <w:tcBorders>
                    <w:tl2br w:val="nil"/>
                    <w:tr2bl w:val="nil"/>
                  </w:tcBorders>
                  <w:vAlign w:val="center"/>
                </w:tcPr>
                <w:p>
                  <w:pPr>
                    <w:pStyle w:val="39"/>
                    <w:adjustRightInd w:val="0"/>
                    <w:snapToGrid w:val="0"/>
                    <w:spacing w:after="0" w:line="360" w:lineRule="auto"/>
                    <w:ind w:left="0" w:leftChars="0" w:firstLine="0" w:firstLineChars="0"/>
                    <w:jc w:val="center"/>
                    <w:rPr>
                      <w:rFonts w:hint="eastAsia"/>
                      <w:color w:val="auto"/>
                      <w:kern w:val="0"/>
                      <w:sz w:val="24"/>
                      <w:szCs w:val="24"/>
                      <w:u w:val="none" w:color="auto"/>
                      <w:vertAlign w:val="baseline"/>
                      <w:lang w:eastAsia="zh-CN"/>
                    </w:rPr>
                  </w:pPr>
                </w:p>
              </w:tc>
            </w:tr>
          </w:tbl>
          <w:p>
            <w:pPr>
              <w:pStyle w:val="39"/>
              <w:adjustRightInd w:val="0"/>
              <w:snapToGrid w:val="0"/>
              <w:spacing w:after="0" w:line="360" w:lineRule="auto"/>
              <w:ind w:left="0" w:leftChars="0" w:firstLine="0" w:firstLineChars="0"/>
              <w:rPr>
                <w:color w:val="auto"/>
                <w:sz w:val="24"/>
                <w:szCs w:val="24"/>
                <w:u w:val="none" w:color="auto"/>
              </w:rPr>
            </w:pPr>
            <w:r>
              <w:rPr>
                <w:color w:val="auto"/>
                <w:kern w:val="0"/>
                <w:sz w:val="24"/>
                <w:szCs w:val="24"/>
                <w:u w:val="none" w:color="auto"/>
              </w:rPr>
              <w:t>3、噪声</w:t>
            </w:r>
            <w:r>
              <w:rPr>
                <w:rFonts w:hint="eastAsia"/>
                <w:color w:val="auto"/>
                <w:kern w:val="0"/>
                <w:sz w:val="24"/>
                <w:szCs w:val="24"/>
                <w:u w:val="none" w:color="auto"/>
              </w:rPr>
              <w:t>：</w:t>
            </w:r>
            <w:r>
              <w:rPr>
                <w:color w:val="auto"/>
                <w:sz w:val="24"/>
                <w:szCs w:val="24"/>
                <w:u w:val="none" w:color="auto"/>
              </w:rPr>
              <w:t>噪声执行《工业企业厂界环境噪声排放标准》（GB12348-2008）</w:t>
            </w:r>
            <w:r>
              <w:rPr>
                <w:rFonts w:hint="eastAsia"/>
                <w:color w:val="auto"/>
                <w:sz w:val="24"/>
                <w:szCs w:val="24"/>
                <w:u w:val="none" w:color="auto"/>
                <w:lang w:val="en-US" w:eastAsia="zh-CN"/>
              </w:rPr>
              <w:t>3、4</w:t>
            </w:r>
            <w:r>
              <w:rPr>
                <w:color w:val="auto"/>
                <w:sz w:val="24"/>
                <w:szCs w:val="24"/>
                <w:u w:val="none" w:color="auto"/>
              </w:rPr>
              <w:t>类标准。</w:t>
            </w:r>
          </w:p>
          <w:p>
            <w:pPr>
              <w:pStyle w:val="39"/>
              <w:adjustRightInd w:val="0"/>
              <w:snapToGrid w:val="0"/>
              <w:spacing w:after="0"/>
              <w:ind w:left="0" w:leftChars="0" w:firstLine="0" w:firstLineChars="0"/>
              <w:jc w:val="center"/>
              <w:rPr>
                <w:b/>
                <w:bCs/>
                <w:color w:val="auto"/>
                <w:sz w:val="22"/>
                <w:szCs w:val="22"/>
                <w:u w:val="none" w:color="auto"/>
              </w:rPr>
            </w:pPr>
          </w:p>
          <w:p>
            <w:pPr>
              <w:pStyle w:val="39"/>
              <w:adjustRightInd w:val="0"/>
              <w:snapToGrid w:val="0"/>
              <w:spacing w:after="0"/>
              <w:ind w:left="0" w:leftChars="0" w:firstLine="0" w:firstLineChars="0"/>
              <w:jc w:val="center"/>
              <w:rPr>
                <w:b/>
                <w:bCs/>
                <w:color w:val="auto"/>
                <w:sz w:val="22"/>
                <w:szCs w:val="22"/>
                <w:u w:val="none" w:color="auto"/>
              </w:rPr>
            </w:pPr>
          </w:p>
          <w:p>
            <w:pPr>
              <w:pStyle w:val="39"/>
              <w:adjustRightInd w:val="0"/>
              <w:snapToGrid w:val="0"/>
              <w:spacing w:after="0"/>
              <w:ind w:left="0" w:leftChars="0" w:firstLine="0" w:firstLineChars="0"/>
              <w:jc w:val="center"/>
              <w:rPr>
                <w:b/>
                <w:bCs/>
                <w:color w:val="auto"/>
                <w:sz w:val="22"/>
                <w:szCs w:val="22"/>
                <w:u w:val="none" w:color="auto"/>
              </w:rPr>
            </w:pPr>
          </w:p>
          <w:p>
            <w:pPr>
              <w:pStyle w:val="39"/>
              <w:adjustRightInd w:val="0"/>
              <w:snapToGrid w:val="0"/>
              <w:spacing w:after="0"/>
              <w:ind w:left="0" w:leftChars="0" w:firstLine="0" w:firstLineChars="0"/>
              <w:jc w:val="center"/>
              <w:rPr>
                <w:b/>
                <w:bCs/>
                <w:color w:val="auto"/>
                <w:sz w:val="22"/>
                <w:szCs w:val="22"/>
                <w:u w:val="none" w:color="auto"/>
              </w:rPr>
            </w:pPr>
            <w:r>
              <w:rPr>
                <w:b/>
                <w:bCs/>
                <w:color w:val="auto"/>
                <w:sz w:val="22"/>
                <w:szCs w:val="22"/>
                <w:u w:val="none" w:color="auto"/>
              </w:rPr>
              <w:t>表4-</w:t>
            </w:r>
            <w:r>
              <w:rPr>
                <w:rFonts w:hint="eastAsia"/>
                <w:b/>
                <w:bCs/>
                <w:color w:val="auto"/>
                <w:sz w:val="22"/>
                <w:szCs w:val="22"/>
                <w:u w:val="none" w:color="auto"/>
                <w:lang w:val="en-US" w:eastAsia="zh-CN"/>
              </w:rPr>
              <w:t>9</w:t>
            </w:r>
            <w:r>
              <w:rPr>
                <w:b/>
                <w:bCs/>
                <w:color w:val="auto"/>
                <w:sz w:val="22"/>
                <w:szCs w:val="22"/>
                <w:u w:val="none" w:color="auto"/>
              </w:rPr>
              <w:t xml:space="preserve">  </w:t>
            </w:r>
            <w:r>
              <w:rPr>
                <w:b/>
                <w:color w:val="auto"/>
                <w:sz w:val="22"/>
                <w:szCs w:val="22"/>
                <w:u w:val="none" w:color="auto"/>
              </w:rPr>
              <w:t>工业企业厂界环境噪声排放标准</w:t>
            </w:r>
            <w:r>
              <w:rPr>
                <w:b/>
                <w:bCs/>
                <w:color w:val="auto"/>
                <w:sz w:val="22"/>
                <w:szCs w:val="22"/>
                <w:u w:val="none" w:color="auto"/>
              </w:rPr>
              <w:t xml:space="preserve">  单位dB(A)</w:t>
            </w:r>
          </w:p>
          <w:tbl>
            <w:tblPr>
              <w:tblStyle w:val="40"/>
              <w:tblW w:w="843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5"/>
              <w:gridCol w:w="2804"/>
              <w:gridCol w:w="28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restart"/>
                  <w:tcBorders>
                    <w:tl2br w:val="nil"/>
                    <w:tr2bl w:val="nil"/>
                  </w:tcBorders>
                  <w:vAlign w:val="center"/>
                </w:tcPr>
                <w:p>
                  <w:pPr>
                    <w:pStyle w:val="34"/>
                    <w:spacing w:line="360" w:lineRule="auto"/>
                    <w:ind w:left="0" w:leftChars="0"/>
                    <w:jc w:val="center"/>
                    <w:rPr>
                      <w:color w:val="auto"/>
                      <w:sz w:val="22"/>
                      <w:szCs w:val="22"/>
                      <w:u w:val="none" w:color="auto"/>
                    </w:rPr>
                  </w:pPr>
                  <w:r>
                    <w:rPr>
                      <w:b/>
                      <w:bCs/>
                      <w:color w:val="auto"/>
                      <w:sz w:val="22"/>
                      <w:szCs w:val="22"/>
                      <w:u w:val="none" w:color="auto"/>
                    </w:rPr>
                    <w:t>声环境功能区类别</w:t>
                  </w:r>
                </w:p>
              </w:tc>
              <w:tc>
                <w:tcPr>
                  <w:tcW w:w="5615" w:type="dxa"/>
                  <w:gridSpan w:val="2"/>
                  <w:tcBorders>
                    <w:tl2br w:val="nil"/>
                    <w:tr2bl w:val="nil"/>
                  </w:tcBorders>
                  <w:vAlign w:val="center"/>
                </w:tcPr>
                <w:p>
                  <w:pPr>
                    <w:pStyle w:val="34"/>
                    <w:spacing w:line="360" w:lineRule="auto"/>
                    <w:ind w:left="0" w:leftChars="0"/>
                    <w:jc w:val="center"/>
                    <w:rPr>
                      <w:color w:val="auto"/>
                      <w:sz w:val="22"/>
                      <w:szCs w:val="22"/>
                      <w:u w:val="none" w:color="auto"/>
                    </w:rPr>
                  </w:pPr>
                  <w:r>
                    <w:rPr>
                      <w:b/>
                      <w:bCs/>
                      <w:color w:val="auto"/>
                      <w:sz w:val="22"/>
                      <w:szCs w:val="22"/>
                      <w:u w:val="none" w:color="auto"/>
                    </w:rPr>
                    <w:t>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vMerge w:val="continue"/>
                  <w:tcBorders>
                    <w:tl2br w:val="nil"/>
                    <w:tr2bl w:val="nil"/>
                  </w:tcBorders>
                  <w:vAlign w:val="center"/>
                </w:tcPr>
                <w:p>
                  <w:pPr>
                    <w:pStyle w:val="34"/>
                    <w:spacing w:line="360" w:lineRule="auto"/>
                    <w:ind w:left="0" w:leftChars="0"/>
                    <w:jc w:val="center"/>
                    <w:rPr>
                      <w:color w:val="auto"/>
                      <w:sz w:val="22"/>
                      <w:szCs w:val="22"/>
                      <w:u w:val="none" w:color="auto"/>
                    </w:rPr>
                  </w:pPr>
                </w:p>
              </w:tc>
              <w:tc>
                <w:tcPr>
                  <w:tcW w:w="2804" w:type="dxa"/>
                  <w:tcBorders>
                    <w:tl2br w:val="nil"/>
                    <w:tr2bl w:val="nil"/>
                  </w:tcBorders>
                  <w:vAlign w:val="center"/>
                </w:tcPr>
                <w:p>
                  <w:pPr>
                    <w:pStyle w:val="34"/>
                    <w:spacing w:line="360" w:lineRule="auto"/>
                    <w:ind w:left="0" w:leftChars="0"/>
                    <w:jc w:val="center"/>
                    <w:rPr>
                      <w:color w:val="auto"/>
                      <w:sz w:val="22"/>
                      <w:szCs w:val="22"/>
                      <w:u w:val="none" w:color="auto"/>
                    </w:rPr>
                  </w:pPr>
                  <w:r>
                    <w:rPr>
                      <w:b/>
                      <w:bCs/>
                      <w:color w:val="auto"/>
                      <w:sz w:val="22"/>
                      <w:szCs w:val="22"/>
                      <w:u w:val="none" w:color="auto"/>
                    </w:rPr>
                    <w:t>昼间</w:t>
                  </w:r>
                </w:p>
              </w:tc>
              <w:tc>
                <w:tcPr>
                  <w:tcW w:w="2811" w:type="dxa"/>
                  <w:tcBorders>
                    <w:tl2br w:val="nil"/>
                    <w:tr2bl w:val="nil"/>
                  </w:tcBorders>
                  <w:vAlign w:val="center"/>
                </w:tcPr>
                <w:p>
                  <w:pPr>
                    <w:pStyle w:val="34"/>
                    <w:spacing w:line="360" w:lineRule="auto"/>
                    <w:ind w:left="0" w:leftChars="0"/>
                    <w:jc w:val="center"/>
                    <w:rPr>
                      <w:color w:val="auto"/>
                      <w:sz w:val="22"/>
                      <w:szCs w:val="22"/>
                      <w:u w:val="none" w:color="auto"/>
                    </w:rPr>
                  </w:pPr>
                  <w:r>
                    <w:rPr>
                      <w:b/>
                      <w:bCs/>
                      <w:color w:val="auto"/>
                      <w:sz w:val="22"/>
                      <w:szCs w:val="22"/>
                      <w:u w:val="none" w:color="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34"/>
                    <w:spacing w:line="360" w:lineRule="auto"/>
                    <w:ind w:left="0" w:leftChars="0"/>
                    <w:jc w:val="center"/>
                    <w:rPr>
                      <w:color w:val="auto"/>
                      <w:sz w:val="22"/>
                      <w:szCs w:val="22"/>
                      <w:u w:val="none" w:color="auto"/>
                    </w:rPr>
                  </w:pPr>
                  <w:r>
                    <w:rPr>
                      <w:rFonts w:hint="eastAsia"/>
                      <w:color w:val="auto"/>
                      <w:sz w:val="22"/>
                      <w:szCs w:val="22"/>
                      <w:u w:val="none" w:color="auto"/>
                      <w:lang w:val="en-US" w:eastAsia="zh-CN"/>
                    </w:rPr>
                    <w:t>3</w:t>
                  </w:r>
                  <w:r>
                    <w:rPr>
                      <w:color w:val="auto"/>
                      <w:sz w:val="22"/>
                      <w:szCs w:val="22"/>
                      <w:u w:val="none" w:color="auto"/>
                    </w:rPr>
                    <w:t>类（dB(A)）</w:t>
                  </w:r>
                </w:p>
              </w:tc>
              <w:tc>
                <w:tcPr>
                  <w:tcW w:w="2804" w:type="dxa"/>
                  <w:tcBorders>
                    <w:tl2br w:val="nil"/>
                    <w:tr2bl w:val="nil"/>
                  </w:tcBorders>
                  <w:vAlign w:val="center"/>
                </w:tcPr>
                <w:p>
                  <w:pPr>
                    <w:pStyle w:val="34"/>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65</w:t>
                  </w:r>
                </w:p>
              </w:tc>
              <w:tc>
                <w:tcPr>
                  <w:tcW w:w="2811" w:type="dxa"/>
                  <w:tcBorders>
                    <w:tl2br w:val="nil"/>
                    <w:tr2bl w:val="nil"/>
                  </w:tcBorders>
                  <w:vAlign w:val="center"/>
                </w:tcPr>
                <w:p>
                  <w:pPr>
                    <w:pStyle w:val="34"/>
                    <w:spacing w:line="360" w:lineRule="auto"/>
                    <w:ind w:left="0" w:leftChars="0"/>
                    <w:jc w:val="center"/>
                    <w:rPr>
                      <w:rFonts w:hint="default" w:eastAsia="宋体"/>
                      <w:color w:val="auto"/>
                      <w:sz w:val="22"/>
                      <w:szCs w:val="22"/>
                      <w:u w:val="none" w:color="auto"/>
                      <w:lang w:val="en-US" w:eastAsia="zh-CN"/>
                    </w:rPr>
                  </w:pPr>
                  <w:r>
                    <w:rPr>
                      <w:rFonts w:hint="eastAsia"/>
                      <w:color w:val="auto"/>
                      <w:sz w:val="22"/>
                      <w:szCs w:val="22"/>
                      <w:u w:val="none" w:color="auto"/>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15" w:type="dxa"/>
                  <w:tcBorders>
                    <w:tl2br w:val="nil"/>
                    <w:tr2bl w:val="nil"/>
                  </w:tcBorders>
                  <w:vAlign w:val="center"/>
                </w:tcPr>
                <w:p>
                  <w:pPr>
                    <w:pStyle w:val="34"/>
                    <w:spacing w:line="360" w:lineRule="auto"/>
                    <w:ind w:left="0" w:leftChars="0"/>
                    <w:jc w:val="center"/>
                    <w:rPr>
                      <w:rFonts w:hint="eastAsia"/>
                      <w:color w:val="auto"/>
                      <w:sz w:val="22"/>
                      <w:szCs w:val="22"/>
                      <w:u w:val="none" w:color="auto"/>
                      <w:lang w:val="en-US" w:eastAsia="zh-CN"/>
                    </w:rPr>
                  </w:pPr>
                  <w:r>
                    <w:rPr>
                      <w:rFonts w:hint="eastAsia"/>
                      <w:color w:val="auto"/>
                      <w:sz w:val="22"/>
                      <w:szCs w:val="22"/>
                      <w:u w:val="none" w:color="auto"/>
                      <w:lang w:val="en-US" w:eastAsia="zh-CN"/>
                    </w:rPr>
                    <w:t>4</w:t>
                  </w:r>
                  <w:r>
                    <w:rPr>
                      <w:color w:val="auto"/>
                      <w:sz w:val="22"/>
                      <w:szCs w:val="22"/>
                      <w:u w:val="none" w:color="auto"/>
                    </w:rPr>
                    <w:t>类（dB(A)）</w:t>
                  </w:r>
                </w:p>
              </w:tc>
              <w:tc>
                <w:tcPr>
                  <w:tcW w:w="2804" w:type="dxa"/>
                  <w:tcBorders>
                    <w:tl2br w:val="nil"/>
                    <w:tr2bl w:val="nil"/>
                  </w:tcBorders>
                  <w:vAlign w:val="center"/>
                </w:tcPr>
                <w:p>
                  <w:pPr>
                    <w:pStyle w:val="34"/>
                    <w:spacing w:line="360" w:lineRule="auto"/>
                    <w:ind w:left="0" w:leftChars="0"/>
                    <w:jc w:val="center"/>
                    <w:rPr>
                      <w:rFonts w:hint="default"/>
                      <w:color w:val="auto"/>
                      <w:sz w:val="22"/>
                      <w:szCs w:val="22"/>
                      <w:u w:val="none" w:color="auto"/>
                      <w:lang w:val="en-US" w:eastAsia="zh-CN"/>
                    </w:rPr>
                  </w:pPr>
                  <w:r>
                    <w:rPr>
                      <w:rFonts w:hint="eastAsia"/>
                      <w:color w:val="auto"/>
                      <w:sz w:val="22"/>
                      <w:szCs w:val="22"/>
                      <w:u w:val="none" w:color="auto"/>
                      <w:lang w:val="en-US" w:eastAsia="zh-CN"/>
                    </w:rPr>
                    <w:t>70</w:t>
                  </w:r>
                </w:p>
              </w:tc>
              <w:tc>
                <w:tcPr>
                  <w:tcW w:w="2811" w:type="dxa"/>
                  <w:tcBorders>
                    <w:tl2br w:val="nil"/>
                    <w:tr2bl w:val="nil"/>
                  </w:tcBorders>
                  <w:vAlign w:val="center"/>
                </w:tcPr>
                <w:p>
                  <w:pPr>
                    <w:pStyle w:val="34"/>
                    <w:spacing w:line="360" w:lineRule="auto"/>
                    <w:ind w:left="0" w:leftChars="0"/>
                    <w:jc w:val="center"/>
                    <w:rPr>
                      <w:rFonts w:hint="eastAsia"/>
                      <w:color w:val="auto"/>
                      <w:sz w:val="22"/>
                      <w:szCs w:val="22"/>
                      <w:u w:val="none" w:color="auto"/>
                      <w:lang w:val="en-US" w:eastAsia="zh-CN"/>
                    </w:rPr>
                  </w:pPr>
                  <w:r>
                    <w:rPr>
                      <w:rFonts w:hint="eastAsia"/>
                      <w:color w:val="auto"/>
                      <w:sz w:val="22"/>
                      <w:szCs w:val="22"/>
                      <w:u w:val="none" w:color="auto"/>
                      <w:lang w:val="en-US" w:eastAsia="zh-CN"/>
                    </w:rPr>
                    <w:t>55</w:t>
                  </w:r>
                </w:p>
              </w:tc>
            </w:tr>
          </w:tbl>
          <w:p>
            <w:pPr>
              <w:adjustRightInd w:val="0"/>
              <w:snapToGrid w:val="0"/>
              <w:spacing w:line="360" w:lineRule="auto"/>
              <w:rPr>
                <w:color w:val="auto"/>
                <w:sz w:val="24"/>
                <w:szCs w:val="24"/>
                <w:u w:val="none" w:color="auto"/>
              </w:rPr>
            </w:pPr>
            <w:r>
              <w:rPr>
                <w:color w:val="auto"/>
                <w:kern w:val="0"/>
                <w:sz w:val="24"/>
                <w:szCs w:val="24"/>
                <w:u w:val="none" w:color="auto"/>
              </w:rPr>
              <w:t>4、固体废物：</w:t>
            </w:r>
            <w:r>
              <w:rPr>
                <w:color w:val="auto"/>
                <w:sz w:val="24"/>
                <w:szCs w:val="24"/>
                <w:u w:val="none" w:color="auto"/>
              </w:rPr>
              <w:t>一般固体废物处置执行《一般工业固体废物贮存、处置场污染控制标准》（GB18599-2001）及其2013年修改单中的要求；生活垃圾执行《生活垃圾填埋污染控制标准》（GB16889-2008）。</w:t>
            </w:r>
            <w:r>
              <w:rPr>
                <w:rFonts w:hint="eastAsia"/>
                <w:color w:val="auto"/>
                <w:sz w:val="24"/>
                <w:szCs w:val="24"/>
                <w:u w:val="none" w:color="auto"/>
              </w:rPr>
              <w:t>危险废物执行《危险废物贮存污染控制标准》（GB18597－2001）及其修改单。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2" w:type="dxa"/>
            <w:vAlign w:val="center"/>
          </w:tcPr>
          <w:p>
            <w:pPr>
              <w:jc w:val="center"/>
              <w:rPr>
                <w:b/>
                <w:bCs/>
                <w:color w:val="auto"/>
                <w:sz w:val="24"/>
                <w:szCs w:val="24"/>
                <w:u w:val="none" w:color="auto"/>
              </w:rPr>
            </w:pPr>
            <w:r>
              <w:rPr>
                <w:b/>
                <w:bCs/>
                <w:color w:val="auto"/>
                <w:sz w:val="24"/>
                <w:szCs w:val="24"/>
                <w:u w:val="none" w:color="auto"/>
              </w:rPr>
              <w:t>总量控制指标</w:t>
            </w:r>
          </w:p>
        </w:tc>
        <w:tc>
          <w:tcPr>
            <w:tcW w:w="8676" w:type="dxa"/>
            <w:vAlign w:val="center"/>
          </w:tcPr>
          <w:p>
            <w:pPr>
              <w:spacing w:line="520" w:lineRule="exact"/>
              <w:ind w:firstLine="462" w:firstLineChars="200"/>
              <w:rPr>
                <w:color w:val="auto"/>
                <w:sz w:val="24"/>
                <w:szCs w:val="24"/>
                <w:u w:val="none" w:color="auto"/>
              </w:rPr>
            </w:pPr>
            <w:r>
              <w:rPr>
                <w:rFonts w:hint="eastAsia"/>
                <w:color w:val="auto"/>
                <w:sz w:val="24"/>
                <w:szCs w:val="24"/>
                <w:u w:val="none" w:color="auto"/>
              </w:rPr>
              <w:t>根据《湖南省“十三五”主要污染物减排规划》，湖南省约束性总量控制指标为二氧化硫（SO</w:t>
            </w:r>
            <w:r>
              <w:rPr>
                <w:rFonts w:hint="eastAsia"/>
                <w:color w:val="auto"/>
                <w:sz w:val="24"/>
                <w:szCs w:val="24"/>
                <w:u w:val="none" w:color="auto"/>
                <w:vertAlign w:val="subscript"/>
              </w:rPr>
              <w:t>2</w:t>
            </w:r>
            <w:r>
              <w:rPr>
                <w:rFonts w:hint="eastAsia"/>
                <w:color w:val="auto"/>
                <w:sz w:val="24"/>
                <w:szCs w:val="24"/>
                <w:u w:val="none" w:color="auto"/>
              </w:rPr>
              <w:t>）、氮氧化物（NOx）、化学需氧量（COD）和氨氮（NH</w:t>
            </w:r>
            <w:r>
              <w:rPr>
                <w:rFonts w:hint="eastAsia"/>
                <w:color w:val="auto"/>
                <w:sz w:val="24"/>
                <w:szCs w:val="24"/>
                <w:u w:val="none" w:color="auto"/>
                <w:vertAlign w:val="subscript"/>
              </w:rPr>
              <w:t>3</w:t>
            </w:r>
            <w:r>
              <w:rPr>
                <w:rFonts w:hint="eastAsia"/>
                <w:color w:val="auto"/>
                <w:sz w:val="24"/>
                <w:szCs w:val="24"/>
                <w:u w:val="none" w:color="auto"/>
              </w:rPr>
              <w:t>-N），推荐性总量控制指标为VOCs。</w:t>
            </w:r>
          </w:p>
          <w:p>
            <w:pPr>
              <w:spacing w:line="520" w:lineRule="exact"/>
              <w:ind w:firstLine="462" w:firstLineChars="200"/>
              <w:rPr>
                <w:rFonts w:hint="eastAsia"/>
                <w:color w:val="auto"/>
                <w:sz w:val="24"/>
                <w:u w:val="none" w:color="auto"/>
              </w:rPr>
            </w:pPr>
            <w:r>
              <w:rPr>
                <w:rFonts w:hint="eastAsia" w:cs="Times New Roman"/>
                <w:color w:val="auto"/>
                <w:sz w:val="24"/>
                <w:szCs w:val="24"/>
                <w:u w:val="none" w:color="auto"/>
                <w:lang w:eastAsia="zh-CN"/>
              </w:rPr>
              <w:t>本项目生活污水排放湘阴县第二污水处理厂处理，故总量纳入湘阴县第二污水处理厂</w:t>
            </w:r>
            <w:r>
              <w:rPr>
                <w:rFonts w:hint="default" w:ascii="Times New Roman" w:hAnsi="Times New Roman" w:cs="Times New Roman"/>
                <w:color w:val="auto"/>
                <w:sz w:val="24"/>
                <w:szCs w:val="24"/>
                <w:u w:val="none" w:color="auto"/>
                <w:lang w:val="en-US" w:eastAsia="zh-CN"/>
              </w:rPr>
              <w:t>，故本</w:t>
            </w:r>
            <w:r>
              <w:rPr>
                <w:rFonts w:hint="eastAsia" w:cs="Times New Roman"/>
                <w:color w:val="auto"/>
                <w:sz w:val="24"/>
                <w:szCs w:val="24"/>
                <w:u w:val="none" w:color="auto"/>
                <w:lang w:val="en-US" w:eastAsia="zh-CN"/>
              </w:rPr>
              <w:t>次不在</w:t>
            </w:r>
            <w:r>
              <w:rPr>
                <w:rFonts w:hint="default" w:ascii="Times New Roman" w:hAnsi="Times New Roman" w:cs="Times New Roman"/>
                <w:color w:val="auto"/>
                <w:sz w:val="24"/>
                <w:szCs w:val="24"/>
                <w:u w:val="none" w:color="auto"/>
                <w:lang w:val="en-US" w:eastAsia="zh-CN"/>
              </w:rPr>
              <w:t>申请水总量</w:t>
            </w:r>
            <w:r>
              <w:rPr>
                <w:rFonts w:hint="eastAsia" w:ascii="Times New Roman" w:hAnsi="Times New Roman" w:cs="Times New Roman"/>
                <w:color w:val="auto"/>
                <w:sz w:val="24"/>
                <w:szCs w:val="24"/>
                <w:u w:val="none" w:color="auto"/>
                <w:lang w:val="en-US" w:eastAsia="zh-CN"/>
              </w:rPr>
              <w:t>。</w:t>
            </w:r>
          </w:p>
          <w:p>
            <w:pPr>
              <w:spacing w:line="520" w:lineRule="exact"/>
              <w:ind w:firstLine="462" w:firstLineChars="200"/>
              <w:rPr>
                <w:color w:val="auto"/>
                <w:sz w:val="24"/>
                <w:u w:val="none" w:color="auto"/>
              </w:rPr>
            </w:pPr>
            <w:r>
              <w:rPr>
                <w:rFonts w:hint="eastAsia"/>
                <w:color w:val="auto"/>
                <w:sz w:val="24"/>
                <w:u w:val="none" w:color="auto"/>
              </w:rPr>
              <w:t>因此，结合本项目污染物排放因子，确定本项目的总量控制因子为V</w:t>
            </w:r>
            <w:r>
              <w:rPr>
                <w:color w:val="auto"/>
                <w:sz w:val="24"/>
                <w:u w:val="none" w:color="auto"/>
              </w:rPr>
              <w:t>OCs。</w:t>
            </w:r>
          </w:p>
          <w:p>
            <w:pPr>
              <w:spacing w:line="520" w:lineRule="exact"/>
              <w:ind w:firstLine="453" w:firstLineChars="196"/>
              <w:jc w:val="left"/>
              <w:rPr>
                <w:rFonts w:hint="eastAsia" w:eastAsia="宋体"/>
                <w:color w:val="auto"/>
                <w:sz w:val="24"/>
                <w:u w:val="none" w:color="auto"/>
                <w:lang w:val="en-US" w:eastAsia="zh-CN"/>
              </w:rPr>
            </w:pPr>
            <w:r>
              <w:rPr>
                <w:rFonts w:hint="eastAsia"/>
                <w:color w:val="auto"/>
                <w:sz w:val="24"/>
                <w:u w:val="none" w:color="auto"/>
              </w:rPr>
              <w:t>本项目外排废气中：V</w:t>
            </w:r>
            <w:r>
              <w:rPr>
                <w:color w:val="auto"/>
                <w:sz w:val="24"/>
                <w:u w:val="none" w:color="auto"/>
              </w:rPr>
              <w:t>OCs</w:t>
            </w:r>
            <w:r>
              <w:rPr>
                <w:rFonts w:hint="eastAsia"/>
                <w:color w:val="auto"/>
                <w:sz w:val="24"/>
                <w:u w:val="none" w:color="auto"/>
              </w:rPr>
              <w:t>：</w:t>
            </w:r>
            <w:r>
              <w:rPr>
                <w:rFonts w:hint="eastAsia"/>
                <w:color w:val="auto"/>
                <w:sz w:val="24"/>
                <w:u w:val="none" w:color="auto"/>
                <w:lang w:val="en-US" w:eastAsia="zh-CN"/>
              </w:rPr>
              <w:t>0.1143</w:t>
            </w:r>
            <w:r>
              <w:rPr>
                <w:color w:val="auto"/>
                <w:sz w:val="24"/>
                <w:u w:val="none" w:color="auto"/>
              </w:rPr>
              <w:t>t/a</w:t>
            </w:r>
            <w:r>
              <w:rPr>
                <w:rFonts w:hint="eastAsia"/>
                <w:color w:val="auto"/>
                <w:sz w:val="24"/>
                <w:u w:val="none" w:color="auto"/>
                <w:lang w:eastAsia="zh-CN"/>
              </w:rPr>
              <w:t>。</w:t>
            </w:r>
          </w:p>
          <w:p>
            <w:pPr>
              <w:spacing w:line="520" w:lineRule="exact"/>
              <w:ind w:firstLine="394" w:firstLineChars="196"/>
              <w:jc w:val="left"/>
              <w:rPr>
                <w:color w:val="auto"/>
                <w:u w:val="none" w:color="auto"/>
              </w:rPr>
            </w:pPr>
          </w:p>
        </w:tc>
      </w:tr>
    </w:tbl>
    <w:p>
      <w:pPr>
        <w:snapToGrid w:val="0"/>
        <w:textAlignment w:val="baseline"/>
        <w:outlineLvl w:val="0"/>
        <w:rPr>
          <w:rFonts w:eastAsia="黑体"/>
          <w:color w:val="auto"/>
          <w:kern w:val="24"/>
          <w:sz w:val="32"/>
          <w:u w:val="none" w:color="auto"/>
        </w:rPr>
      </w:pPr>
      <w:r>
        <w:rPr>
          <w:rFonts w:eastAsia="黑体"/>
          <w:color w:val="auto"/>
          <w:sz w:val="32"/>
          <w:u w:val="none" w:color="auto"/>
        </w:rPr>
        <w:br w:type="page"/>
      </w:r>
      <w:bookmarkStart w:id="5" w:name="_Toc27829"/>
      <w:r>
        <w:rPr>
          <w:rFonts w:hint="eastAsia" w:eastAsia="黑体"/>
          <w:color w:val="auto"/>
          <w:sz w:val="32"/>
          <w:u w:val="none" w:color="auto"/>
        </w:rPr>
        <w:t>五、</w:t>
      </w:r>
      <w:r>
        <w:rPr>
          <w:rFonts w:eastAsia="黑体"/>
          <w:color w:val="auto"/>
          <w:sz w:val="32"/>
          <w:u w:val="none" w:color="auto"/>
        </w:rPr>
        <w:t>建设项目工程分析</w:t>
      </w:r>
      <w:bookmarkEnd w:id="5"/>
    </w:p>
    <w:tbl>
      <w:tblPr>
        <w:tblStyle w:val="40"/>
        <w:tblW w:w="926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autofit"/>
        <w:tblCellMar>
          <w:top w:w="0" w:type="dxa"/>
          <w:left w:w="85" w:type="dxa"/>
          <w:bottom w:w="0" w:type="dxa"/>
          <w:right w:w="85" w:type="dxa"/>
        </w:tblCellMar>
      </w:tblPr>
      <w:tblGrid>
        <w:gridCol w:w="9468"/>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85" w:type="dxa"/>
            <w:bottom w:w="0" w:type="dxa"/>
            <w:right w:w="85" w:type="dxa"/>
          </w:tblCellMar>
        </w:tblPrEx>
        <w:trPr>
          <w:trHeight w:val="90" w:hRule="atLeast"/>
          <w:jc w:val="center"/>
        </w:trPr>
        <w:tc>
          <w:tcPr>
            <w:tcW w:w="9268" w:type="dxa"/>
          </w:tcPr>
          <w:p>
            <w:pPr>
              <w:spacing w:line="360" w:lineRule="auto"/>
              <w:rPr>
                <w:rFonts w:ascii="黑体" w:eastAsia="黑体"/>
                <w:color w:val="auto"/>
                <w:sz w:val="24"/>
                <w:szCs w:val="24"/>
                <w:u w:val="none" w:color="auto"/>
              </w:rPr>
            </w:pPr>
            <w:r>
              <w:rPr>
                <w:rFonts w:hint="eastAsia" w:ascii="黑体" w:eastAsia="黑体"/>
                <w:color w:val="auto"/>
                <w:sz w:val="24"/>
                <w:szCs w:val="24"/>
                <w:u w:val="none" w:color="auto"/>
              </w:rPr>
              <w:t>工艺流程简述（图示）：</w:t>
            </w:r>
          </w:p>
          <w:p>
            <w:pPr>
              <w:spacing w:line="360" w:lineRule="auto"/>
              <w:ind w:firstLine="462" w:firstLineChars="200"/>
              <w:rPr>
                <w:b/>
                <w:color w:val="auto"/>
                <w:sz w:val="24"/>
                <w:u w:val="none" w:color="auto"/>
              </w:rPr>
            </w:pPr>
            <w:r>
              <w:rPr>
                <w:rFonts w:hint="eastAsia"/>
                <w:b/>
                <w:color w:val="auto"/>
                <w:sz w:val="24"/>
                <w:u w:val="none" w:color="auto"/>
                <w:lang w:eastAsia="zh-CN"/>
              </w:rPr>
              <w:t>一</w:t>
            </w:r>
            <w:r>
              <w:rPr>
                <w:b/>
                <w:color w:val="auto"/>
                <w:sz w:val="24"/>
                <w:u w:val="none" w:color="auto"/>
              </w:rPr>
              <w:t>、施工期工艺流程简述：</w:t>
            </w:r>
          </w:p>
          <w:p>
            <w:pPr>
              <w:widowControl/>
              <w:adjustRightInd w:val="0"/>
              <w:snapToGrid w:val="0"/>
              <w:spacing w:line="360" w:lineRule="auto"/>
              <w:ind w:firstLine="462" w:firstLineChars="200"/>
              <w:jc w:val="left"/>
              <w:rPr>
                <w:color w:val="auto"/>
                <w:kern w:val="0"/>
                <w:sz w:val="24"/>
                <w:u w:val="none" w:color="auto"/>
              </w:rPr>
            </w:pPr>
            <w:r>
              <w:rPr>
                <w:color w:val="auto"/>
                <w:kern w:val="0"/>
                <w:sz w:val="24"/>
                <w:u w:val="none" w:color="auto"/>
              </w:rPr>
              <w:t>施工期主要是项目土建、给排水、电气、消防等建设，使用的施工设备包括电动挖掘机、推土机、电钻及运输、装卸设备等；本工程施工期的工艺流程及产污情况图示5-1如下：</w:t>
            </w:r>
          </w:p>
          <w:p>
            <w:pPr>
              <w:widowControl/>
              <w:adjustRightInd w:val="0"/>
              <w:snapToGrid w:val="0"/>
              <w:spacing w:line="360" w:lineRule="auto"/>
              <w:jc w:val="left"/>
              <w:rPr>
                <w:color w:val="auto"/>
                <w:kern w:val="0"/>
                <w:sz w:val="24"/>
                <w:u w:val="none" w:color="auto"/>
              </w:rPr>
            </w:pPr>
            <w:r>
              <w:rPr>
                <w:b/>
                <w:color w:val="auto"/>
                <w:sz w:val="28"/>
                <w:szCs w:val="28"/>
                <w:u w:val="none" w:color="auto"/>
              </w:rPr>
              <mc:AlternateContent>
                <mc:Choice Requires="wps">
                  <w:drawing>
                    <wp:anchor distT="0" distB="0" distL="114300" distR="114300" simplePos="0" relativeHeight="290124800" behindDoc="0" locked="0" layoutInCell="1" allowOverlap="1">
                      <wp:simplePos x="0" y="0"/>
                      <wp:positionH relativeFrom="column">
                        <wp:posOffset>1255395</wp:posOffset>
                      </wp:positionH>
                      <wp:positionV relativeFrom="paragraph">
                        <wp:posOffset>1098550</wp:posOffset>
                      </wp:positionV>
                      <wp:extent cx="2971800" cy="410845"/>
                      <wp:effectExtent l="0" t="0" r="0" b="0"/>
                      <wp:wrapNone/>
                      <wp:docPr id="4" name="矩形 4"/>
                      <wp:cNvGraphicFramePr/>
                      <a:graphic xmlns:a="http://schemas.openxmlformats.org/drawingml/2006/main">
                        <a:graphicData uri="http://schemas.microsoft.com/office/word/2010/wordprocessingShape">
                          <wps:wsp>
                            <wps:cNvSpPr/>
                            <wps:spPr>
                              <a:xfrm>
                                <a:off x="0" y="0"/>
                                <a:ext cx="2971800" cy="410845"/>
                              </a:xfrm>
                              <a:prstGeom prst="rect">
                                <a:avLst/>
                              </a:prstGeom>
                              <a:noFill/>
                              <a:ln>
                                <a:noFill/>
                              </a:ln>
                            </wps:spPr>
                            <wps:txbx>
                              <w:txbxContent>
                                <w:p>
                                  <w:pPr>
                                    <w:jc w:val="center"/>
                                    <w:rPr>
                                      <w:rFonts w:hint="eastAsia"/>
                                      <w:b/>
                                      <w:sz w:val="24"/>
                                    </w:rPr>
                                  </w:pPr>
                                  <w:r>
                                    <w:rPr>
                                      <w:rFonts w:hint="eastAsia"/>
                                      <w:b/>
                                      <w:sz w:val="24"/>
                                    </w:rPr>
                                    <w:t>图5-1   施工期工艺流程及产排污环节图</w:t>
                                  </w:r>
                                </w:p>
                              </w:txbxContent>
                            </wps:txbx>
                            <wps:bodyPr upright="1"/>
                          </wps:wsp>
                        </a:graphicData>
                      </a:graphic>
                    </wp:anchor>
                  </w:drawing>
                </mc:Choice>
                <mc:Fallback>
                  <w:pict>
                    <v:rect id="_x0000_s1026" o:spid="_x0000_s1026" o:spt="1" style="position:absolute;left:0pt;margin-left:98.85pt;margin-top:86.5pt;height:32.35pt;width:234pt;z-index:290124800;mso-width-relative:page;mso-height-relative:page;" filled="f" stroked="f" coordsize="21600,21600" o:gfxdata="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">
                      <v:fill on="f" focussize="0,0"/>
                      <v:stroke on="f"/>
                      <v:imagedata o:title=""/>
                      <o:lock v:ext="edit" aspectratio="f"/>
                      <v:textbox>
                        <w:txbxContent>
                          <w:p>
                            <w:pPr>
                              <w:jc w:val="center"/>
                              <w:rPr>
                                <w:rFonts w:hint="eastAsia"/>
                                <w:b/>
                                <w:sz w:val="24"/>
                              </w:rPr>
                            </w:pPr>
                            <w:r>
                              <w:rPr>
                                <w:rFonts w:hint="eastAsia"/>
                                <w:b/>
                                <w:sz w:val="24"/>
                              </w:rPr>
                              <w:t>图5-1   施工期工艺流程及产排污环节图</w:t>
                            </w:r>
                          </w:p>
                        </w:txbxContent>
                      </v:textbox>
                    </v:rect>
                  </w:pict>
                </mc:Fallback>
              </mc:AlternateContent>
            </w:r>
            <w:r>
              <w:rPr>
                <w:color w:val="auto"/>
                <w:kern w:val="0"/>
                <w:szCs w:val="21"/>
                <w:u w:val="none" w:color="auto"/>
              </w:rPr>
              <w:fldChar w:fldCharType="begin"/>
            </w:r>
            <w:r>
              <w:rPr>
                <w:color w:val="auto"/>
                <w:kern w:val="0"/>
                <w:szCs w:val="21"/>
                <w:u w:val="none" w:color="auto"/>
              </w:rPr>
              <w:instrText xml:space="preserve"> INCLUDEPICTURE "../../../../Users/lyx/AppData/Local/Temp/ksohtml/wps_clip_image-7833.png" \* MERGEFORMAT </w:instrText>
            </w:r>
            <w:r>
              <w:rPr>
                <w:color w:val="auto"/>
                <w:kern w:val="0"/>
                <w:szCs w:val="21"/>
                <w:u w:val="none" w:color="auto"/>
              </w:rPr>
              <w:fldChar w:fldCharType="separate"/>
            </w:r>
            <w:r>
              <w:rPr>
                <w:color w:val="auto"/>
                <w:kern w:val="0"/>
                <w:szCs w:val="21"/>
                <w:u w:val="none" w:color="auto"/>
              </w:rPr>
              <w:drawing>
                <wp:inline distT="0" distB="0" distL="114300" distR="114300">
                  <wp:extent cx="5305425" cy="1076325"/>
                  <wp:effectExtent l="0" t="0" r="9525" b="9525"/>
                  <wp:docPr id="5" name="图片 1" descr="wps_clip_image-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wps_clip_image-7833"/>
                          <pic:cNvPicPr>
                            <a:picLocks noChangeAspect="1"/>
                          </pic:cNvPicPr>
                        </pic:nvPicPr>
                        <pic:blipFill>
                          <a:blip r:embed="rId15"/>
                          <a:stretch>
                            <a:fillRect/>
                          </a:stretch>
                        </pic:blipFill>
                        <pic:spPr>
                          <a:xfrm>
                            <a:off x="0" y="0"/>
                            <a:ext cx="5305425" cy="1076325"/>
                          </a:xfrm>
                          <a:prstGeom prst="rect">
                            <a:avLst/>
                          </a:prstGeom>
                          <a:noFill/>
                          <a:ln>
                            <a:noFill/>
                          </a:ln>
                        </pic:spPr>
                      </pic:pic>
                    </a:graphicData>
                  </a:graphic>
                </wp:inline>
              </w:drawing>
            </w:r>
            <w:r>
              <w:rPr>
                <w:color w:val="auto"/>
                <w:kern w:val="0"/>
                <w:szCs w:val="21"/>
                <w:u w:val="none" w:color="auto"/>
              </w:rPr>
              <w:fldChar w:fldCharType="end"/>
            </w:r>
          </w:p>
          <w:p>
            <w:pPr>
              <w:snapToGrid w:val="0"/>
              <w:spacing w:line="360" w:lineRule="auto"/>
              <w:rPr>
                <w:rFonts w:hAnsi="宋体"/>
                <w:color w:val="auto"/>
                <w:sz w:val="24"/>
                <w:szCs w:val="24"/>
                <w:u w:val="none" w:color="auto"/>
              </w:rPr>
            </w:pPr>
          </w:p>
          <w:p>
            <w:pPr>
              <w:snapToGrid w:val="0"/>
              <w:spacing w:line="360" w:lineRule="auto"/>
              <w:ind w:firstLine="453" w:firstLineChars="196"/>
              <w:rPr>
                <w:rFonts w:hAnsi="宋体"/>
                <w:b/>
                <w:color w:val="auto"/>
                <w:sz w:val="24"/>
                <w:u w:val="none" w:color="auto"/>
              </w:rPr>
            </w:pPr>
            <w:r>
              <w:rPr>
                <w:rFonts w:hint="eastAsia" w:hAnsi="宋体"/>
                <w:b/>
                <w:color w:val="auto"/>
                <w:sz w:val="24"/>
                <w:u w:val="none" w:color="auto"/>
              </w:rPr>
              <w:t>二、营运期</w:t>
            </w:r>
          </w:p>
          <w:p>
            <w:pPr>
              <w:pStyle w:val="34"/>
              <w:spacing w:line="360" w:lineRule="auto"/>
              <w:ind w:leftChars="0"/>
              <w:rPr>
                <w:color w:val="auto"/>
                <w:sz w:val="24"/>
                <w:szCs w:val="24"/>
                <w:u w:val="single" w:color="auto"/>
              </w:rPr>
            </w:pPr>
            <w:r>
              <w:rPr>
                <w:rFonts w:hint="eastAsia"/>
                <w:color w:val="auto"/>
                <w:sz w:val="24"/>
                <w:szCs w:val="24"/>
                <w:u w:val="single" w:color="auto"/>
              </w:rPr>
              <w:t>（1）</w:t>
            </w:r>
            <w:r>
              <w:rPr>
                <w:rFonts w:hint="eastAsia"/>
                <w:color w:val="auto"/>
                <w:sz w:val="24"/>
                <w:szCs w:val="24"/>
                <w:u w:val="single" w:color="auto"/>
                <w:lang w:val="en-US" w:eastAsia="zh-CN"/>
              </w:rPr>
              <w:t xml:space="preserve"> </w:t>
            </w:r>
            <w:r>
              <w:rPr>
                <w:rFonts w:hint="eastAsia" w:cs="Times New Roman"/>
                <w:bCs/>
                <w:color w:val="auto"/>
                <w:sz w:val="24"/>
                <w:szCs w:val="24"/>
                <w:u w:val="single" w:color="auto"/>
                <w:lang w:val="en-US" w:eastAsia="zh-CN"/>
              </w:rPr>
              <w:t>SH15系列非晶合金变压器</w:t>
            </w:r>
            <w:r>
              <w:rPr>
                <w:rFonts w:hint="eastAsia"/>
                <w:color w:val="auto"/>
                <w:sz w:val="24"/>
                <w:szCs w:val="24"/>
                <w:u w:val="single" w:color="auto"/>
              </w:rPr>
              <w:t>生产工艺流程及产污环节见图5</w:t>
            </w:r>
            <w:r>
              <w:rPr>
                <w:color w:val="auto"/>
                <w:sz w:val="24"/>
                <w:szCs w:val="24"/>
                <w:u w:val="single" w:color="auto"/>
              </w:rPr>
              <w:t>-</w:t>
            </w:r>
            <w:r>
              <w:rPr>
                <w:rFonts w:hint="eastAsia"/>
                <w:color w:val="auto"/>
                <w:sz w:val="24"/>
                <w:szCs w:val="24"/>
                <w:u w:val="single" w:color="auto"/>
                <w:lang w:val="en-US" w:eastAsia="zh-CN"/>
              </w:rPr>
              <w:t>2</w:t>
            </w:r>
            <w:r>
              <w:rPr>
                <w:rFonts w:hint="eastAsia"/>
                <w:color w:val="auto"/>
                <w:sz w:val="24"/>
                <w:szCs w:val="24"/>
                <w:u w:val="single" w:color="auto"/>
              </w:rPr>
              <w:t>所示：</w:t>
            </w:r>
          </w:p>
          <w:p>
            <w:pPr>
              <w:spacing w:line="360" w:lineRule="auto"/>
              <w:jc w:val="both"/>
              <w:rPr>
                <w:rFonts w:hint="default" w:eastAsia="宋体"/>
                <w:color w:val="auto"/>
                <w:sz w:val="24"/>
                <w:szCs w:val="24"/>
                <w:u w:val="single" w:color="auto"/>
                <w:lang w:val="en-US" w:eastAsia="zh-CN"/>
              </w:rPr>
            </w:pPr>
            <w:r>
              <w:rPr>
                <w:b/>
                <w:color w:val="auto"/>
                <w:sz w:val="24"/>
                <w:szCs w:val="24"/>
                <w:u w:val="single" w:color="auto"/>
              </w:rPr>
              <w:pict>
                <v:shape id="_x0000_s2054" o:spid="_x0000_s2054" o:spt="75" type="#_x0000_t75" style="position:absolute;left:0pt;margin-left:-1.15pt;margin-top:11.55pt;height:343.6pt;width:464.8pt;z-index:1709948928;mso-width-relative:page;mso-height-relative:page;" o:ole="t" filled="f" o:preferrelative="t" stroked="f" coordsize="21600,21600">
                  <v:path/>
                  <v:fill on="f" focussize="0,0"/>
                  <v:stroke on="f"/>
                  <v:imagedata r:id="rId17" o:title=""/>
                  <o:lock v:ext="edit" aspectratio="f"/>
                </v:shape>
                <o:OLEObject Type="Embed" ProgID="Visio.Drawing.11" ShapeID="_x0000_s2054" DrawAspect="Content" ObjectID="_1468075726" r:id="rId16">
                  <o:LockedField>false</o:LockedField>
                </o:OLEObject>
              </w:pict>
            </w:r>
            <w:r>
              <w:rPr>
                <w:rFonts w:hint="eastAsia"/>
                <w:color w:val="auto"/>
                <w:sz w:val="24"/>
                <w:szCs w:val="24"/>
                <w:u w:val="single" w:color="auto"/>
                <w:lang w:val="en-US" w:eastAsia="zh-CN"/>
              </w:rPr>
              <w:t xml:space="preserve">    </w:t>
            </w: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both"/>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p>
          <w:p>
            <w:pPr>
              <w:jc w:val="center"/>
              <w:rPr>
                <w:b/>
                <w:color w:val="auto"/>
                <w:sz w:val="24"/>
                <w:szCs w:val="24"/>
                <w:u w:val="single" w:color="auto"/>
              </w:rPr>
            </w:pPr>
            <w:r>
              <w:rPr>
                <w:b/>
                <w:color w:val="auto"/>
                <w:sz w:val="24"/>
                <w:szCs w:val="24"/>
                <w:u w:val="single" w:color="auto"/>
              </w:rPr>
              <w:t>图5-</w:t>
            </w:r>
            <w:r>
              <w:rPr>
                <w:rFonts w:hint="eastAsia"/>
                <w:b/>
                <w:color w:val="auto"/>
                <w:sz w:val="24"/>
                <w:szCs w:val="24"/>
                <w:u w:val="single" w:color="auto"/>
                <w:lang w:val="en-US" w:eastAsia="zh-CN"/>
              </w:rPr>
              <w:t>2</w:t>
            </w:r>
            <w:r>
              <w:rPr>
                <w:b/>
                <w:color w:val="auto"/>
                <w:sz w:val="24"/>
                <w:szCs w:val="24"/>
                <w:u w:val="single" w:color="auto"/>
              </w:rPr>
              <w:t xml:space="preserve">   </w:t>
            </w:r>
            <w:r>
              <w:rPr>
                <w:rFonts w:hint="eastAsia"/>
                <w:b/>
                <w:color w:val="auto"/>
                <w:sz w:val="24"/>
                <w:szCs w:val="24"/>
                <w:u w:val="single" w:color="auto"/>
                <w:lang w:val="en-US" w:eastAsia="zh-CN"/>
              </w:rPr>
              <w:t>SH15系列非晶合金变压器</w:t>
            </w:r>
            <w:r>
              <w:rPr>
                <w:b/>
                <w:color w:val="auto"/>
                <w:sz w:val="24"/>
                <w:szCs w:val="24"/>
                <w:u w:val="single" w:color="auto"/>
              </w:rPr>
              <w:t>生产工艺流程图及产污环节</w:t>
            </w:r>
            <w:r>
              <w:rPr>
                <w:rFonts w:hint="eastAsia"/>
                <w:b/>
                <w:color w:val="auto"/>
                <w:sz w:val="24"/>
                <w:szCs w:val="24"/>
                <w:u w:val="single" w:color="auto"/>
              </w:rPr>
              <w:t>图</w:t>
            </w:r>
          </w:p>
          <w:p>
            <w:pPr>
              <w:pStyle w:val="34"/>
              <w:spacing w:line="360" w:lineRule="auto"/>
              <w:ind w:left="400"/>
              <w:rPr>
                <w:color w:val="auto"/>
                <w:sz w:val="24"/>
                <w:u w:val="single" w:color="auto"/>
              </w:rPr>
            </w:pPr>
            <w:r>
              <w:rPr>
                <w:rFonts w:hint="eastAsia"/>
                <w:color w:val="auto"/>
                <w:sz w:val="24"/>
                <w:u w:val="single" w:color="auto"/>
              </w:rPr>
              <w:t>工艺流程简述：</w:t>
            </w:r>
          </w:p>
          <w:p>
            <w:pPr>
              <w:numPr>
                <w:ilvl w:val="0"/>
                <w:numId w:val="7"/>
              </w:numPr>
              <w:spacing w:line="360" w:lineRule="auto"/>
              <w:ind w:firstLine="462" w:firstLineChars="200"/>
              <w:rPr>
                <w:rFonts w:hint="default" w:ascii="Times New Roman" w:hAnsi="Times New Roman" w:cs="Times New Roman"/>
                <w:color w:val="auto"/>
                <w:sz w:val="24"/>
                <w:szCs w:val="22"/>
                <w:u w:val="single" w:color="auto"/>
                <w:lang w:val="en-US" w:eastAsia="zh-CN"/>
              </w:rPr>
            </w:pPr>
            <w:r>
              <w:rPr>
                <w:rFonts w:hint="eastAsia" w:cs="Times New Roman"/>
                <w:color w:val="auto"/>
                <w:sz w:val="24"/>
                <w:szCs w:val="22"/>
                <w:u w:val="single" w:color="auto"/>
                <w:lang w:val="en-US" w:eastAsia="zh-CN"/>
              </w:rPr>
              <w:t>外壳</w:t>
            </w:r>
            <w:r>
              <w:rPr>
                <w:rFonts w:hint="default" w:ascii="Times New Roman" w:hAnsi="Times New Roman" w:cs="Times New Roman"/>
                <w:color w:val="auto"/>
                <w:sz w:val="24"/>
                <w:szCs w:val="22"/>
                <w:u w:val="single" w:color="auto"/>
                <w:lang w:val="en-US" w:eastAsia="zh-CN"/>
              </w:rPr>
              <w:t>制作：主要为</w:t>
            </w:r>
            <w:r>
              <w:rPr>
                <w:rFonts w:hint="eastAsia" w:cs="Times New Roman"/>
                <w:color w:val="auto"/>
                <w:sz w:val="24"/>
                <w:szCs w:val="22"/>
                <w:u w:val="single" w:color="auto"/>
                <w:lang w:val="en-US" w:eastAsia="zh-CN"/>
              </w:rPr>
              <w:t>钢材等原材料经</w:t>
            </w:r>
            <w:r>
              <w:rPr>
                <w:rFonts w:hint="default" w:ascii="Times New Roman" w:hAnsi="Times New Roman" w:cs="Times New Roman"/>
                <w:color w:val="auto"/>
                <w:sz w:val="24"/>
                <w:szCs w:val="22"/>
                <w:u w:val="single" w:color="auto"/>
                <w:lang w:val="en-US" w:eastAsia="zh-CN"/>
              </w:rPr>
              <w:t>切割、焊接</w:t>
            </w:r>
            <w:r>
              <w:rPr>
                <w:rFonts w:hint="eastAsia" w:cs="Times New Roman"/>
                <w:color w:val="auto"/>
                <w:sz w:val="24"/>
                <w:szCs w:val="22"/>
                <w:u w:val="single" w:color="auto"/>
                <w:lang w:val="en-US" w:eastAsia="zh-CN"/>
              </w:rPr>
              <w:t>制作成</w:t>
            </w:r>
            <w:r>
              <w:rPr>
                <w:rFonts w:hint="default" w:ascii="Times New Roman" w:hAnsi="Times New Roman" w:cs="Times New Roman"/>
                <w:color w:val="auto"/>
                <w:sz w:val="24"/>
                <w:szCs w:val="22"/>
                <w:u w:val="single" w:color="auto"/>
                <w:lang w:val="en-US" w:eastAsia="zh-CN"/>
              </w:rPr>
              <w:t>箱体</w:t>
            </w:r>
            <w:r>
              <w:rPr>
                <w:rFonts w:hint="eastAsia" w:cs="Times New Roman"/>
                <w:color w:val="auto"/>
                <w:sz w:val="24"/>
                <w:szCs w:val="22"/>
                <w:u w:val="single" w:color="auto"/>
                <w:lang w:val="en-US" w:eastAsia="zh-CN"/>
              </w:rPr>
              <w:t>。</w:t>
            </w:r>
            <w:r>
              <w:rPr>
                <w:rFonts w:hint="default" w:ascii="Times New Roman" w:hAnsi="Times New Roman" w:cs="Times New Roman"/>
                <w:color w:val="auto"/>
                <w:sz w:val="24"/>
                <w:szCs w:val="22"/>
                <w:u w:val="single" w:color="auto"/>
                <w:lang w:val="en-US" w:eastAsia="zh-CN"/>
              </w:rPr>
              <w:t>期间会产生噪声、固废、废气。</w:t>
            </w:r>
          </w:p>
          <w:p>
            <w:pPr>
              <w:numPr>
                <w:ilvl w:val="0"/>
                <w:numId w:val="7"/>
              </w:numPr>
              <w:spacing w:line="360" w:lineRule="auto"/>
              <w:ind w:firstLine="462" w:firstLineChars="200"/>
              <w:rPr>
                <w:rFonts w:hint="default" w:ascii="Times New Roman" w:hAnsi="Times New Roman" w:cs="Times New Roman"/>
                <w:color w:val="auto"/>
                <w:sz w:val="24"/>
                <w:szCs w:val="22"/>
                <w:u w:val="single" w:color="auto"/>
                <w:lang w:val="en-US" w:eastAsia="zh-CN"/>
              </w:rPr>
            </w:pPr>
            <w:r>
              <w:rPr>
                <w:rFonts w:hint="eastAsia" w:cs="Times New Roman"/>
                <w:color w:val="auto"/>
                <w:sz w:val="24"/>
                <w:szCs w:val="22"/>
                <w:u w:val="single" w:color="auto"/>
                <w:lang w:val="en-US" w:eastAsia="zh-CN"/>
              </w:rPr>
              <w:t>喷漆：制作完成的箱体进行喷漆，喷漆完成后进行自然晾干</w:t>
            </w:r>
            <w:r>
              <w:rPr>
                <w:rFonts w:hint="default" w:ascii="Times New Roman" w:hAnsi="Times New Roman" w:cs="Times New Roman"/>
                <w:color w:val="auto"/>
                <w:sz w:val="24"/>
                <w:szCs w:val="22"/>
                <w:u w:val="single" w:color="auto"/>
                <w:lang w:val="en-US" w:eastAsia="zh-CN"/>
              </w:rPr>
              <w:t>，期间会产生噪声、固废、废气。</w:t>
            </w:r>
          </w:p>
          <w:p>
            <w:pPr>
              <w:numPr>
                <w:ilvl w:val="0"/>
                <w:numId w:val="7"/>
              </w:numPr>
              <w:spacing w:line="360" w:lineRule="auto"/>
              <w:ind w:firstLine="462" w:firstLineChars="200"/>
              <w:rPr>
                <w:rFonts w:hint="default" w:ascii="Times New Roman" w:hAnsi="Times New Roman" w:cs="Times New Roman"/>
                <w:color w:val="auto"/>
                <w:sz w:val="24"/>
                <w:szCs w:val="22"/>
                <w:u w:val="single" w:color="auto"/>
                <w:lang w:val="en-US" w:eastAsia="zh-CN"/>
              </w:rPr>
            </w:pPr>
            <w:r>
              <w:rPr>
                <w:rFonts w:hint="default" w:ascii="Times New Roman" w:hAnsi="Times New Roman" w:cs="Times New Roman"/>
                <w:color w:val="auto"/>
                <w:sz w:val="24"/>
                <w:szCs w:val="22"/>
                <w:u w:val="single" w:color="auto"/>
                <w:lang w:val="en-US" w:eastAsia="zh-CN"/>
              </w:rPr>
              <w:t>绝缘件制作：按照规定的尺寸要求对绝缘纸板进行分割。期间会产生噪声、固废。</w:t>
            </w:r>
          </w:p>
          <w:p>
            <w:pPr>
              <w:numPr>
                <w:ilvl w:val="0"/>
                <w:numId w:val="7"/>
              </w:numPr>
              <w:spacing w:line="360" w:lineRule="auto"/>
              <w:ind w:firstLine="462" w:firstLineChars="200"/>
              <w:rPr>
                <w:rFonts w:hint="default" w:ascii="Times New Roman" w:hAnsi="Times New Roman" w:cs="Times New Roman"/>
                <w:color w:val="auto"/>
                <w:sz w:val="24"/>
                <w:szCs w:val="22"/>
                <w:u w:val="single" w:color="auto"/>
                <w:lang w:val="en-US" w:eastAsia="zh-CN"/>
              </w:rPr>
            </w:pPr>
            <w:r>
              <w:rPr>
                <w:rFonts w:hint="default" w:ascii="Times New Roman" w:hAnsi="Times New Roman" w:cs="Times New Roman"/>
                <w:color w:val="auto"/>
                <w:sz w:val="24"/>
                <w:szCs w:val="22"/>
                <w:u w:val="single" w:color="auto"/>
                <w:lang w:val="en-US" w:eastAsia="zh-CN"/>
              </w:rPr>
              <w:t>绕线圈制作：项目按照规格进行线圈绕制，期间会产生噪声、固废。</w:t>
            </w:r>
          </w:p>
          <w:p>
            <w:pPr>
              <w:numPr>
                <w:ilvl w:val="0"/>
                <w:numId w:val="7"/>
              </w:numPr>
              <w:spacing w:line="360" w:lineRule="auto"/>
              <w:ind w:firstLine="462" w:firstLineChars="200"/>
              <w:rPr>
                <w:rFonts w:hint="default" w:ascii="Times New Roman" w:hAnsi="Times New Roman" w:cs="Times New Roman"/>
                <w:color w:val="auto"/>
                <w:sz w:val="24"/>
                <w:szCs w:val="22"/>
                <w:u w:val="single" w:color="auto"/>
                <w:lang w:val="en-US" w:eastAsia="zh-CN"/>
              </w:rPr>
            </w:pPr>
            <w:r>
              <w:rPr>
                <w:rFonts w:hint="eastAsia" w:cs="Times New Roman"/>
                <w:color w:val="auto"/>
                <w:sz w:val="24"/>
                <w:szCs w:val="22"/>
                <w:u w:val="single" w:color="auto"/>
                <w:lang w:val="en-US" w:eastAsia="zh-CN"/>
              </w:rPr>
              <w:t>滤油</w:t>
            </w:r>
            <w:r>
              <w:rPr>
                <w:rFonts w:hint="default" w:ascii="Times New Roman" w:hAnsi="Times New Roman" w:cs="Times New Roman"/>
                <w:color w:val="auto"/>
                <w:sz w:val="24"/>
                <w:szCs w:val="22"/>
                <w:u w:val="single" w:color="auto"/>
                <w:lang w:val="en-US" w:eastAsia="zh-CN"/>
              </w:rPr>
              <w:t>：</w:t>
            </w:r>
            <w:r>
              <w:rPr>
                <w:rFonts w:hint="eastAsia" w:cs="Times New Roman"/>
                <w:color w:val="auto"/>
                <w:sz w:val="24"/>
                <w:szCs w:val="22"/>
                <w:u w:val="single" w:color="auto"/>
                <w:lang w:val="en-US" w:eastAsia="zh-CN"/>
              </w:rPr>
              <w:t>将外购的变压器油进行过滤</w:t>
            </w:r>
            <w:r>
              <w:rPr>
                <w:rFonts w:hint="default" w:ascii="Times New Roman" w:hAnsi="Times New Roman" w:cs="Times New Roman"/>
                <w:color w:val="auto"/>
                <w:sz w:val="24"/>
                <w:szCs w:val="22"/>
                <w:u w:val="single" w:color="auto"/>
                <w:lang w:val="en-US" w:eastAsia="zh-CN"/>
              </w:rPr>
              <w:t>。</w:t>
            </w:r>
          </w:p>
          <w:p>
            <w:pPr>
              <w:numPr>
                <w:ilvl w:val="0"/>
                <w:numId w:val="7"/>
              </w:numPr>
              <w:spacing w:line="360" w:lineRule="auto"/>
              <w:ind w:firstLine="462" w:firstLineChars="200"/>
              <w:rPr>
                <w:rFonts w:hint="default" w:ascii="Times New Roman" w:hAnsi="Times New Roman" w:cs="Times New Roman"/>
                <w:color w:val="auto"/>
                <w:sz w:val="24"/>
                <w:szCs w:val="22"/>
                <w:u w:val="single" w:color="auto"/>
                <w:lang w:val="en-US" w:eastAsia="zh-CN"/>
              </w:rPr>
            </w:pPr>
            <w:r>
              <w:rPr>
                <w:rFonts w:hint="default" w:ascii="Times New Roman" w:hAnsi="Times New Roman" w:cs="Times New Roman"/>
                <w:color w:val="auto"/>
                <w:sz w:val="24"/>
                <w:szCs w:val="22"/>
                <w:u w:val="single" w:color="auto"/>
                <w:lang w:val="en-US" w:eastAsia="zh-CN"/>
              </w:rPr>
              <w:t>组装：将绝缘件、线圈、铁芯进行组装，期间会产生噪声。</w:t>
            </w:r>
          </w:p>
          <w:p>
            <w:pPr>
              <w:numPr>
                <w:ilvl w:val="0"/>
                <w:numId w:val="7"/>
              </w:numPr>
              <w:spacing w:line="360" w:lineRule="auto"/>
              <w:ind w:firstLine="462" w:firstLineChars="200"/>
              <w:rPr>
                <w:rFonts w:hint="eastAsia"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2"/>
                <w:u w:val="single" w:color="auto"/>
                <w:lang w:val="en-US" w:eastAsia="zh-CN"/>
              </w:rPr>
              <w:t>烘烤：由于产品对水分有一定的要求，故需要对组装件</w:t>
            </w:r>
            <w:r>
              <w:rPr>
                <w:rFonts w:hint="eastAsia" w:ascii="Times New Roman" w:hAnsi="Times New Roman" w:cs="Times New Roman"/>
                <w:color w:val="auto"/>
                <w:sz w:val="24"/>
                <w:szCs w:val="22"/>
                <w:u w:val="single" w:color="auto"/>
                <w:lang w:val="en-US" w:eastAsia="zh-CN"/>
              </w:rPr>
              <w:t>（内芯）</w:t>
            </w:r>
            <w:r>
              <w:rPr>
                <w:rFonts w:hint="default" w:ascii="Times New Roman" w:hAnsi="Times New Roman" w:cs="Times New Roman"/>
                <w:color w:val="auto"/>
                <w:sz w:val="24"/>
                <w:szCs w:val="22"/>
                <w:u w:val="single" w:color="auto"/>
                <w:lang w:val="en-US" w:eastAsia="zh-CN"/>
              </w:rPr>
              <w:t>进行烘烤水分，烘烤房以电为原料，期间会产生少量的水蒸气。</w:t>
            </w:r>
          </w:p>
          <w:p>
            <w:pPr>
              <w:numPr>
                <w:ilvl w:val="0"/>
                <w:numId w:val="7"/>
              </w:numPr>
              <w:spacing w:line="360" w:lineRule="auto"/>
              <w:ind w:firstLine="462" w:firstLineChars="200"/>
              <w:rPr>
                <w:rFonts w:hint="eastAsia"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val="en-US" w:eastAsia="zh-CN"/>
              </w:rPr>
              <w:t>整</w:t>
            </w:r>
            <w:r>
              <w:rPr>
                <w:rFonts w:hint="eastAsia" w:cs="Times New Roman"/>
                <w:color w:val="auto"/>
                <w:sz w:val="24"/>
                <w:szCs w:val="24"/>
                <w:u w:val="single" w:color="auto"/>
                <w:lang w:val="en-US" w:eastAsia="zh-CN"/>
              </w:rPr>
              <w:t>体组</w:t>
            </w:r>
            <w:r>
              <w:rPr>
                <w:rFonts w:hint="default" w:ascii="Times New Roman" w:hAnsi="Times New Roman" w:cs="Times New Roman"/>
                <w:color w:val="auto"/>
                <w:sz w:val="24"/>
                <w:szCs w:val="24"/>
                <w:u w:val="single" w:color="auto"/>
                <w:lang w:val="en-US" w:eastAsia="zh-CN"/>
              </w:rPr>
              <w:t>装：将烘烤后的半成品放入箱体中，在加入</w:t>
            </w:r>
            <w:r>
              <w:rPr>
                <w:rFonts w:hint="eastAsia" w:cs="Times New Roman"/>
                <w:color w:val="auto"/>
                <w:sz w:val="24"/>
                <w:szCs w:val="24"/>
                <w:u w:val="single" w:color="auto"/>
                <w:lang w:val="en-US" w:eastAsia="zh-CN"/>
              </w:rPr>
              <w:t>过滤后的</w:t>
            </w:r>
            <w:r>
              <w:rPr>
                <w:rFonts w:hint="default" w:ascii="Times New Roman" w:hAnsi="Times New Roman" w:cs="Times New Roman"/>
                <w:color w:val="auto"/>
                <w:sz w:val="24"/>
                <w:szCs w:val="24"/>
                <w:u w:val="single" w:color="auto"/>
                <w:lang w:val="en-US" w:eastAsia="zh-CN"/>
              </w:rPr>
              <w:t>变压器油，期间会产生噪声、固废</w:t>
            </w:r>
            <w:r>
              <w:rPr>
                <w:rFonts w:hint="default" w:ascii="Times New Roman" w:hAnsi="Times New Roman" w:eastAsia="宋体" w:cs="Times New Roman"/>
                <w:color w:val="auto"/>
                <w:kern w:val="0"/>
                <w:sz w:val="24"/>
                <w:szCs w:val="24"/>
                <w:u w:val="single" w:color="auto"/>
                <w:lang w:val="en-US" w:eastAsia="zh-CN" w:bidi="ar"/>
              </w:rPr>
              <w:t>。</w:t>
            </w:r>
          </w:p>
          <w:p>
            <w:pPr>
              <w:numPr>
                <w:ilvl w:val="0"/>
                <w:numId w:val="7"/>
              </w:numPr>
              <w:spacing w:line="360" w:lineRule="auto"/>
              <w:ind w:firstLine="462" w:firstLineChars="200"/>
              <w:rPr>
                <w:rFonts w:hint="eastAsia" w:ascii="Times New Roman" w:hAnsi="Times New Roman" w:cs="Times New Roman"/>
                <w:color w:val="auto"/>
                <w:sz w:val="24"/>
                <w:szCs w:val="24"/>
                <w:u w:val="single" w:color="auto"/>
                <w:lang w:eastAsia="zh-CN"/>
              </w:rPr>
            </w:pPr>
            <w:r>
              <w:rPr>
                <w:rFonts w:hint="eastAsia" w:cs="Times New Roman"/>
                <w:color w:val="auto"/>
                <w:kern w:val="0"/>
                <w:sz w:val="24"/>
                <w:szCs w:val="24"/>
                <w:u w:val="single" w:color="auto"/>
                <w:lang w:val="en-US" w:eastAsia="zh-CN" w:bidi="ar"/>
              </w:rPr>
              <w:t>检验、成品：组装完成后的变压器进行检验，合格后即为成品出售。</w:t>
            </w:r>
            <w:r>
              <w:rPr>
                <w:rFonts w:hint="default" w:ascii="Times New Roman" w:hAnsi="Times New Roman" w:eastAsia="宋体" w:cs="Times New Roman"/>
                <w:color w:val="auto"/>
                <w:kern w:val="0"/>
                <w:sz w:val="24"/>
                <w:szCs w:val="24"/>
                <w:u w:val="single" w:color="auto"/>
                <w:lang w:val="en-US" w:eastAsia="zh-CN" w:bidi="ar"/>
              </w:rPr>
              <w:br w:type="textWrapping"/>
            </w:r>
            <w:r>
              <w:rPr>
                <w:rFonts w:hint="eastAsia" w:ascii="Times New Roman" w:hAnsi="Times New Roman" w:eastAsia="宋体" w:cs="Times New Roman"/>
                <w:color w:val="auto"/>
                <w:kern w:val="0"/>
                <w:sz w:val="24"/>
                <w:szCs w:val="24"/>
                <w:u w:val="single" w:color="auto"/>
                <w:lang w:val="en-US" w:eastAsia="zh-CN" w:bidi="ar"/>
              </w:rPr>
              <w:t xml:space="preserve">    </w:t>
            </w: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color w:val="auto"/>
                <w:sz w:val="24"/>
                <w:szCs w:val="24"/>
                <w:u w:val="single" w:color="auto"/>
              </w:rPr>
            </w:pPr>
          </w:p>
          <w:p>
            <w:pPr>
              <w:numPr>
                <w:ilvl w:val="0"/>
                <w:numId w:val="0"/>
              </w:numPr>
              <w:spacing w:line="360" w:lineRule="auto"/>
              <w:rPr>
                <w:rFonts w:hint="eastAsia" w:ascii="Times New Roman" w:hAnsi="Times New Roman" w:cs="Times New Roman"/>
                <w:color w:val="auto"/>
                <w:sz w:val="24"/>
                <w:szCs w:val="24"/>
                <w:u w:val="single" w:color="auto"/>
                <w:lang w:eastAsia="zh-CN"/>
              </w:rPr>
            </w:pPr>
            <w:r>
              <w:drawing>
                <wp:anchor distT="0" distB="0" distL="114300" distR="114300" simplePos="0" relativeHeight="1869989888" behindDoc="0" locked="0" layoutInCell="1" allowOverlap="1">
                  <wp:simplePos x="0" y="0"/>
                  <wp:positionH relativeFrom="column">
                    <wp:posOffset>333375</wp:posOffset>
                  </wp:positionH>
                  <wp:positionV relativeFrom="paragraph">
                    <wp:posOffset>287020</wp:posOffset>
                  </wp:positionV>
                  <wp:extent cx="5010150" cy="4334510"/>
                  <wp:effectExtent l="0" t="0" r="0" b="8890"/>
                  <wp:wrapNone/>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8"/>
                          <a:stretch>
                            <a:fillRect/>
                          </a:stretch>
                        </pic:blipFill>
                        <pic:spPr>
                          <a:xfrm>
                            <a:off x="0" y="0"/>
                            <a:ext cx="5010150" cy="4334510"/>
                          </a:xfrm>
                          <a:prstGeom prst="rect">
                            <a:avLst/>
                          </a:prstGeom>
                          <a:noFill/>
                          <a:ln>
                            <a:noFill/>
                          </a:ln>
                        </pic:spPr>
                      </pic:pic>
                    </a:graphicData>
                  </a:graphic>
                </wp:anchor>
              </w:drawing>
            </w:r>
            <w:r>
              <w:rPr>
                <w:rFonts w:hint="eastAsia"/>
                <w:color w:val="auto"/>
                <w:sz w:val="24"/>
                <w:szCs w:val="24"/>
                <w:u w:val="single" w:color="auto"/>
              </w:rPr>
              <w:t>（</w:t>
            </w:r>
            <w:r>
              <w:rPr>
                <w:rFonts w:hint="eastAsia"/>
                <w:color w:val="auto"/>
                <w:sz w:val="24"/>
                <w:szCs w:val="24"/>
                <w:u w:val="single" w:color="auto"/>
                <w:lang w:val="en-US" w:eastAsia="zh-CN"/>
              </w:rPr>
              <w:t>2</w:t>
            </w:r>
            <w:r>
              <w:rPr>
                <w:rFonts w:hint="eastAsia"/>
                <w:color w:val="auto"/>
                <w:sz w:val="24"/>
                <w:szCs w:val="24"/>
                <w:u w:val="single" w:color="auto"/>
              </w:rPr>
              <w:t>）</w:t>
            </w:r>
            <w:r>
              <w:rPr>
                <w:rFonts w:hint="eastAsia"/>
                <w:color w:val="auto"/>
                <w:sz w:val="24"/>
                <w:szCs w:val="24"/>
                <w:u w:val="single" w:color="auto"/>
                <w:lang w:val="en-US" w:eastAsia="zh-CN"/>
              </w:rPr>
              <w:t xml:space="preserve"> </w:t>
            </w:r>
            <w:r>
              <w:rPr>
                <w:rFonts w:hint="eastAsia" w:cs="Times New Roman"/>
                <w:bCs/>
                <w:color w:val="auto"/>
                <w:sz w:val="24"/>
                <w:szCs w:val="24"/>
                <w:u w:val="single" w:color="auto"/>
                <w:lang w:val="en-US" w:eastAsia="zh-CN"/>
              </w:rPr>
              <w:t>高压真空环网开关设备</w:t>
            </w:r>
            <w:r>
              <w:rPr>
                <w:rFonts w:hint="eastAsia"/>
                <w:color w:val="auto"/>
                <w:sz w:val="24"/>
                <w:szCs w:val="24"/>
                <w:u w:val="single" w:color="auto"/>
              </w:rPr>
              <w:t>生产工艺流程及产污环节见</w:t>
            </w:r>
            <w:r>
              <w:rPr>
                <w:rFonts w:hint="eastAsia"/>
                <w:color w:val="auto"/>
                <w:sz w:val="24"/>
                <w:szCs w:val="24"/>
                <w:u w:val="single" w:color="auto"/>
                <w:lang w:eastAsia="zh-CN"/>
              </w:rPr>
              <w:t>图</w:t>
            </w:r>
            <w:r>
              <w:rPr>
                <w:rFonts w:hint="eastAsia"/>
                <w:color w:val="auto"/>
                <w:sz w:val="24"/>
                <w:szCs w:val="24"/>
                <w:u w:val="single" w:color="auto"/>
                <w:lang w:val="en-US" w:eastAsia="zh-CN"/>
              </w:rPr>
              <w:t>5-3</w:t>
            </w:r>
            <w:r>
              <w:rPr>
                <w:rFonts w:hint="eastAsia"/>
                <w:color w:val="auto"/>
                <w:sz w:val="24"/>
                <w:szCs w:val="24"/>
                <w:u w:val="single" w:color="auto"/>
              </w:rPr>
              <w:t>所示</w:t>
            </w:r>
            <w:r>
              <w:rPr>
                <w:rFonts w:hint="eastAsia"/>
                <w:color w:val="auto"/>
                <w:sz w:val="24"/>
                <w:szCs w:val="24"/>
                <w:u w:val="single" w:color="auto"/>
                <w:lang w:eastAsia="zh-CN"/>
              </w:rPr>
              <w:t>：</w:t>
            </w: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rPr>
                <w:rFonts w:hint="eastAsia"/>
                <w:u w:val="single" w:color="auto"/>
                <w:lang w:eastAsia="zh-CN"/>
              </w:rPr>
            </w:pPr>
          </w:p>
          <w:p>
            <w:pPr>
              <w:bidi w:val="0"/>
              <w:jc w:val="center"/>
              <w:rPr>
                <w:rFonts w:hint="eastAsia" w:cs="Times New Roman"/>
                <w:bCs/>
                <w:color w:val="auto"/>
                <w:sz w:val="24"/>
                <w:szCs w:val="24"/>
                <w:u w:val="single" w:color="auto"/>
                <w:lang w:val="en-US" w:eastAsia="zh-CN"/>
              </w:rPr>
            </w:pPr>
            <w:r>
              <w:rPr>
                <w:rFonts w:hint="eastAsia" w:cs="Times New Roman"/>
                <w:bCs/>
                <w:color w:val="auto"/>
                <w:sz w:val="24"/>
                <w:szCs w:val="24"/>
                <w:u w:val="single" w:color="auto"/>
                <w:lang w:val="en-US" w:eastAsia="zh-CN"/>
              </w:rPr>
              <w:t>图5-3   高压真空环网开关设备生产工艺流程图</w:t>
            </w:r>
          </w:p>
          <w:p>
            <w:pPr>
              <w:pStyle w:val="34"/>
              <w:spacing w:line="360" w:lineRule="auto"/>
              <w:ind w:left="400"/>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工艺流程简述：</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kern w:val="0"/>
                <w:sz w:val="24"/>
                <w:szCs w:val="24"/>
                <w:u w:val="single" w:color="auto"/>
                <w:lang w:val="en-US" w:eastAsia="zh-CN" w:bidi="ar"/>
              </w:rPr>
              <w:t>机加工：原料进厂后进行切割、焊接、组装等工序后制成箱体，</w:t>
            </w:r>
            <w:r>
              <w:rPr>
                <w:rFonts w:hint="default" w:ascii="Times New Roman" w:hAnsi="Times New Roman" w:cs="Times New Roman"/>
                <w:sz w:val="24"/>
                <w:szCs w:val="24"/>
                <w:u w:val="single" w:color="auto"/>
                <w:lang w:val="en-US" w:eastAsia="zh-CN"/>
              </w:rPr>
              <w:t>期间会产生废气、噪声、固废。</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sz w:val="24"/>
                <w:szCs w:val="24"/>
                <w:u w:val="single" w:color="auto"/>
                <w:lang w:val="en-US" w:eastAsia="zh-CN"/>
              </w:rPr>
            </w:pPr>
            <w:r>
              <w:rPr>
                <w:rFonts w:hint="default" w:ascii="Times New Roman" w:hAnsi="Times New Roman" w:eastAsia="宋体" w:cs="Times New Roman"/>
                <w:color w:val="auto"/>
                <w:kern w:val="0"/>
                <w:sz w:val="24"/>
                <w:szCs w:val="24"/>
                <w:u w:val="single" w:color="auto"/>
                <w:lang w:val="en-US" w:eastAsia="zh-CN" w:bidi="ar"/>
              </w:rPr>
              <w:t>喷塑：</w:t>
            </w:r>
            <w:r>
              <w:rPr>
                <w:rFonts w:hint="eastAsia" w:cs="Times New Roman"/>
                <w:color w:val="auto"/>
                <w:kern w:val="0"/>
                <w:sz w:val="24"/>
                <w:szCs w:val="24"/>
                <w:u w:val="single" w:color="auto"/>
                <w:lang w:val="en-US" w:eastAsia="zh-CN" w:bidi="ar"/>
              </w:rPr>
              <w:t>购买已经处理好的构建进行喷塑，</w:t>
            </w:r>
            <w:r>
              <w:rPr>
                <w:rFonts w:hint="default" w:ascii="Times New Roman" w:hAnsi="Times New Roman" w:eastAsia="宋体" w:cs="Times New Roman"/>
                <w:color w:val="auto"/>
                <w:kern w:val="0"/>
                <w:sz w:val="24"/>
                <w:szCs w:val="24"/>
                <w:u w:val="single" w:color="auto"/>
                <w:lang w:val="en-US" w:eastAsia="zh-CN" w:bidi="ar"/>
              </w:rPr>
              <w:t>采用的是树脂基材料 (固体粉末状)</w:t>
            </w:r>
            <w:r>
              <w:rPr>
                <w:rFonts w:hint="default" w:ascii="Times New Roman" w:hAnsi="Times New Roman"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本项目采用静电喷涂。静电喷塑吸附在工件表面上，再经高温( 1</w:t>
            </w:r>
            <w:r>
              <w:rPr>
                <w:rFonts w:hint="default" w:ascii="Times New Roman" w:hAnsi="Times New Roman" w:cs="Times New Roman"/>
                <w:color w:val="auto"/>
                <w:kern w:val="0"/>
                <w:sz w:val="24"/>
                <w:szCs w:val="24"/>
                <w:u w:val="single" w:color="auto"/>
                <w:lang w:val="en-US" w:eastAsia="zh-CN" w:bidi="ar"/>
              </w:rPr>
              <w:t>7</w:t>
            </w:r>
            <w:r>
              <w:rPr>
                <w:rFonts w:hint="default" w:ascii="Times New Roman" w:hAnsi="Times New Roman" w:eastAsia="宋体" w:cs="Times New Roman"/>
                <w:color w:val="auto"/>
                <w:kern w:val="0"/>
                <w:sz w:val="24"/>
                <w:szCs w:val="24"/>
                <w:u w:val="single" w:color="auto"/>
                <w:lang w:val="en-US" w:eastAsia="zh-CN" w:bidi="ar"/>
              </w:rPr>
              <w:t>0'C)烘烤后熔化固定在工件表面的一种工艺。它具有无毒、无臭、无污染的优点，表面色泽艳丽。喷粉室主要由喷枪、房体、自动回收系统和供粉系统组成。</w:t>
            </w:r>
            <w:r>
              <w:rPr>
                <w:rFonts w:hint="default" w:ascii="Times New Roman" w:hAnsi="Times New Roman" w:eastAsia="宋体" w:cs="Times New Roman"/>
                <w:color w:val="auto"/>
                <w:kern w:val="0"/>
                <w:sz w:val="24"/>
                <w:szCs w:val="24"/>
                <w:u w:val="single" w:color="auto"/>
                <w:lang w:val="en-US" w:eastAsia="zh-CN" w:bidi="ar"/>
              </w:rPr>
              <w:br w:type="textWrapping"/>
            </w:r>
            <w:r>
              <w:rPr>
                <w:rFonts w:hint="eastAsia" w:cs="Times New Roman"/>
                <w:color w:val="auto"/>
                <w:kern w:val="0"/>
                <w:sz w:val="24"/>
                <w:szCs w:val="24"/>
                <w:u w:val="single" w:color="auto"/>
                <w:lang w:val="en-US" w:eastAsia="zh-CN" w:bidi="ar"/>
              </w:rPr>
              <w:t xml:space="preserve">    </w:t>
            </w:r>
            <w:r>
              <w:rPr>
                <w:rFonts w:hint="default" w:ascii="Times New Roman" w:hAnsi="Times New Roman" w:eastAsia="宋体" w:cs="Times New Roman"/>
                <w:color w:val="auto"/>
                <w:kern w:val="0"/>
                <w:sz w:val="24"/>
                <w:szCs w:val="24"/>
                <w:u w:val="single" w:color="auto"/>
                <w:lang w:val="en-US" w:eastAsia="zh-CN" w:bidi="ar"/>
              </w:rPr>
              <w:t>供粉系统把压缩空气与粉桶内的粉末充分混合后成为流体状并通过粉泵输送到喷枪中:喷枪的枪体内带有高压发生器，它可以在枪尖处产生高达10万伏高压，将枪尖附近的空气电离，从喷枪中喷出的粉体通过该电离区域时带上负电荷，通过电场力的作用粉末被吸附到工件表面，并形成一层厚度约50-60μm的粉膜:在喷粉室内通过风机产生负压，将喷粉室内未吸附在工件表面的粉体吸入自动回收系统，经过玻璃纤维滤芯过滤后送回供粉系统循环使用，过滤后气体外排。</w:t>
            </w:r>
            <w:r>
              <w:rPr>
                <w:rFonts w:hint="default" w:ascii="Times New Roman" w:hAnsi="Times New Roman" w:cs="Times New Roman"/>
                <w:sz w:val="24"/>
                <w:szCs w:val="24"/>
                <w:u w:val="single" w:color="auto"/>
                <w:lang w:val="en-US" w:eastAsia="zh-CN"/>
              </w:rPr>
              <w:t>期间会产生废气、噪声、固废</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固化烘干：喷完</w:t>
            </w:r>
            <w:r>
              <w:rPr>
                <w:rFonts w:hint="default" w:ascii="Times New Roman" w:hAnsi="Times New Roman" w:cs="Times New Roman"/>
                <w:color w:val="auto"/>
                <w:sz w:val="24"/>
                <w:szCs w:val="24"/>
                <w:u w:val="single" w:color="auto"/>
                <w:lang w:eastAsia="zh-CN"/>
              </w:rPr>
              <w:t>塑粉</w:t>
            </w:r>
            <w:r>
              <w:rPr>
                <w:rFonts w:hint="default" w:ascii="Times New Roman" w:hAnsi="Times New Roman" w:cs="Times New Roman"/>
                <w:color w:val="auto"/>
                <w:sz w:val="24"/>
                <w:szCs w:val="24"/>
                <w:u w:val="single" w:color="auto"/>
              </w:rPr>
              <w:t>后的</w:t>
            </w:r>
            <w:r>
              <w:rPr>
                <w:rFonts w:hint="default" w:ascii="Times New Roman" w:hAnsi="Times New Roman" w:cs="Times New Roman"/>
                <w:color w:val="auto"/>
                <w:sz w:val="24"/>
                <w:szCs w:val="24"/>
                <w:u w:val="single" w:color="auto"/>
                <w:lang w:eastAsia="zh-CN"/>
              </w:rPr>
              <w:t>板材</w:t>
            </w:r>
            <w:r>
              <w:rPr>
                <w:rFonts w:hint="default" w:ascii="Times New Roman" w:hAnsi="Times New Roman" w:cs="Times New Roman"/>
                <w:color w:val="auto"/>
                <w:sz w:val="24"/>
                <w:szCs w:val="24"/>
                <w:u w:val="single" w:color="auto"/>
              </w:rPr>
              <w:t>通过悬挂系统进入固化烘干炉烘干，固化烘道为</w:t>
            </w:r>
            <w:r>
              <w:rPr>
                <w:rFonts w:hint="default" w:ascii="Times New Roman" w:hAnsi="Times New Roman" w:cs="Times New Roman"/>
                <w:color w:val="auto"/>
                <w:sz w:val="24"/>
                <w:szCs w:val="24"/>
                <w:u w:val="single" w:color="auto"/>
                <w:lang w:eastAsia="zh-CN"/>
              </w:rPr>
              <w:t>电</w:t>
            </w:r>
            <w:r>
              <w:rPr>
                <w:rFonts w:hint="default" w:ascii="Times New Roman" w:hAnsi="Times New Roman" w:cs="Times New Roman"/>
                <w:color w:val="auto"/>
                <w:sz w:val="24"/>
                <w:szCs w:val="24"/>
                <w:u w:val="single" w:color="auto"/>
              </w:rPr>
              <w:t xml:space="preserve">加热，固化烘干炉由烘道炉、热风循环系统和废气排放系统组成。固化烘干温度 </w:t>
            </w:r>
            <w:r>
              <w:rPr>
                <w:rFonts w:hint="default" w:ascii="Times New Roman" w:hAnsi="Times New Roman" w:cs="Times New Roman"/>
                <w:color w:val="auto"/>
                <w:sz w:val="24"/>
                <w:szCs w:val="24"/>
                <w:u w:val="single" w:color="auto"/>
                <w:lang w:val="en-US" w:eastAsia="zh-CN"/>
              </w:rPr>
              <w:t>170</w:t>
            </w:r>
            <w:r>
              <w:rPr>
                <w:rFonts w:hint="default" w:ascii="Times New Roman" w:hAnsi="Times New Roman" w:cs="Times New Roman"/>
                <w:color w:val="auto"/>
                <w:sz w:val="24"/>
                <w:szCs w:val="24"/>
                <w:u w:val="single" w:color="auto"/>
              </w:rPr>
              <w:t>℃</w:t>
            </w:r>
            <w:r>
              <w:rPr>
                <w:rFonts w:hint="default" w:ascii="Times New Roman" w:hAnsi="Times New Roman" w:cs="Times New Roman"/>
                <w:color w:val="auto"/>
                <w:sz w:val="24"/>
                <w:szCs w:val="24"/>
                <w:u w:val="single" w:color="auto"/>
                <w:lang w:eastAsia="zh-CN"/>
              </w:rPr>
              <w:t>。</w:t>
            </w:r>
            <w:r>
              <w:rPr>
                <w:rFonts w:hint="default" w:ascii="Times New Roman" w:hAnsi="Times New Roman" w:cs="Times New Roman"/>
                <w:sz w:val="24"/>
                <w:szCs w:val="24"/>
                <w:u w:val="single" w:color="auto"/>
                <w:lang w:val="en-US" w:eastAsia="zh-CN"/>
              </w:rPr>
              <w:t>期间会产生废气、噪声</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组装：将箱体、元器件等配件进行组装</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检验、成品：组装好的产品进行检验，合格后即为成品。</w:t>
            </w:r>
          </w:p>
          <w:p>
            <w:pPr>
              <w:spacing w:after="120" w:line="360" w:lineRule="auto"/>
              <w:rPr>
                <w:b/>
                <w:bCs/>
                <w:color w:val="auto"/>
                <w:sz w:val="24"/>
                <w:u w:val="none" w:color="auto"/>
              </w:rPr>
            </w:pPr>
            <w:r>
              <w:rPr>
                <w:b/>
                <w:bCs/>
                <w:color w:val="auto"/>
                <w:sz w:val="24"/>
                <w:u w:val="none" w:color="auto"/>
              </w:rPr>
              <w:t>施工期污染源分析</w:t>
            </w:r>
          </w:p>
          <w:p>
            <w:pPr>
              <w:spacing w:line="360" w:lineRule="auto"/>
              <w:ind w:firstLine="462" w:firstLineChars="200"/>
              <w:rPr>
                <w:b/>
                <w:color w:val="auto"/>
                <w:sz w:val="24"/>
                <w:u w:val="none" w:color="auto"/>
              </w:rPr>
            </w:pPr>
            <w:r>
              <w:rPr>
                <w:b/>
                <w:color w:val="auto"/>
                <w:sz w:val="24"/>
                <w:u w:val="none" w:color="auto"/>
              </w:rPr>
              <w:t>1</w:t>
            </w:r>
            <w:r>
              <w:rPr>
                <w:rFonts w:hint="eastAsia"/>
                <w:b/>
                <w:color w:val="auto"/>
                <w:sz w:val="24"/>
                <w:u w:val="none" w:color="auto"/>
              </w:rPr>
              <w:t>、</w:t>
            </w:r>
            <w:r>
              <w:rPr>
                <w:b/>
                <w:color w:val="auto"/>
                <w:sz w:val="24"/>
                <w:u w:val="none" w:color="auto"/>
              </w:rPr>
              <w:t>气型污染源分析</w:t>
            </w:r>
          </w:p>
          <w:p>
            <w:pPr>
              <w:pStyle w:val="17"/>
              <w:spacing w:after="0" w:line="360" w:lineRule="auto"/>
              <w:ind w:left="0" w:leftChars="0" w:firstLine="462" w:firstLineChars="200"/>
              <w:rPr>
                <w:color w:val="auto"/>
                <w:sz w:val="24"/>
                <w:u w:val="none" w:color="auto"/>
              </w:rPr>
            </w:pPr>
            <w:r>
              <w:rPr>
                <w:color w:val="auto"/>
                <w:sz w:val="24"/>
                <w:u w:val="none" w:color="auto"/>
              </w:rPr>
              <w:t>本项目的施工期主要气型污染源有：施工扬尘、施工机械和运输车辆排放的尾气。</w:t>
            </w:r>
          </w:p>
          <w:p>
            <w:pPr>
              <w:pStyle w:val="17"/>
              <w:spacing w:after="0" w:line="360" w:lineRule="auto"/>
              <w:rPr>
                <w:color w:val="auto"/>
                <w:sz w:val="24"/>
                <w:u w:val="none" w:color="auto"/>
              </w:rPr>
            </w:pPr>
            <w:r>
              <w:rPr>
                <w:color w:val="auto"/>
                <w:sz w:val="24"/>
                <w:u w:val="none" w:color="auto"/>
              </w:rPr>
              <w:t>（1）施工扬尘</w:t>
            </w:r>
          </w:p>
          <w:p>
            <w:pPr>
              <w:pStyle w:val="17"/>
              <w:spacing w:after="0" w:line="360" w:lineRule="auto"/>
              <w:ind w:left="0" w:leftChars="0" w:firstLine="462" w:firstLineChars="200"/>
              <w:rPr>
                <w:color w:val="auto"/>
                <w:sz w:val="24"/>
                <w:u w:val="none" w:color="auto"/>
              </w:rPr>
            </w:pPr>
            <w:r>
              <w:rPr>
                <w:color w:val="auto"/>
                <w:sz w:val="24"/>
                <w:u w:val="none" w:color="auto"/>
              </w:rPr>
              <w:t>施工期扬尘有地表开挖、基础施工及其他施工产生的地面扬尘；建筑材料的现场搬运及堆放扬尘；汽车运输带来道路扬尘；施工建筑垃圾的清理及堆放带来的扬尘。</w:t>
            </w:r>
          </w:p>
          <w:p>
            <w:pPr>
              <w:pStyle w:val="17"/>
              <w:spacing w:after="0" w:line="360" w:lineRule="auto"/>
              <w:ind w:left="0" w:leftChars="0" w:firstLine="462" w:firstLineChars="200"/>
              <w:rPr>
                <w:color w:val="auto"/>
                <w:sz w:val="24"/>
                <w:u w:val="none" w:color="auto"/>
              </w:rPr>
            </w:pPr>
            <w:r>
              <w:rPr>
                <w:color w:val="auto"/>
                <w:sz w:val="24"/>
                <w:u w:val="none" w:color="auto"/>
              </w:rPr>
              <w:t>据有关资料显示，施工扬尘主要来源是运输车辆行驶而形成，约占扬尘总量的60%，扬尘量的大小与天气干燥程度、道路路况、车辆行驶速度、风速大小有关；类比同类的施工场地，施工车辆运输行驶于泥土路面而扬起的灰土，其灰尘的浓度可达到1～3g/m</w:t>
            </w:r>
            <w:r>
              <w:rPr>
                <w:color w:val="auto"/>
                <w:sz w:val="24"/>
                <w:u w:val="none" w:color="auto"/>
                <w:vertAlign w:val="superscript"/>
              </w:rPr>
              <w:t>3</w:t>
            </w:r>
            <w:r>
              <w:rPr>
                <w:color w:val="auto"/>
                <w:sz w:val="24"/>
                <w:u w:val="none" w:color="auto"/>
              </w:rPr>
              <w:t>。另外由于在挖方过程中破坏了地表结构，造成地面扬尘污染环境，扬尘的大小因施工现场工作条件、施工季节、施工阶段、机械化程度及土质、天气条件的不同而差异较大。一般情况下，在自然风作用下，扬尘受重力、浮力和气流运动的作用，可以发生沉降、上升和扩散，扬尘影响范围在80m以内。在大风天气，扬尘量及影响范围将有所扩大。施工中的弃土、砂料、宕渣、石灰等，若堆放时盖覆不当或装卸运输时散落，也会造成施工扬尘，影响范围在50m左右。</w:t>
            </w:r>
          </w:p>
          <w:p>
            <w:pPr>
              <w:pStyle w:val="17"/>
              <w:spacing w:after="0" w:line="360" w:lineRule="auto"/>
              <w:rPr>
                <w:color w:val="auto"/>
                <w:sz w:val="24"/>
                <w:u w:val="none" w:color="auto"/>
              </w:rPr>
            </w:pPr>
            <w:r>
              <w:rPr>
                <w:color w:val="auto"/>
                <w:sz w:val="24"/>
                <w:u w:val="none" w:color="auto"/>
              </w:rPr>
              <w:t>（2）施工机械和运输车辆排放的尾气</w:t>
            </w:r>
          </w:p>
          <w:p>
            <w:pPr>
              <w:spacing w:line="360" w:lineRule="auto"/>
              <w:ind w:firstLine="462" w:firstLineChars="200"/>
              <w:rPr>
                <w:rFonts w:hint="eastAsia"/>
                <w:color w:val="auto"/>
                <w:sz w:val="24"/>
                <w:u w:val="none" w:color="auto"/>
              </w:rPr>
            </w:pPr>
            <w:r>
              <w:rPr>
                <w:color w:val="auto"/>
                <w:sz w:val="24"/>
                <w:u w:val="none" w:color="auto"/>
              </w:rPr>
              <w:t>施工机械和运输车辆会产生一定的尾气。排放的尾气污染物主要有一氧化碳、碳氢化合物、氮氧化合物、微粒物和二氧化碳等。</w:t>
            </w:r>
            <w:r>
              <w:rPr>
                <w:rFonts w:hint="eastAsia"/>
                <w:color w:val="auto"/>
                <w:sz w:val="24"/>
                <w:u w:val="none" w:color="auto"/>
              </w:rPr>
              <w:t xml:space="preserve"> </w:t>
            </w:r>
          </w:p>
          <w:p>
            <w:pPr>
              <w:spacing w:line="360" w:lineRule="auto"/>
              <w:ind w:firstLine="462" w:firstLineChars="200"/>
              <w:rPr>
                <w:color w:val="auto"/>
                <w:sz w:val="24"/>
                <w:u w:val="none" w:color="auto"/>
              </w:rPr>
            </w:pPr>
            <w:r>
              <w:rPr>
                <w:color w:val="auto"/>
                <w:sz w:val="24"/>
                <w:u w:val="none" w:color="auto"/>
              </w:rPr>
              <w:t>据调查，一般大型工程车辆污染物排放量CO约为5.25g/辆·km，THC约为2.08g/辆·km，NOx约为10.44g/辆·km。工程施工用车以2辆计，每辆车每天按行驶200km计算，则施工车辆每天排放的尾气量CO为2.1kg/天，THC为0.832kg/天，NOx为4.2 kg/天。</w:t>
            </w:r>
          </w:p>
          <w:p>
            <w:pPr>
              <w:spacing w:line="360" w:lineRule="auto"/>
              <w:ind w:firstLine="462" w:firstLineChars="200"/>
              <w:rPr>
                <w:b/>
                <w:color w:val="auto"/>
                <w:sz w:val="24"/>
                <w:u w:val="none" w:color="auto"/>
              </w:rPr>
            </w:pPr>
            <w:r>
              <w:rPr>
                <w:b/>
                <w:color w:val="auto"/>
                <w:sz w:val="24"/>
                <w:u w:val="none" w:color="auto"/>
              </w:rPr>
              <w:t>2</w:t>
            </w:r>
            <w:r>
              <w:rPr>
                <w:rFonts w:hint="eastAsia"/>
                <w:b/>
                <w:color w:val="auto"/>
                <w:sz w:val="24"/>
                <w:u w:val="none" w:color="auto"/>
              </w:rPr>
              <w:t>、</w:t>
            </w:r>
            <w:r>
              <w:rPr>
                <w:b/>
                <w:color w:val="auto"/>
                <w:sz w:val="24"/>
                <w:u w:val="none" w:color="auto"/>
              </w:rPr>
              <w:t>水污染源分析</w:t>
            </w:r>
          </w:p>
          <w:p>
            <w:pPr>
              <w:spacing w:line="360" w:lineRule="auto"/>
              <w:ind w:left="402" w:leftChars="200"/>
              <w:outlineLvl w:val="2"/>
              <w:rPr>
                <w:color w:val="auto"/>
                <w:sz w:val="24"/>
                <w:u w:val="none" w:color="auto"/>
              </w:rPr>
            </w:pPr>
            <w:r>
              <w:rPr>
                <w:color w:val="auto"/>
                <w:sz w:val="24"/>
                <w:u w:val="none" w:color="auto"/>
              </w:rPr>
              <w:t>（1）施工废水</w:t>
            </w:r>
          </w:p>
          <w:p>
            <w:pPr>
              <w:spacing w:line="360" w:lineRule="auto"/>
              <w:ind w:firstLine="462" w:firstLineChars="200"/>
              <w:outlineLvl w:val="2"/>
              <w:rPr>
                <w:color w:val="auto"/>
                <w:sz w:val="24"/>
                <w:u w:val="none" w:color="auto"/>
              </w:rPr>
            </w:pPr>
            <w:r>
              <w:rPr>
                <w:color w:val="auto"/>
                <w:sz w:val="24"/>
                <w:u w:val="none" w:color="auto"/>
              </w:rPr>
              <w:t>施工期水环境污染源包括施工废水、施工人员污水</w:t>
            </w:r>
            <w:r>
              <w:rPr>
                <w:rFonts w:hint="eastAsia"/>
                <w:color w:val="auto"/>
                <w:sz w:val="24"/>
                <w:u w:val="none" w:color="auto"/>
              </w:rPr>
              <w:t>和暴雨的地表径流</w:t>
            </w:r>
            <w:r>
              <w:rPr>
                <w:color w:val="auto"/>
                <w:sz w:val="24"/>
                <w:u w:val="none" w:color="auto"/>
              </w:rPr>
              <w:t>等。</w:t>
            </w:r>
          </w:p>
          <w:p>
            <w:pPr>
              <w:spacing w:line="360" w:lineRule="auto"/>
              <w:ind w:firstLine="462" w:firstLineChars="200"/>
              <w:outlineLvl w:val="2"/>
              <w:rPr>
                <w:color w:val="auto"/>
                <w:sz w:val="24"/>
                <w:u w:val="none" w:color="auto"/>
              </w:rPr>
            </w:pPr>
            <w:r>
              <w:rPr>
                <w:color w:val="auto"/>
                <w:sz w:val="24"/>
                <w:u w:val="none" w:color="auto"/>
              </w:rPr>
              <w:t>①施工废水</w:t>
            </w:r>
          </w:p>
          <w:p>
            <w:pPr>
              <w:spacing w:line="360" w:lineRule="auto"/>
              <w:ind w:firstLine="462" w:firstLineChars="200"/>
              <w:outlineLvl w:val="2"/>
              <w:rPr>
                <w:color w:val="auto"/>
                <w:sz w:val="24"/>
                <w:u w:val="none" w:color="auto"/>
              </w:rPr>
            </w:pPr>
            <w:r>
              <w:rPr>
                <w:color w:val="auto"/>
                <w:sz w:val="24"/>
                <w:u w:val="none" w:color="auto"/>
              </w:rPr>
              <w:t>施工废水主要来源于工程施工砼浇筑和机械、车辆的维修、冲洗等，砼浇筑废水主要污染物为悬浮物，冲洗废水主要为油污。其中主要污染物有COD、石油类、SS，据类比及初步估算，一般施工车辆冲洗废水约500L/辆·次，每辆车每天按冲洗2次，每天按2辆计，冲洗废水产生量约2m</w:t>
            </w:r>
            <w:r>
              <w:rPr>
                <w:color w:val="auto"/>
                <w:sz w:val="24"/>
                <w:u w:val="none" w:color="auto"/>
                <w:vertAlign w:val="superscript"/>
              </w:rPr>
              <w:t>3</w:t>
            </w:r>
            <w:r>
              <w:rPr>
                <w:color w:val="auto"/>
                <w:sz w:val="24"/>
                <w:u w:val="none" w:color="auto"/>
              </w:rPr>
              <w:t>/d。废水的排放量按产生量的80%计，则冲洗废水的排放量为1.6m</w:t>
            </w:r>
            <w:r>
              <w:rPr>
                <w:color w:val="auto"/>
                <w:sz w:val="24"/>
                <w:u w:val="none" w:color="auto"/>
                <w:vertAlign w:val="superscript"/>
              </w:rPr>
              <w:t>3</w:t>
            </w:r>
            <w:r>
              <w:rPr>
                <w:color w:val="auto"/>
                <w:sz w:val="24"/>
                <w:u w:val="none" w:color="auto"/>
              </w:rPr>
              <w:t>/d废水经临时的沉淀池处理后</w:t>
            </w:r>
            <w:r>
              <w:rPr>
                <w:rFonts w:hint="eastAsia"/>
                <w:color w:val="auto"/>
                <w:sz w:val="24"/>
                <w:u w:val="none" w:color="auto"/>
                <w:lang w:eastAsia="zh-CN"/>
              </w:rPr>
              <w:t>排入园区污水管网，进入湘阴县第二污水处理厂</w:t>
            </w:r>
            <w:r>
              <w:rPr>
                <w:color w:val="auto"/>
                <w:sz w:val="24"/>
                <w:u w:val="none" w:color="auto"/>
              </w:rPr>
              <w:t>。</w:t>
            </w:r>
          </w:p>
          <w:p>
            <w:pPr>
              <w:spacing w:line="360" w:lineRule="auto"/>
              <w:ind w:firstLine="462" w:firstLineChars="200"/>
              <w:outlineLvl w:val="2"/>
              <w:rPr>
                <w:color w:val="auto"/>
                <w:sz w:val="24"/>
                <w:u w:val="none" w:color="auto"/>
              </w:rPr>
            </w:pPr>
            <w:r>
              <w:rPr>
                <w:color w:val="auto"/>
                <w:sz w:val="24"/>
                <w:u w:val="none" w:color="auto"/>
              </w:rPr>
              <w:t>②施工人员生活污水</w:t>
            </w:r>
          </w:p>
          <w:p>
            <w:pPr>
              <w:spacing w:line="360" w:lineRule="auto"/>
              <w:ind w:firstLine="462" w:firstLineChars="200"/>
              <w:outlineLvl w:val="2"/>
              <w:rPr>
                <w:color w:val="auto"/>
                <w:sz w:val="24"/>
                <w:u w:val="none" w:color="auto"/>
              </w:rPr>
            </w:pPr>
            <w:r>
              <w:rPr>
                <w:color w:val="auto"/>
                <w:sz w:val="24"/>
                <w:u w:val="none" w:color="auto"/>
              </w:rPr>
              <w:t>建设项目施工期</w:t>
            </w:r>
            <w:r>
              <w:rPr>
                <w:rFonts w:hint="eastAsia"/>
                <w:color w:val="auto"/>
                <w:sz w:val="24"/>
                <w:u w:val="none" w:color="auto"/>
                <w:lang w:val="en-US" w:eastAsia="zh-CN"/>
              </w:rPr>
              <w:t>2</w:t>
            </w:r>
            <w:r>
              <w:rPr>
                <w:color w:val="auto"/>
                <w:sz w:val="24"/>
                <w:u w:val="none" w:color="auto"/>
              </w:rPr>
              <w:t>个月，高峰期施工人员约为</w:t>
            </w:r>
            <w:r>
              <w:rPr>
                <w:rFonts w:hint="eastAsia"/>
                <w:color w:val="auto"/>
                <w:sz w:val="24"/>
                <w:u w:val="none" w:color="auto"/>
                <w:lang w:val="en-US" w:eastAsia="zh-CN"/>
              </w:rPr>
              <w:t>30</w:t>
            </w:r>
            <w:r>
              <w:rPr>
                <w:color w:val="auto"/>
                <w:sz w:val="24"/>
                <w:u w:val="none" w:color="auto"/>
              </w:rPr>
              <w:t>人。施工人员生活用水量参照《湖南省用水定额》，按50L/.d计，则生活用水量为</w:t>
            </w:r>
            <w:r>
              <w:rPr>
                <w:rFonts w:hint="eastAsia"/>
                <w:color w:val="auto"/>
                <w:sz w:val="24"/>
                <w:u w:val="none" w:color="auto"/>
                <w:lang w:val="en-US" w:eastAsia="zh-CN"/>
              </w:rPr>
              <w:t>2.0</w:t>
            </w:r>
            <w:r>
              <w:rPr>
                <w:color w:val="auto"/>
                <w:sz w:val="24"/>
                <w:u w:val="none" w:color="auto"/>
              </w:rPr>
              <w:t>m</w:t>
            </w:r>
            <w:r>
              <w:rPr>
                <w:color w:val="auto"/>
                <w:sz w:val="24"/>
                <w:u w:val="none" w:color="auto"/>
                <w:vertAlign w:val="superscript"/>
              </w:rPr>
              <w:t>3</w:t>
            </w:r>
            <w:r>
              <w:rPr>
                <w:color w:val="auto"/>
                <w:sz w:val="24"/>
                <w:u w:val="none" w:color="auto"/>
              </w:rPr>
              <w:t>/d，污水产生系数取0.8，则生活污水产生量为</w:t>
            </w:r>
            <w:r>
              <w:rPr>
                <w:rFonts w:hint="eastAsia"/>
                <w:color w:val="auto"/>
                <w:sz w:val="24"/>
                <w:u w:val="none" w:color="auto"/>
                <w:lang w:val="en-US" w:eastAsia="zh-CN"/>
              </w:rPr>
              <w:t>1.6</w:t>
            </w:r>
            <w:r>
              <w:rPr>
                <w:color w:val="auto"/>
                <w:sz w:val="24"/>
                <w:u w:val="none" w:color="auto"/>
              </w:rPr>
              <w:t>m</w:t>
            </w:r>
            <w:r>
              <w:rPr>
                <w:color w:val="auto"/>
                <w:sz w:val="24"/>
                <w:u w:val="none" w:color="auto"/>
                <w:vertAlign w:val="superscript"/>
              </w:rPr>
              <w:t>3</w:t>
            </w:r>
            <w:r>
              <w:rPr>
                <w:color w:val="auto"/>
                <w:sz w:val="24"/>
                <w:u w:val="none" w:color="auto"/>
              </w:rPr>
              <w:t>/d。生活污水主要污染因子为COD、SS、氨氮和总磷等。施工人员生活污水由临时化粪池处理后</w:t>
            </w:r>
            <w:r>
              <w:rPr>
                <w:rFonts w:hint="eastAsia"/>
                <w:color w:val="auto"/>
                <w:sz w:val="24"/>
                <w:u w:val="none" w:color="auto"/>
                <w:lang w:eastAsia="zh-CN"/>
              </w:rPr>
              <w:t>排入园区污水管网，进入湘阴县第二污水处理厂</w:t>
            </w:r>
            <w:r>
              <w:rPr>
                <w:color w:val="auto"/>
                <w:sz w:val="24"/>
                <w:u w:val="none" w:color="auto"/>
              </w:rPr>
              <w:t>。</w:t>
            </w:r>
          </w:p>
          <w:p>
            <w:pPr>
              <w:spacing w:line="360" w:lineRule="auto"/>
              <w:ind w:firstLine="462" w:firstLineChars="200"/>
              <w:rPr>
                <w:b/>
                <w:color w:val="auto"/>
                <w:sz w:val="24"/>
                <w:u w:val="none" w:color="auto"/>
              </w:rPr>
            </w:pPr>
            <w:r>
              <w:rPr>
                <w:b/>
                <w:color w:val="auto"/>
                <w:sz w:val="24"/>
                <w:u w:val="none" w:color="auto"/>
              </w:rPr>
              <w:t>3</w:t>
            </w:r>
            <w:r>
              <w:rPr>
                <w:rFonts w:hint="eastAsia"/>
                <w:b/>
                <w:color w:val="auto"/>
                <w:sz w:val="24"/>
                <w:u w:val="none" w:color="auto"/>
              </w:rPr>
              <w:t>、</w:t>
            </w:r>
            <w:r>
              <w:rPr>
                <w:b/>
                <w:color w:val="auto"/>
                <w:sz w:val="24"/>
                <w:u w:val="none" w:color="auto"/>
              </w:rPr>
              <w:t>噪声污染源分析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b/>
                <w:color w:val="auto"/>
                <w:sz w:val="24"/>
                <w:u w:val="none" w:color="auto"/>
              </w:rPr>
            </w:pPr>
            <w:r>
              <w:rPr>
                <w:color w:val="auto"/>
                <w:sz w:val="24"/>
                <w:u w:val="none" w:color="auto"/>
              </w:rPr>
              <w:t>施工期噪声主要来自施工机械噪声、施工作业噪声和运输车辆噪声。施工机械噪声由施工机械所造成，如挖土机械、振捣器等，多为点声源；施工作业噪声主要指一些零星的敲打声、装卸建材的撞击声、拆装模板的撞击声等，多为瞬间噪声。在这些施工噪声中对声环境影响最大的是施工机械噪声。</w:t>
            </w:r>
            <w:r>
              <w:rPr>
                <w:color w:val="auto"/>
                <w:kern w:val="28"/>
                <w:sz w:val="24"/>
                <w:szCs w:val="28"/>
                <w:u w:val="none" w:color="auto"/>
              </w:rPr>
              <w:t>在这类施工机械中，噪声最高的为电锯、电钻、混凝土振捣器。</w:t>
            </w:r>
            <w:r>
              <w:rPr>
                <w:rFonts w:hint="eastAsia"/>
                <w:color w:val="auto"/>
                <w:kern w:val="28"/>
                <w:sz w:val="24"/>
                <w:szCs w:val="28"/>
                <w:u w:val="none" w:color="auto"/>
                <w:lang w:val="en-US" w:eastAsia="zh-CN"/>
              </w:rPr>
              <w:t xml:space="preserve">    </w:t>
            </w:r>
            <w:r>
              <w:rPr>
                <w:rFonts w:hint="eastAsia"/>
                <w:b/>
                <w:color w:val="auto"/>
                <w:sz w:val="24"/>
                <w:u w:val="none" w:color="auto"/>
                <w:lang w:val="en-US" w:eastAsia="zh-CN"/>
              </w:rPr>
              <w:t xml:space="preserve">           4.</w:t>
            </w:r>
            <w:r>
              <w:rPr>
                <w:b/>
                <w:color w:val="auto"/>
                <w:sz w:val="24"/>
                <w:u w:val="none" w:color="auto"/>
              </w:rPr>
              <w:t>固体废弃物污染源分析</w:t>
            </w:r>
          </w:p>
          <w:p>
            <w:pPr>
              <w:spacing w:line="360" w:lineRule="auto"/>
              <w:ind w:firstLine="462" w:firstLineChars="200"/>
              <w:rPr>
                <w:color w:val="auto"/>
                <w:sz w:val="24"/>
                <w:u w:val="none" w:color="auto"/>
              </w:rPr>
            </w:pPr>
            <w:r>
              <w:rPr>
                <w:color w:val="auto"/>
                <w:sz w:val="24"/>
                <w:u w:val="none" w:color="auto"/>
              </w:rPr>
              <w:t>施工期固体废物主要是施工过程中产生的土石方和施工人员的生活垃圾。</w:t>
            </w:r>
          </w:p>
          <w:p>
            <w:pPr>
              <w:spacing w:line="360" w:lineRule="auto"/>
              <w:ind w:firstLine="462" w:firstLineChars="200"/>
              <w:rPr>
                <w:rFonts w:hint="eastAsia"/>
                <w:color w:val="auto"/>
                <w:sz w:val="24"/>
                <w:u w:val="none" w:color="auto"/>
              </w:rPr>
            </w:pPr>
            <w:r>
              <w:rPr>
                <w:rFonts w:hint="eastAsia"/>
                <w:color w:val="auto"/>
                <w:sz w:val="24"/>
                <w:u w:val="none" w:color="auto"/>
              </w:rPr>
              <w:t>土石方：</w:t>
            </w:r>
            <w:r>
              <w:rPr>
                <w:color w:val="auto"/>
                <w:sz w:val="24"/>
                <w:u w:val="none" w:color="auto"/>
              </w:rPr>
              <w:t>本项目建设期产生的</w:t>
            </w:r>
            <w:r>
              <w:rPr>
                <w:rFonts w:hint="eastAsia"/>
                <w:color w:val="auto"/>
                <w:sz w:val="24"/>
                <w:u w:val="none" w:color="auto"/>
              </w:rPr>
              <w:t>固废是</w:t>
            </w:r>
            <w:r>
              <w:rPr>
                <w:color w:val="auto"/>
                <w:sz w:val="24"/>
                <w:u w:val="none" w:color="auto"/>
              </w:rPr>
              <w:t>建设地少量的挖方</w:t>
            </w:r>
            <w:r>
              <w:rPr>
                <w:rFonts w:hint="eastAsia"/>
                <w:color w:val="auto"/>
                <w:sz w:val="24"/>
                <w:u w:val="none" w:color="auto"/>
                <w:lang w:eastAsia="zh-CN"/>
              </w:rPr>
              <w:t>和拆除现有办公楼产生的建筑垃圾</w:t>
            </w:r>
            <w:r>
              <w:rPr>
                <w:color w:val="auto"/>
                <w:sz w:val="24"/>
                <w:u w:val="none" w:color="auto"/>
              </w:rPr>
              <w:t>。项目产生弃土在项目地所在区域的渣土管理中心的管理下进行处理</w:t>
            </w:r>
            <w:r>
              <w:rPr>
                <w:rFonts w:hint="eastAsia"/>
                <w:color w:val="auto"/>
                <w:sz w:val="24"/>
                <w:u w:val="none" w:color="auto"/>
                <w:lang w:eastAsia="zh-CN"/>
              </w:rPr>
              <w:t>，产生的建筑垃圾收集后回收综合利用，可运至砖厂进行制砖</w:t>
            </w:r>
            <w:r>
              <w:rPr>
                <w:color w:val="auto"/>
                <w:sz w:val="24"/>
                <w:u w:val="none" w:color="auto"/>
              </w:rPr>
              <w:t>。</w:t>
            </w:r>
          </w:p>
          <w:p>
            <w:pPr>
              <w:adjustRightInd w:val="0"/>
              <w:snapToGrid w:val="0"/>
              <w:spacing w:line="360" w:lineRule="auto"/>
              <w:ind w:right="113" w:firstLine="462" w:firstLineChars="200"/>
              <w:rPr>
                <w:rFonts w:hint="eastAsia" w:eastAsia="宋体"/>
                <w:b/>
                <w:color w:val="auto"/>
                <w:kern w:val="0"/>
                <w:sz w:val="30"/>
                <w:szCs w:val="30"/>
                <w:u w:val="none" w:color="auto"/>
                <w:lang w:eastAsia="zh-CN"/>
              </w:rPr>
            </w:pPr>
            <w:r>
              <w:rPr>
                <w:rFonts w:hint="eastAsia"/>
                <w:color w:val="auto"/>
                <w:sz w:val="24"/>
                <w:u w:val="none" w:color="auto"/>
              </w:rPr>
              <w:t>生活垃圾：</w:t>
            </w:r>
            <w:r>
              <w:rPr>
                <w:color w:val="auto"/>
                <w:sz w:val="24"/>
                <w:u w:val="none" w:color="auto"/>
              </w:rPr>
              <w:t>项目施工人员</w:t>
            </w:r>
            <w:r>
              <w:rPr>
                <w:rFonts w:hint="eastAsia"/>
                <w:color w:val="auto"/>
                <w:sz w:val="24"/>
                <w:u w:val="none" w:color="auto"/>
                <w:lang w:val="en-US" w:eastAsia="zh-CN"/>
              </w:rPr>
              <w:t>3</w:t>
            </w:r>
            <w:r>
              <w:rPr>
                <w:color w:val="auto"/>
                <w:sz w:val="24"/>
                <w:u w:val="none" w:color="auto"/>
              </w:rPr>
              <w:t>0人，按每人每天产生1kg垃圾估算，则施工期生活垃圾产生量为</w:t>
            </w:r>
            <w:r>
              <w:rPr>
                <w:rFonts w:hint="eastAsia"/>
                <w:color w:val="auto"/>
                <w:sz w:val="24"/>
                <w:u w:val="none" w:color="auto"/>
                <w:lang w:val="en-US" w:eastAsia="zh-CN"/>
              </w:rPr>
              <w:t>0.03</w:t>
            </w:r>
            <w:r>
              <w:rPr>
                <w:color w:val="auto"/>
                <w:sz w:val="24"/>
                <w:u w:val="none" w:color="auto"/>
              </w:rPr>
              <w:t>t/d</w:t>
            </w:r>
            <w:r>
              <w:rPr>
                <w:rFonts w:hint="eastAsia"/>
                <w:color w:val="auto"/>
                <w:sz w:val="24"/>
                <w:u w:val="none" w:color="auto"/>
                <w:lang w:eastAsia="zh-CN"/>
              </w:rPr>
              <w:t>。</w:t>
            </w:r>
          </w:p>
          <w:p>
            <w:pPr>
              <w:adjustRightInd w:val="0"/>
              <w:snapToGrid w:val="0"/>
              <w:spacing w:line="360" w:lineRule="auto"/>
              <w:ind w:right="113"/>
              <w:rPr>
                <w:b/>
                <w:color w:val="auto"/>
                <w:kern w:val="0"/>
                <w:sz w:val="30"/>
                <w:szCs w:val="30"/>
                <w:u w:val="none" w:color="auto"/>
              </w:rPr>
            </w:pPr>
            <w:r>
              <w:rPr>
                <w:rFonts w:hint="eastAsia"/>
                <w:b/>
                <w:color w:val="auto"/>
                <w:kern w:val="0"/>
                <w:sz w:val="30"/>
                <w:szCs w:val="30"/>
                <w:u w:val="none" w:color="auto"/>
              </w:rPr>
              <w:t>运营期</w:t>
            </w:r>
            <w:r>
              <w:rPr>
                <w:b/>
                <w:color w:val="auto"/>
                <w:kern w:val="0"/>
                <w:sz w:val="30"/>
                <w:szCs w:val="30"/>
                <w:u w:val="none" w:color="auto"/>
              </w:rPr>
              <w:t>：</w:t>
            </w:r>
          </w:p>
          <w:p>
            <w:pPr>
              <w:snapToGrid w:val="0"/>
              <w:spacing w:line="360" w:lineRule="auto"/>
              <w:ind w:firstLine="453" w:firstLineChars="196"/>
              <w:rPr>
                <w:color w:val="auto"/>
                <w:sz w:val="24"/>
                <w:szCs w:val="24"/>
                <w:u w:val="none" w:color="auto"/>
              </w:rPr>
            </w:pPr>
            <w:r>
              <w:rPr>
                <w:color w:val="auto"/>
                <w:sz w:val="24"/>
                <w:szCs w:val="24"/>
                <w:u w:val="none" w:color="auto"/>
              </w:rPr>
              <w:t>1、废水</w:t>
            </w:r>
          </w:p>
          <w:p>
            <w:pPr>
              <w:snapToGrid w:val="0"/>
              <w:spacing w:line="360" w:lineRule="auto"/>
              <w:ind w:firstLine="453" w:firstLineChars="196"/>
              <w:rPr>
                <w:bCs/>
                <w:color w:val="auto"/>
                <w:sz w:val="24"/>
                <w:szCs w:val="24"/>
                <w:u w:val="none" w:color="auto"/>
              </w:rPr>
            </w:pPr>
            <w:r>
              <w:rPr>
                <w:rFonts w:hint="eastAsia"/>
                <w:bCs/>
                <w:color w:val="auto"/>
                <w:sz w:val="24"/>
                <w:szCs w:val="24"/>
                <w:u w:val="none" w:color="auto"/>
              </w:rPr>
              <w:t>本项目车间地面基本以干式打扫为主，故无车间清洁废水。所以本项目产生的废水主要来自于员工的生活污水。</w:t>
            </w:r>
          </w:p>
          <w:p>
            <w:pPr>
              <w:snapToGrid w:val="0"/>
              <w:spacing w:line="360" w:lineRule="auto"/>
              <w:ind w:firstLine="453" w:firstLineChars="196"/>
              <w:rPr>
                <w:bCs/>
                <w:color w:val="auto"/>
                <w:sz w:val="24"/>
                <w:u w:val="none" w:color="auto"/>
              </w:rPr>
            </w:pPr>
            <w:r>
              <w:rPr>
                <w:rFonts w:hint="eastAsia"/>
                <w:bCs/>
                <w:color w:val="auto"/>
                <w:sz w:val="24"/>
                <w:u w:val="none" w:color="auto"/>
              </w:rPr>
              <w:t>（1）生活污水</w:t>
            </w:r>
          </w:p>
          <w:p>
            <w:pPr>
              <w:snapToGrid w:val="0"/>
              <w:spacing w:line="360" w:lineRule="auto"/>
              <w:ind w:firstLine="453" w:firstLineChars="196"/>
              <w:rPr>
                <w:color w:val="auto"/>
                <w:u w:val="none" w:color="auto"/>
              </w:rPr>
            </w:pPr>
            <w:r>
              <w:rPr>
                <w:rFonts w:hint="eastAsia"/>
                <w:bCs/>
                <w:color w:val="auto"/>
                <w:sz w:val="24"/>
                <w:u w:val="none" w:color="auto"/>
              </w:rPr>
              <w:t>本项目营运期生活污水</w:t>
            </w:r>
            <w:r>
              <w:rPr>
                <w:rFonts w:hint="eastAsia"/>
                <w:bCs/>
                <w:color w:val="auto"/>
                <w:sz w:val="24"/>
                <w:u w:val="none" w:color="auto"/>
                <w:lang w:eastAsia="zh-CN"/>
              </w:rPr>
              <w:t>排放</w:t>
            </w:r>
            <w:r>
              <w:rPr>
                <w:rFonts w:hint="eastAsia"/>
                <w:bCs/>
                <w:color w:val="auto"/>
                <w:sz w:val="24"/>
                <w:u w:val="none" w:color="auto"/>
              </w:rPr>
              <w:t>量为</w:t>
            </w:r>
            <w:r>
              <w:rPr>
                <w:rFonts w:hint="eastAsia"/>
                <w:color w:val="auto"/>
                <w:sz w:val="24"/>
                <w:szCs w:val="24"/>
                <w:u w:val="none" w:color="auto"/>
                <w:lang w:val="en-US" w:eastAsia="zh-CN"/>
              </w:rPr>
              <w:t>4</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/d、</w:t>
            </w:r>
            <w:r>
              <w:rPr>
                <w:rFonts w:hint="eastAsia"/>
                <w:bCs/>
                <w:color w:val="auto"/>
                <w:sz w:val="24"/>
                <w:u w:val="none" w:color="auto"/>
                <w:lang w:val="en-US" w:eastAsia="zh-CN"/>
              </w:rPr>
              <w:t>1200</w:t>
            </w:r>
            <w:r>
              <w:rPr>
                <w:rFonts w:hint="eastAsia"/>
                <w:bCs/>
                <w:color w:val="auto"/>
                <w:sz w:val="24"/>
                <w:u w:val="none" w:color="auto"/>
              </w:rPr>
              <w:t>m</w:t>
            </w:r>
            <w:r>
              <w:rPr>
                <w:rFonts w:hint="eastAsia"/>
                <w:bCs/>
                <w:color w:val="auto"/>
                <w:sz w:val="24"/>
                <w:u w:val="none" w:color="auto"/>
                <w:vertAlign w:val="superscript"/>
              </w:rPr>
              <w:t>3</w:t>
            </w:r>
            <w:r>
              <w:rPr>
                <w:rFonts w:hint="eastAsia"/>
                <w:bCs/>
                <w:color w:val="auto"/>
                <w:sz w:val="24"/>
                <w:u w:val="none" w:color="auto"/>
              </w:rPr>
              <w:t>/a，其主要污染因子为 COD、BOD</w:t>
            </w:r>
            <w:r>
              <w:rPr>
                <w:rFonts w:hint="eastAsia"/>
                <w:bCs/>
                <w:color w:val="auto"/>
                <w:sz w:val="24"/>
                <w:u w:val="none" w:color="auto"/>
                <w:vertAlign w:val="subscript"/>
              </w:rPr>
              <w:t>5</w:t>
            </w:r>
            <w:r>
              <w:rPr>
                <w:rFonts w:hint="eastAsia"/>
                <w:bCs/>
                <w:color w:val="auto"/>
                <w:sz w:val="24"/>
                <w:u w:val="none" w:color="auto"/>
              </w:rPr>
              <w:t>、SS、NH</w:t>
            </w:r>
            <w:r>
              <w:rPr>
                <w:rFonts w:hint="eastAsia"/>
                <w:bCs/>
                <w:color w:val="auto"/>
                <w:sz w:val="24"/>
                <w:u w:val="none" w:color="auto"/>
                <w:vertAlign w:val="subscript"/>
              </w:rPr>
              <w:t>3</w:t>
            </w:r>
            <w:r>
              <w:rPr>
                <w:rFonts w:hint="eastAsia"/>
                <w:bCs/>
                <w:color w:val="auto"/>
                <w:sz w:val="24"/>
                <w:u w:val="none" w:color="auto"/>
              </w:rPr>
              <w:t>-N。</w:t>
            </w:r>
            <w:r>
              <w:rPr>
                <w:color w:val="auto"/>
                <w:sz w:val="24"/>
                <w:szCs w:val="24"/>
                <w:u w:val="none" w:color="auto"/>
                <w:lang w:bidi="ar"/>
              </w:rPr>
              <w:t>根据同类项目类比，生活废水中COD300mg/L、BOD</w:t>
            </w:r>
            <w:r>
              <w:rPr>
                <w:color w:val="auto"/>
                <w:sz w:val="24"/>
                <w:szCs w:val="24"/>
                <w:u w:val="none" w:color="auto"/>
                <w:vertAlign w:val="subscript"/>
                <w:lang w:bidi="ar"/>
              </w:rPr>
              <w:t>5</w:t>
            </w:r>
            <w:r>
              <w:rPr>
                <w:color w:val="auto"/>
                <w:sz w:val="24"/>
                <w:szCs w:val="24"/>
                <w:u w:val="none" w:color="auto"/>
                <w:lang w:bidi="ar"/>
              </w:rPr>
              <w:t>200mg/L、氨氮30mg/L、SS250mg/L</w:t>
            </w:r>
            <w:r>
              <w:rPr>
                <w:rFonts w:hint="eastAsia"/>
                <w:color w:val="auto"/>
                <w:sz w:val="24"/>
                <w:szCs w:val="24"/>
                <w:u w:val="none" w:color="auto"/>
                <w:lang w:bidi="ar"/>
              </w:rPr>
              <w:t>。</w:t>
            </w:r>
            <w:r>
              <w:rPr>
                <w:color w:val="auto"/>
                <w:sz w:val="24"/>
                <w:szCs w:val="24"/>
                <w:u w:val="none" w:color="auto"/>
              </w:rPr>
              <w:t>项目污水</w:t>
            </w:r>
            <w:r>
              <w:rPr>
                <w:rFonts w:hint="eastAsia"/>
                <w:color w:val="auto"/>
                <w:sz w:val="24"/>
                <w:szCs w:val="24"/>
                <w:u w:val="none" w:color="auto"/>
                <w:lang w:eastAsia="zh-CN"/>
              </w:rPr>
              <w:t>依托现有项目化粪池处理后</w:t>
            </w:r>
            <w:r>
              <w:rPr>
                <w:rFonts w:hAnsi="宋体"/>
                <w:color w:val="auto"/>
                <w:sz w:val="24"/>
                <w:szCs w:val="24"/>
                <w:u w:val="none" w:color="auto"/>
              </w:rPr>
              <w:t>达</w:t>
            </w:r>
            <w:r>
              <w:rPr>
                <w:rFonts w:hint="eastAsia" w:hAnsi="宋体"/>
                <w:color w:val="auto"/>
                <w:sz w:val="24"/>
                <w:szCs w:val="24"/>
                <w:u w:val="none" w:color="auto"/>
                <w:lang w:eastAsia="zh-CN"/>
              </w:rPr>
              <w:t>到</w:t>
            </w:r>
            <w:r>
              <w:rPr>
                <w:rFonts w:hAnsi="宋体"/>
                <w:color w:val="auto"/>
                <w:sz w:val="24"/>
                <w:szCs w:val="24"/>
                <w:u w:val="none" w:color="auto"/>
              </w:rPr>
              <w:t>《污水综合排放标准》（</w:t>
            </w:r>
            <w:r>
              <w:rPr>
                <w:color w:val="auto"/>
                <w:sz w:val="24"/>
                <w:szCs w:val="24"/>
                <w:u w:val="none" w:color="auto"/>
              </w:rPr>
              <w:t>GB 8978-1996</w:t>
            </w:r>
            <w:r>
              <w:rPr>
                <w:rFonts w:hAnsi="宋体"/>
                <w:color w:val="auto"/>
                <w:sz w:val="24"/>
                <w:szCs w:val="24"/>
                <w:u w:val="none" w:color="auto"/>
              </w:rPr>
              <w:t>）表</w:t>
            </w:r>
            <w:r>
              <w:rPr>
                <w:color w:val="auto"/>
                <w:sz w:val="24"/>
                <w:szCs w:val="24"/>
                <w:u w:val="none" w:color="auto"/>
              </w:rPr>
              <w:t>4</w:t>
            </w:r>
            <w:r>
              <w:rPr>
                <w:rFonts w:hAnsi="宋体"/>
                <w:color w:val="auto"/>
                <w:sz w:val="24"/>
                <w:szCs w:val="24"/>
                <w:u w:val="none" w:color="auto"/>
              </w:rPr>
              <w:t>中</w:t>
            </w:r>
            <w:r>
              <w:rPr>
                <w:rFonts w:hint="eastAsia" w:hAnsi="宋体"/>
                <w:color w:val="auto"/>
                <w:sz w:val="24"/>
                <w:szCs w:val="24"/>
                <w:u w:val="none" w:color="auto"/>
                <w:lang w:eastAsia="zh-CN"/>
              </w:rPr>
              <w:t>三</w:t>
            </w:r>
            <w:r>
              <w:rPr>
                <w:rFonts w:hAnsi="宋体"/>
                <w:color w:val="auto"/>
                <w:sz w:val="24"/>
                <w:szCs w:val="24"/>
                <w:u w:val="none" w:color="auto"/>
              </w:rPr>
              <w:t>级标准</w:t>
            </w:r>
            <w:r>
              <w:rPr>
                <w:color w:val="auto"/>
                <w:sz w:val="24"/>
                <w:szCs w:val="24"/>
                <w:u w:val="none" w:color="auto"/>
              </w:rPr>
              <w:t>后</w:t>
            </w:r>
            <w:r>
              <w:rPr>
                <w:rFonts w:hint="eastAsia"/>
                <w:color w:val="auto"/>
                <w:sz w:val="24"/>
                <w:szCs w:val="24"/>
                <w:u w:val="none" w:color="auto"/>
                <w:lang w:eastAsia="zh-CN"/>
              </w:rPr>
              <w:t>排入园区污水管网进</w:t>
            </w:r>
            <w:r>
              <w:rPr>
                <w:color w:val="auto"/>
                <w:sz w:val="24"/>
                <w:szCs w:val="24"/>
                <w:u w:val="none" w:color="auto"/>
              </w:rPr>
              <w:t>入</w:t>
            </w:r>
            <w:r>
              <w:rPr>
                <w:rFonts w:hint="eastAsia"/>
                <w:color w:val="auto"/>
                <w:sz w:val="24"/>
                <w:szCs w:val="24"/>
                <w:u w:val="none" w:color="auto"/>
                <w:lang w:eastAsia="zh-CN"/>
              </w:rPr>
              <w:t>湘阴县</w:t>
            </w:r>
            <w:r>
              <w:rPr>
                <w:color w:val="auto"/>
                <w:sz w:val="24"/>
                <w:szCs w:val="24"/>
                <w:u w:val="none" w:color="auto"/>
              </w:rPr>
              <w:t>第</w:t>
            </w:r>
            <w:r>
              <w:rPr>
                <w:rFonts w:hint="eastAsia"/>
                <w:color w:val="auto"/>
                <w:sz w:val="24"/>
                <w:szCs w:val="24"/>
                <w:u w:val="none" w:color="auto"/>
                <w:lang w:eastAsia="zh-CN"/>
              </w:rPr>
              <w:t>二</w:t>
            </w:r>
            <w:r>
              <w:rPr>
                <w:color w:val="auto"/>
                <w:sz w:val="24"/>
                <w:szCs w:val="24"/>
                <w:u w:val="none" w:color="auto"/>
              </w:rPr>
              <w:t>污水处理厂处理，处理达到《城镇污水处理厂污染物排放标准（GB18918—2002）》中一级标准的A类标准后，最终汇入湘江</w:t>
            </w:r>
            <w:r>
              <w:rPr>
                <w:color w:val="auto"/>
                <w:sz w:val="24"/>
                <w:u w:val="none" w:color="auto"/>
              </w:rPr>
              <w:t>。</w:t>
            </w:r>
          </w:p>
          <w:p>
            <w:pPr>
              <w:pStyle w:val="186"/>
              <w:rPr>
                <w:color w:val="auto"/>
                <w:u w:val="none" w:color="auto"/>
              </w:rPr>
            </w:pPr>
            <w:r>
              <w:rPr>
                <w:color w:val="auto"/>
                <w:u w:val="none" w:color="auto"/>
              </w:rPr>
              <w:t>表5-</w:t>
            </w:r>
            <w:r>
              <w:rPr>
                <w:rFonts w:hint="eastAsia"/>
                <w:color w:val="auto"/>
                <w:u w:val="none" w:color="auto"/>
                <w:lang w:val="en-US" w:eastAsia="zh-CN"/>
              </w:rPr>
              <w:t>1</w:t>
            </w:r>
            <w:r>
              <w:rPr>
                <w:color w:val="auto"/>
                <w:u w:val="none" w:color="auto"/>
              </w:rPr>
              <w:t xml:space="preserve"> 本项目废水产生及排放情况一览表</w:t>
            </w:r>
          </w:p>
          <w:tbl>
            <w:tblPr>
              <w:tblStyle w:val="40"/>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2196"/>
              <w:gridCol w:w="2332"/>
              <w:gridCol w:w="1894"/>
              <w:gridCol w:w="284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产生环节</w:t>
                  </w:r>
                </w:p>
              </w:tc>
              <w:tc>
                <w:tcPr>
                  <w:tcW w:w="1258"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指标</w:t>
                  </w:r>
                </w:p>
              </w:tc>
              <w:tc>
                <w:tcPr>
                  <w:tcW w:w="1022" w:type="pct"/>
                  <w:tcBorders>
                    <w:top w:val="single" w:color="000000" w:sz="12" w:space="0"/>
                  </w:tcBorders>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水质(mg/L)</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产生量（t/a）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185" w:type="pct"/>
                  <w:vMerge w:val="restar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生活污水</w:t>
                  </w: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水量</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COD</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0.36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BOD</w:t>
                  </w:r>
                  <w:r>
                    <w:rPr>
                      <w:rFonts w:hint="default" w:ascii="Times New Roman" w:hAnsi="Times New Roman" w:eastAsia="宋体" w:cs="Times New Roman"/>
                      <w:color w:val="auto"/>
                      <w:sz w:val="22"/>
                      <w:szCs w:val="22"/>
                      <w:u w:val="none" w:color="auto"/>
                      <w:vertAlign w:val="subscript"/>
                    </w:rPr>
                    <w:t>5</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200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SS</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ascii="Times New Roman" w:hAnsi="Times New Roman" w:eastAsia="宋体" w:cs="Times New Roman"/>
                      <w:color w:val="auto"/>
                      <w:sz w:val="22"/>
                      <w:szCs w:val="22"/>
                      <w:u w:val="none" w:color="auto"/>
                      <w:lang w:val="en-US" w:eastAsia="zh-CN"/>
                    </w:rPr>
                    <w:t>250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185" w:type="pct"/>
                  <w:vMerge w:val="continue"/>
                  <w:noWrap w:val="0"/>
                  <w:vAlign w:val="center"/>
                </w:tcPr>
                <w:p>
                  <w:pPr>
                    <w:pStyle w:val="184"/>
                    <w:spacing w:line="360" w:lineRule="auto"/>
                    <w:rPr>
                      <w:rFonts w:hint="default" w:ascii="Times New Roman" w:hAnsi="Times New Roman" w:eastAsia="宋体" w:cs="Times New Roman"/>
                      <w:color w:val="auto"/>
                      <w:sz w:val="22"/>
                      <w:szCs w:val="22"/>
                      <w:u w:val="none" w:color="auto"/>
                    </w:rPr>
                  </w:pPr>
                </w:p>
              </w:tc>
              <w:tc>
                <w:tcPr>
                  <w:tcW w:w="1258"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NH</w:t>
                  </w:r>
                  <w:r>
                    <w:rPr>
                      <w:rFonts w:hint="default" w:ascii="Times New Roman" w:hAnsi="Times New Roman" w:eastAsia="宋体" w:cs="Times New Roman"/>
                      <w:color w:val="auto"/>
                      <w:sz w:val="22"/>
                      <w:szCs w:val="22"/>
                      <w:u w:val="none" w:color="auto"/>
                      <w:vertAlign w:val="subscript"/>
                    </w:rPr>
                    <w:t>3</w:t>
                  </w:r>
                  <w:r>
                    <w:rPr>
                      <w:rFonts w:hint="default" w:ascii="Times New Roman" w:hAnsi="Times New Roman" w:eastAsia="宋体" w:cs="Times New Roman"/>
                      <w:color w:val="auto"/>
                      <w:sz w:val="22"/>
                      <w:szCs w:val="22"/>
                      <w:u w:val="none" w:color="auto"/>
                    </w:rPr>
                    <w:t>-N</w:t>
                  </w:r>
                </w:p>
              </w:tc>
              <w:tc>
                <w:tcPr>
                  <w:tcW w:w="1022" w:type="pct"/>
                  <w:noWrap w:val="0"/>
                  <w:vAlign w:val="center"/>
                </w:tcPr>
                <w:p>
                  <w:pPr>
                    <w:pStyle w:val="184"/>
                    <w:spacing w:line="360" w:lineRule="auto"/>
                    <w:rPr>
                      <w:rFonts w:hint="default" w:ascii="Times New Roman" w:hAnsi="Times New Roman" w:eastAsia="宋体" w:cs="Times New Roman"/>
                      <w:color w:val="auto"/>
                      <w:sz w:val="22"/>
                      <w:szCs w:val="22"/>
                      <w:u w:val="none" w:color="auto"/>
                    </w:rPr>
                  </w:pPr>
                  <w:r>
                    <w:rPr>
                      <w:rFonts w:hint="default" w:ascii="Times New Roman" w:hAnsi="Times New Roman" w:eastAsia="宋体" w:cs="Times New Roman"/>
                      <w:color w:val="auto"/>
                      <w:sz w:val="22"/>
                      <w:szCs w:val="22"/>
                      <w:u w:val="none" w:color="auto"/>
                    </w:rPr>
                    <w:t>30</w:t>
                  </w:r>
                </w:p>
              </w:tc>
              <w:tc>
                <w:tcPr>
                  <w:tcW w:w="1532" w:type="pct"/>
                  <w:noWrap w:val="0"/>
                  <w:vAlign w:val="center"/>
                </w:tcPr>
                <w:p>
                  <w:pPr>
                    <w:pStyle w:val="184"/>
                    <w:spacing w:line="360" w:lineRule="auto"/>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0.036</w:t>
                  </w:r>
                </w:p>
              </w:tc>
            </w:tr>
          </w:tbl>
          <w:p>
            <w:pPr>
              <w:spacing w:line="360" w:lineRule="auto"/>
              <w:ind w:firstLine="462" w:firstLineChars="200"/>
              <w:rPr>
                <w:color w:val="auto"/>
                <w:sz w:val="24"/>
                <w:szCs w:val="24"/>
                <w:u w:val="single" w:color="auto"/>
              </w:rPr>
            </w:pPr>
            <w:r>
              <w:rPr>
                <w:color w:val="auto"/>
                <w:sz w:val="24"/>
                <w:szCs w:val="24"/>
                <w:u w:val="single" w:color="auto"/>
              </w:rPr>
              <w:t>2、废气</w:t>
            </w:r>
          </w:p>
          <w:p>
            <w:pPr>
              <w:pStyle w:val="34"/>
              <w:spacing w:line="360" w:lineRule="auto"/>
              <w:ind w:left="0" w:leftChars="0" w:firstLine="462" w:firstLineChars="200"/>
              <w:jc w:val="left"/>
              <w:rPr>
                <w:color w:val="auto"/>
                <w:sz w:val="24"/>
                <w:u w:val="single" w:color="auto"/>
              </w:rPr>
            </w:pPr>
            <w:r>
              <w:rPr>
                <w:color w:val="auto"/>
                <w:sz w:val="24"/>
                <w:u w:val="single" w:color="auto"/>
              </w:rPr>
              <w:t>本项目运营过程中产生的废气有</w:t>
            </w:r>
            <w:r>
              <w:rPr>
                <w:rFonts w:hint="eastAsia"/>
                <w:color w:val="auto"/>
                <w:sz w:val="24"/>
                <w:u w:val="single" w:color="auto"/>
                <w:lang w:eastAsia="zh-CN"/>
              </w:rPr>
              <w:t>焊接烟尘、喷塑粉尘、烘干固化废气、</w:t>
            </w:r>
            <w:r>
              <w:rPr>
                <w:rFonts w:hint="eastAsia"/>
                <w:color w:val="auto"/>
                <w:sz w:val="24"/>
                <w:u w:val="single" w:color="auto"/>
              </w:rPr>
              <w:t>喷漆过程中产生的</w:t>
            </w:r>
            <w:r>
              <w:rPr>
                <w:color w:val="auto"/>
                <w:sz w:val="24"/>
                <w:u w:val="single" w:color="auto"/>
              </w:rPr>
              <w:t>漆雾</w:t>
            </w:r>
            <w:r>
              <w:rPr>
                <w:rFonts w:hint="eastAsia"/>
                <w:color w:val="auto"/>
                <w:sz w:val="24"/>
                <w:u w:val="single" w:color="auto"/>
                <w:lang w:eastAsia="zh-CN"/>
              </w:rPr>
              <w:t>、</w:t>
            </w:r>
            <w:r>
              <w:rPr>
                <w:color w:val="auto"/>
                <w:sz w:val="24"/>
                <w:u w:val="single" w:color="auto"/>
              </w:rPr>
              <w:t>有机废气</w:t>
            </w:r>
            <w:r>
              <w:rPr>
                <w:rFonts w:hint="eastAsia"/>
                <w:color w:val="auto"/>
                <w:sz w:val="24"/>
                <w:u w:val="single" w:color="auto"/>
              </w:rPr>
              <w:t>。</w:t>
            </w:r>
          </w:p>
          <w:p>
            <w:pPr>
              <w:spacing w:line="360" w:lineRule="auto"/>
              <w:ind w:firstLine="462" w:firstLineChars="200"/>
              <w:rPr>
                <w:rFonts w:hint="eastAsia" w:hAnsi="宋体"/>
                <w:color w:val="auto"/>
                <w:sz w:val="24"/>
                <w:u w:val="single" w:color="auto"/>
              </w:rPr>
            </w:pPr>
            <w:r>
              <w:rPr>
                <w:rFonts w:hint="eastAsia" w:hAnsi="宋体"/>
                <w:color w:val="auto"/>
                <w:sz w:val="24"/>
                <w:u w:val="single" w:color="auto"/>
              </w:rPr>
              <w:t>（1）焊接烟尘</w:t>
            </w:r>
          </w:p>
          <w:p>
            <w:pPr>
              <w:pStyle w:val="172"/>
              <w:spacing w:line="360" w:lineRule="auto"/>
              <w:ind w:firstLine="480"/>
              <w:rPr>
                <w:color w:val="auto"/>
                <w:u w:val="single" w:color="auto"/>
              </w:rPr>
            </w:pPr>
            <w:r>
              <w:rPr>
                <w:color w:val="auto"/>
                <w:sz w:val="24"/>
                <w:szCs w:val="24"/>
                <w:u w:val="single" w:color="auto"/>
              </w:rPr>
              <w:t>本项目焊接烟尘主要来自焊条，少量来自焊芯及被焊工件，根据《焊接工作的劳动保护》调查，焊接烟尘的产生量与焊条的种类及焊接工艺有关，各类焊接烟尘产生量如下表：</w:t>
            </w:r>
          </w:p>
          <w:p>
            <w:pPr>
              <w:pStyle w:val="186"/>
              <w:rPr>
                <w:color w:val="auto"/>
                <w:u w:val="single" w:color="auto"/>
              </w:rPr>
            </w:pPr>
            <w:r>
              <w:rPr>
                <w:color w:val="auto"/>
                <w:u w:val="single" w:color="auto"/>
              </w:rPr>
              <w:t>表5-</w:t>
            </w:r>
            <w:r>
              <w:rPr>
                <w:rFonts w:hint="eastAsia"/>
                <w:color w:val="auto"/>
                <w:u w:val="single" w:color="auto"/>
                <w:lang w:val="en-US" w:eastAsia="zh-CN"/>
              </w:rPr>
              <w:t>2</w:t>
            </w:r>
            <w:r>
              <w:rPr>
                <w:color w:val="auto"/>
                <w:u w:val="single" w:color="auto"/>
              </w:rPr>
              <w:t xml:space="preserve"> 焊接烟尘产生情况表</w:t>
            </w:r>
          </w:p>
          <w:tbl>
            <w:tblPr>
              <w:tblStyle w:val="4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40"/>
              <w:gridCol w:w="4126"/>
              <w:gridCol w:w="30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70" w:type="pct"/>
                  <w:gridSpan w:val="2"/>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焊接工艺</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烟尘产生量g/kg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手工电弧焊</w:t>
                  </w: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低氮型普低钢焊条（结507）</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钛钙型低碳钢焊条（结422）</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钛钙型低碳钢焊条（结423）</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7.5~9.5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高效铁粉焊条</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自保护电弧焊</w:t>
                  </w: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保护药芯焊丝</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20~23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restar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气体保护电弧焊</w:t>
                  </w: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CO2保护药芯焊丝</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11~13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CO2保护实芯焊丝</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1" w:type="pct"/>
                  <w:vMerge w:val="continue"/>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p>
              </w:tc>
              <w:tc>
                <w:tcPr>
                  <w:tcW w:w="2218"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Ar+5%O2保护实芯焊</w:t>
                  </w:r>
                </w:p>
              </w:tc>
              <w:tc>
                <w:tcPr>
                  <w:tcW w:w="1629" w:type="pct"/>
                  <w:tcBorders>
                    <w:tl2br w:val="nil"/>
                    <w:tr2bl w:val="nil"/>
                  </w:tcBorders>
                  <w:noWrap w:val="0"/>
                  <w:vAlign w:val="center"/>
                </w:tcPr>
                <w:p>
                  <w:pPr>
                    <w:bidi w:val="0"/>
                    <w:spacing w:line="360" w:lineRule="auto"/>
                    <w:jc w:val="center"/>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3~6.5</w:t>
                  </w:r>
                </w:p>
              </w:tc>
            </w:tr>
          </w:tbl>
          <w:p>
            <w:pPr>
              <w:jc w:val="left"/>
              <w:rPr>
                <w:color w:val="auto"/>
                <w:szCs w:val="21"/>
                <w:u w:val="single" w:color="auto"/>
              </w:rPr>
            </w:pPr>
            <w:r>
              <w:rPr>
                <w:color w:val="auto"/>
                <w:szCs w:val="21"/>
                <w:u w:val="single" w:color="auto"/>
              </w:rPr>
              <w:t>注：本表摘自《焊接工作的劳动保护》</w:t>
            </w:r>
            <w:r>
              <w:rPr>
                <w:rFonts w:hint="eastAsia"/>
                <w:color w:val="auto"/>
                <w:szCs w:val="21"/>
                <w:u w:val="single" w:color="auto"/>
              </w:rPr>
              <w:t>。</w:t>
            </w:r>
          </w:p>
          <w:p>
            <w:pPr>
              <w:pStyle w:val="172"/>
              <w:spacing w:line="360" w:lineRule="auto"/>
              <w:ind w:firstLine="48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焊接烟尘中的主要有害物质为Fe</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、SiO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、MnO、HF等，其中含量最多的为Fe</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，一般占烟气总量的35.56%，其次是SiO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，其含量占10～20％，MnO占5～20％左右。焊接烟尘中有毒有害气体的成份主要为CO、CO</w:t>
            </w:r>
            <w:r>
              <w:rPr>
                <w:rFonts w:hint="default" w:ascii="Times New Roman" w:hAnsi="Times New Roman" w:cs="Times New Roman"/>
                <w:color w:val="auto"/>
                <w:sz w:val="24"/>
                <w:szCs w:val="24"/>
                <w:u w:val="single" w:color="auto"/>
                <w:vertAlign w:val="subscript"/>
              </w:rPr>
              <w:t>2</w:t>
            </w:r>
            <w:r>
              <w:rPr>
                <w:rFonts w:hint="default" w:ascii="Times New Roman" w:hAnsi="Times New Roman" w:cs="Times New Roman"/>
                <w:color w:val="auto"/>
                <w:sz w:val="24"/>
                <w:szCs w:val="24"/>
                <w:u w:val="single" w:color="auto"/>
              </w:rPr>
              <w:t>、O</w:t>
            </w:r>
            <w:r>
              <w:rPr>
                <w:rFonts w:hint="default" w:ascii="Times New Roman" w:hAnsi="Times New Roman" w:cs="Times New Roman"/>
                <w:color w:val="auto"/>
                <w:sz w:val="24"/>
                <w:szCs w:val="24"/>
                <w:u w:val="single" w:color="auto"/>
                <w:vertAlign w:val="subscript"/>
              </w:rPr>
              <w:t>3</w:t>
            </w:r>
            <w:r>
              <w:rPr>
                <w:rFonts w:hint="default" w:ascii="Times New Roman" w:hAnsi="Times New Roman" w:cs="Times New Roman"/>
                <w:color w:val="auto"/>
                <w:sz w:val="24"/>
                <w:szCs w:val="24"/>
                <w:u w:val="single" w:color="auto"/>
              </w:rPr>
              <w:t>、NO</w:t>
            </w:r>
            <w:r>
              <w:rPr>
                <w:rFonts w:hint="default" w:ascii="Times New Roman" w:hAnsi="Times New Roman" w:cs="Times New Roman"/>
                <w:color w:val="auto"/>
                <w:sz w:val="24"/>
                <w:szCs w:val="24"/>
                <w:u w:val="single" w:color="auto"/>
                <w:vertAlign w:val="subscript"/>
              </w:rPr>
              <w:t>X</w:t>
            </w:r>
            <w:r>
              <w:rPr>
                <w:rFonts w:hint="default" w:ascii="Times New Roman" w:hAnsi="Times New Roman" w:cs="Times New Roman"/>
                <w:color w:val="auto"/>
                <w:sz w:val="24"/>
                <w:szCs w:val="24"/>
                <w:u w:val="single" w:color="auto"/>
              </w:rPr>
              <w:t>、CH</w:t>
            </w:r>
            <w:r>
              <w:rPr>
                <w:rFonts w:hint="default" w:ascii="Times New Roman" w:hAnsi="Times New Roman" w:cs="Times New Roman"/>
                <w:color w:val="auto"/>
                <w:sz w:val="24"/>
                <w:szCs w:val="24"/>
                <w:u w:val="single" w:color="auto"/>
                <w:vertAlign w:val="subscript"/>
              </w:rPr>
              <w:t>4</w:t>
            </w:r>
            <w:r>
              <w:rPr>
                <w:rFonts w:hint="default" w:ascii="Times New Roman" w:hAnsi="Times New Roman" w:cs="Times New Roman"/>
                <w:color w:val="auto"/>
                <w:sz w:val="24"/>
                <w:szCs w:val="24"/>
                <w:u w:val="single" w:color="auto"/>
              </w:rPr>
              <w:t>等，其中以CO所占的比例最大。由于有毒有害气体产生量不大，气体成份复杂，较难定量化，且本项目焊丝使用量不大，主要对回收钢架中出现松动的进行点焊加固，本环评仅在此作定性分析，而对焊接烟尘则作定量化分析。</w:t>
            </w:r>
          </w:p>
          <w:p>
            <w:pPr>
              <w:pStyle w:val="34"/>
              <w:spacing w:line="360" w:lineRule="auto"/>
              <w:ind w:left="0" w:leftChars="0" w:firstLine="462" w:firstLineChars="200"/>
              <w:jc w:val="left"/>
              <w:rPr>
                <w:rFonts w:hint="eastAsia" w:eastAsia="宋体" w:cs="Times New Roman"/>
                <w:bCs/>
                <w:color w:val="auto"/>
                <w:szCs w:val="24"/>
                <w:u w:val="single" w:color="auto"/>
                <w:lang w:val="en-US" w:eastAsia="zh-CN"/>
              </w:rPr>
            </w:pPr>
            <w:r>
              <w:rPr>
                <w:rFonts w:hint="default" w:ascii="Times New Roman" w:hAnsi="Times New Roman" w:cs="Times New Roman"/>
                <w:color w:val="auto"/>
                <w:sz w:val="24"/>
                <w:szCs w:val="24"/>
                <w:u w:val="single" w:color="auto"/>
              </w:rPr>
              <w:t>项目焊条采用钛钙型低碳钢焊条（结422），不含铅成分，其年用量为</w:t>
            </w:r>
            <w:r>
              <w:rPr>
                <w:rFonts w:hint="eastAsia" w:cs="Times New Roman"/>
                <w:color w:val="auto"/>
                <w:sz w:val="24"/>
                <w:szCs w:val="24"/>
                <w:u w:val="single" w:color="auto"/>
                <w:lang w:val="en-US" w:eastAsia="zh-CN"/>
              </w:rPr>
              <w:t>1</w:t>
            </w:r>
            <w:r>
              <w:rPr>
                <w:rFonts w:hint="default" w:ascii="Times New Roman" w:hAnsi="Times New Roman" w:cs="Times New Roman"/>
                <w:color w:val="auto"/>
                <w:sz w:val="24"/>
                <w:szCs w:val="24"/>
                <w:u w:val="single" w:color="auto"/>
              </w:rPr>
              <w:t>t/a，焊条烟尘产生量按最大产尘量计算8g/kg，焊接作业时间按平均每天最长工作时间</w:t>
            </w:r>
            <w:r>
              <w:rPr>
                <w:rFonts w:hint="eastAsia" w:cs="Times New Roman"/>
                <w:color w:val="auto"/>
                <w:sz w:val="24"/>
                <w:szCs w:val="24"/>
                <w:u w:val="single" w:color="auto"/>
                <w:lang w:val="en-US" w:eastAsia="zh-CN"/>
              </w:rPr>
              <w:t>4</w:t>
            </w:r>
            <w:r>
              <w:rPr>
                <w:rFonts w:hint="default" w:ascii="Times New Roman" w:hAnsi="Times New Roman" w:cs="Times New Roman"/>
                <w:color w:val="auto"/>
                <w:sz w:val="24"/>
                <w:szCs w:val="24"/>
                <w:u w:val="single" w:color="auto"/>
              </w:rPr>
              <w:t>小时计算，则项目烟尘产生量共约</w:t>
            </w:r>
            <w:r>
              <w:rPr>
                <w:rFonts w:hint="eastAsia" w:cs="Times New Roman"/>
                <w:color w:val="auto"/>
                <w:sz w:val="24"/>
                <w:szCs w:val="24"/>
                <w:u w:val="single" w:color="auto"/>
                <w:lang w:val="en-US" w:eastAsia="zh-CN"/>
              </w:rPr>
              <w:t>8</w:t>
            </w:r>
            <w:r>
              <w:rPr>
                <w:rFonts w:hint="default" w:ascii="Times New Roman" w:hAnsi="Times New Roman" w:cs="Times New Roman"/>
                <w:color w:val="auto"/>
                <w:sz w:val="24"/>
                <w:szCs w:val="24"/>
                <w:u w:val="single" w:color="auto"/>
              </w:rPr>
              <w:t>kg/a。考虑到焊接点位比较分散，因此，本评价建议在主要焊接工位采用移动式焊接烟尘净化器收集焊接烟气，</w:t>
            </w:r>
            <w:r>
              <w:rPr>
                <w:rFonts w:hint="default" w:ascii="Times New Roman" w:hAnsi="Times New Roman" w:cs="Times New Roman"/>
                <w:color w:val="auto"/>
                <w:sz w:val="24"/>
                <w:szCs w:val="24"/>
                <w:u w:val="single" w:color="auto"/>
                <w:lang w:eastAsia="zh-CN"/>
              </w:rPr>
              <w:t>收集效率</w:t>
            </w:r>
            <w:r>
              <w:rPr>
                <w:rFonts w:hint="default" w:ascii="Times New Roman" w:hAnsi="Times New Roman" w:cs="Times New Roman"/>
                <w:color w:val="auto"/>
                <w:sz w:val="24"/>
                <w:szCs w:val="24"/>
                <w:u w:val="single" w:color="auto"/>
              </w:rPr>
              <w:t>约为90%，收集到的烟气颗粒物的去除率为9</w:t>
            </w:r>
            <w:r>
              <w:rPr>
                <w:rFonts w:hint="default" w:ascii="Times New Roman" w:hAnsi="Times New Roman" w:cs="Times New Roman"/>
                <w:color w:val="auto"/>
                <w:sz w:val="24"/>
                <w:szCs w:val="24"/>
                <w:u w:val="single" w:color="auto"/>
                <w:lang w:val="en-US" w:eastAsia="zh-CN"/>
              </w:rPr>
              <w:t>0</w:t>
            </w:r>
            <w:r>
              <w:rPr>
                <w:rFonts w:hint="default" w:ascii="Times New Roman" w:hAnsi="Times New Roman" w:cs="Times New Roman"/>
                <w:color w:val="auto"/>
                <w:sz w:val="24"/>
                <w:szCs w:val="24"/>
                <w:u w:val="single" w:color="auto"/>
              </w:rPr>
              <w:t>%。则颗粒物的排放量为</w:t>
            </w:r>
            <w:r>
              <w:rPr>
                <w:rFonts w:hint="eastAsia" w:cs="Times New Roman"/>
                <w:color w:val="auto"/>
                <w:sz w:val="24"/>
                <w:szCs w:val="24"/>
                <w:u w:val="single" w:color="auto"/>
                <w:lang w:val="en-US" w:eastAsia="zh-CN"/>
              </w:rPr>
              <w:t>1.52</w:t>
            </w:r>
            <w:r>
              <w:rPr>
                <w:rFonts w:hint="default" w:ascii="Times New Roman" w:hAnsi="Times New Roman" w:cs="Times New Roman"/>
                <w:color w:val="auto"/>
                <w:sz w:val="24"/>
                <w:szCs w:val="24"/>
                <w:u w:val="single" w:color="auto"/>
              </w:rPr>
              <w:t>kg/a，能满足《大气污染物综合排放标准》（GB16297－1996）表2无组织排放限值要求</w:t>
            </w:r>
            <w:r>
              <w:rPr>
                <w:rFonts w:hint="eastAsia"/>
                <w:sz w:val="24"/>
                <w:u w:val="single" w:color="auto"/>
                <w:lang w:eastAsia="zh-CN"/>
              </w:rPr>
              <w:t>。</w:t>
            </w:r>
          </w:p>
          <w:p>
            <w:pPr>
              <w:pStyle w:val="188"/>
              <w:numPr>
                <w:ilvl w:val="0"/>
                <w:numId w:val="9"/>
              </w:numPr>
              <w:spacing w:line="360" w:lineRule="auto"/>
              <w:rPr>
                <w:rFonts w:cs="Times New Roman"/>
                <w:bCs/>
                <w:color w:val="auto"/>
                <w:szCs w:val="24"/>
                <w:u w:val="single" w:color="auto"/>
              </w:rPr>
            </w:pPr>
            <w:r>
              <w:rPr>
                <w:rFonts w:cs="Times New Roman"/>
                <w:bCs/>
                <w:color w:val="auto"/>
                <w:szCs w:val="24"/>
                <w:u w:val="single" w:color="auto"/>
              </w:rPr>
              <w:t>喷塑粉尘 </w:t>
            </w:r>
          </w:p>
          <w:p>
            <w:pPr>
              <w:pStyle w:val="188"/>
              <w:spacing w:line="360" w:lineRule="auto"/>
              <w:rPr>
                <w:rFonts w:hint="eastAsia" w:ascii="Times New Roman" w:hAnsi="Times New Roman" w:eastAsia="宋体" w:cs="Times New Roman"/>
                <w:bCs/>
                <w:color w:val="auto"/>
                <w:sz w:val="24"/>
                <w:szCs w:val="24"/>
                <w:u w:val="single" w:color="auto"/>
                <w:lang w:eastAsia="zh-CN"/>
              </w:rPr>
            </w:pPr>
            <w:r>
              <w:rPr>
                <w:rFonts w:hint="default" w:ascii="Times New Roman" w:hAnsi="Times New Roman" w:cs="Times New Roman"/>
                <w:bCs/>
                <w:color w:val="auto"/>
                <w:sz w:val="24"/>
                <w:szCs w:val="24"/>
                <w:u w:val="single" w:color="auto"/>
              </w:rPr>
              <w:t>拟建项目采用自动粉末静电喷塑机进行喷塑</w:t>
            </w:r>
            <w:r>
              <w:rPr>
                <w:rFonts w:hint="eastAsia" w:cs="Times New Roman"/>
                <w:bCs/>
                <w:color w:val="auto"/>
                <w:sz w:val="24"/>
                <w:szCs w:val="24"/>
                <w:u w:val="single" w:color="auto"/>
                <w:lang w:eastAsia="zh-CN"/>
              </w:rPr>
              <w:t>，项目设置有</w:t>
            </w:r>
            <w:r>
              <w:rPr>
                <w:rFonts w:hint="eastAsia" w:cs="Times New Roman"/>
                <w:bCs/>
                <w:color w:val="auto"/>
                <w:sz w:val="24"/>
                <w:szCs w:val="24"/>
                <w:u w:val="single" w:color="auto"/>
                <w:lang w:val="en-US" w:eastAsia="zh-CN"/>
              </w:rPr>
              <w:t>1条喷塑流水线，喷塑工序使用的塑粉为5t，年工作时间为1000小时</w:t>
            </w:r>
            <w:r>
              <w:rPr>
                <w:rFonts w:hint="default" w:ascii="Times New Roman" w:hAnsi="Times New Roman" w:cs="Times New Roman"/>
                <w:bCs/>
                <w:color w:val="auto"/>
                <w:sz w:val="24"/>
                <w:szCs w:val="24"/>
                <w:u w:val="single" w:color="auto"/>
              </w:rPr>
              <w:t>，根据相关企业类比数据，拟建项目在静电喷塑过程粉尘发生量约占塑粉耗量的10%</w:t>
            </w:r>
            <w:r>
              <w:rPr>
                <w:rFonts w:hint="eastAsia" w:cs="Times New Roman"/>
                <w:bCs/>
                <w:color w:val="auto"/>
                <w:sz w:val="24"/>
                <w:szCs w:val="24"/>
                <w:u w:val="single" w:color="auto"/>
                <w:lang w:eastAsia="zh-CN"/>
              </w:rPr>
              <w:t>。</w:t>
            </w:r>
          </w:p>
          <w:p>
            <w:pPr>
              <w:pStyle w:val="188"/>
              <w:spacing w:line="360" w:lineRule="auto"/>
              <w:rPr>
                <w:rFonts w:hint="eastAsia" w:ascii="Times New Roman" w:hAnsi="Times New Roman" w:eastAsia="宋体" w:cs="Times New Roman"/>
                <w:bCs/>
                <w:color w:val="auto"/>
                <w:sz w:val="24"/>
                <w:szCs w:val="24"/>
                <w:u w:val="single" w:color="auto"/>
                <w:lang w:eastAsia="zh-CN"/>
              </w:rPr>
            </w:pPr>
            <w:r>
              <w:rPr>
                <w:rFonts w:hint="eastAsia" w:cs="Times New Roman"/>
                <w:bCs/>
                <w:color w:val="auto"/>
                <w:sz w:val="24"/>
                <w:szCs w:val="24"/>
                <w:u w:val="single" w:color="auto"/>
                <w:lang w:eastAsia="zh-CN"/>
              </w:rPr>
              <w:t>喷塑工序：</w:t>
            </w:r>
            <w:r>
              <w:rPr>
                <w:rFonts w:hint="default" w:ascii="Times New Roman" w:hAnsi="Times New Roman" w:cs="Times New Roman"/>
                <w:bCs/>
                <w:color w:val="auto"/>
                <w:sz w:val="24"/>
                <w:szCs w:val="24"/>
                <w:u w:val="single" w:color="auto"/>
              </w:rPr>
              <w:t>粉尘产生量约为0.</w:t>
            </w:r>
            <w:r>
              <w:rPr>
                <w:rFonts w:hint="eastAsia" w:cs="Times New Roman"/>
                <w:bCs/>
                <w:color w:val="auto"/>
                <w:sz w:val="24"/>
                <w:szCs w:val="24"/>
                <w:u w:val="single" w:color="auto"/>
                <w:lang w:val="en-US" w:eastAsia="zh-CN"/>
              </w:rPr>
              <w:t>5</w:t>
            </w:r>
            <w:r>
              <w:rPr>
                <w:rFonts w:hint="default" w:ascii="Times New Roman" w:hAnsi="Times New Roman" w:cs="Times New Roman"/>
                <w:bCs/>
                <w:color w:val="auto"/>
                <w:sz w:val="24"/>
                <w:szCs w:val="24"/>
                <w:u w:val="single" w:color="auto"/>
              </w:rPr>
              <w:t>t/a，</w:t>
            </w:r>
            <w:r>
              <w:rPr>
                <w:rFonts w:hint="eastAsia" w:cs="Times New Roman"/>
                <w:bCs/>
                <w:color w:val="auto"/>
                <w:sz w:val="24"/>
                <w:szCs w:val="24"/>
                <w:u w:val="single" w:color="auto"/>
                <w:lang w:eastAsia="zh-CN"/>
              </w:rPr>
              <w:t>项目年工作时间为</w:t>
            </w:r>
            <w:r>
              <w:rPr>
                <w:rFonts w:hint="eastAsia" w:cs="Times New Roman"/>
                <w:bCs/>
                <w:color w:val="auto"/>
                <w:sz w:val="24"/>
                <w:szCs w:val="24"/>
                <w:u w:val="single" w:color="auto"/>
                <w:lang w:val="en-US" w:eastAsia="zh-CN"/>
              </w:rPr>
              <w:t>1000h</w:t>
            </w:r>
            <w:r>
              <w:rPr>
                <w:rFonts w:hint="default" w:ascii="Times New Roman" w:hAnsi="Times New Roman" w:cs="Times New Roman"/>
                <w:bCs/>
                <w:color w:val="auto"/>
                <w:sz w:val="24"/>
                <w:szCs w:val="24"/>
                <w:u w:val="single" w:color="auto"/>
              </w:rPr>
              <w:t>，因此粉尘产生速率约为</w:t>
            </w:r>
            <w:r>
              <w:rPr>
                <w:rFonts w:hint="eastAsia" w:cs="Times New Roman"/>
                <w:bCs/>
                <w:color w:val="auto"/>
                <w:sz w:val="24"/>
                <w:szCs w:val="24"/>
                <w:u w:val="single" w:color="auto"/>
                <w:lang w:val="en-US" w:eastAsia="zh-CN"/>
              </w:rPr>
              <w:t>0.5</w:t>
            </w:r>
            <w:r>
              <w:rPr>
                <w:rFonts w:hint="default" w:ascii="Times New Roman" w:hAnsi="Times New Roman" w:cs="Times New Roman"/>
                <w:bCs/>
                <w:color w:val="auto"/>
                <w:sz w:val="24"/>
                <w:szCs w:val="24"/>
                <w:u w:val="single" w:color="auto"/>
              </w:rPr>
              <w:t>kg/h。喷塑工序在密闭的防静电PVC粉房进行，粉尘通过风机进入</w:t>
            </w:r>
            <w:r>
              <w:rPr>
                <w:rFonts w:hint="default" w:ascii="Times New Roman" w:hAnsi="Times New Roman" w:cs="Times New Roman"/>
                <w:bCs/>
                <w:color w:val="auto"/>
                <w:sz w:val="24"/>
                <w:szCs w:val="24"/>
                <w:u w:val="single" w:color="auto"/>
                <w:lang w:eastAsia="zh-CN"/>
              </w:rPr>
              <w:t>自带的滤芯回收过滤装置</w:t>
            </w:r>
            <w:r>
              <w:rPr>
                <w:rFonts w:hint="default" w:ascii="Times New Roman" w:hAnsi="Times New Roman" w:cs="Times New Roman"/>
                <w:bCs/>
                <w:color w:val="auto"/>
                <w:sz w:val="24"/>
                <w:szCs w:val="24"/>
                <w:u w:val="single" w:color="auto"/>
              </w:rPr>
              <w:t>处理后排放，风机风量约为</w:t>
            </w:r>
            <w:r>
              <w:rPr>
                <w:rFonts w:hint="eastAsia" w:cs="Times New Roman"/>
                <w:bCs/>
                <w:color w:val="auto"/>
                <w:sz w:val="24"/>
                <w:szCs w:val="24"/>
                <w:u w:val="single" w:color="auto"/>
                <w:lang w:val="en-US" w:eastAsia="zh-CN"/>
              </w:rPr>
              <w:t>3</w:t>
            </w:r>
            <w:r>
              <w:rPr>
                <w:rFonts w:hint="default" w:ascii="Times New Roman" w:hAnsi="Times New Roman" w:cs="Times New Roman"/>
                <w:bCs/>
                <w:color w:val="auto"/>
                <w:sz w:val="24"/>
                <w:szCs w:val="24"/>
                <w:u w:val="single" w:color="auto"/>
              </w:rPr>
              <w:t>000m</w:t>
            </w:r>
            <w:r>
              <w:rPr>
                <w:rFonts w:hint="default" w:ascii="Times New Roman" w:hAnsi="Times New Roman" w:cs="Times New Roman"/>
                <w:bCs/>
                <w:color w:val="auto"/>
                <w:sz w:val="24"/>
                <w:szCs w:val="24"/>
                <w:u w:val="single" w:color="auto"/>
                <w:vertAlign w:val="superscript"/>
              </w:rPr>
              <w:t>3</w:t>
            </w:r>
            <w:r>
              <w:rPr>
                <w:rFonts w:hint="default" w:ascii="Times New Roman" w:hAnsi="Times New Roman" w:cs="Times New Roman"/>
                <w:bCs/>
                <w:color w:val="auto"/>
                <w:sz w:val="24"/>
                <w:szCs w:val="24"/>
                <w:u w:val="single" w:color="auto"/>
              </w:rPr>
              <w:t>/h，因此粉尘产生浓度约为</w:t>
            </w:r>
            <w:r>
              <w:rPr>
                <w:rFonts w:hint="eastAsia" w:cs="Times New Roman"/>
                <w:bCs/>
                <w:color w:val="auto"/>
                <w:sz w:val="24"/>
                <w:szCs w:val="24"/>
                <w:u w:val="single" w:color="auto"/>
                <w:lang w:val="en-US" w:eastAsia="zh-CN"/>
              </w:rPr>
              <w:t>166.67</w:t>
            </w:r>
            <w:r>
              <w:rPr>
                <w:rFonts w:hint="default" w:ascii="Times New Roman" w:hAnsi="Times New Roman" w:cs="Times New Roman"/>
                <w:bCs/>
                <w:color w:val="auto"/>
                <w:sz w:val="24"/>
                <w:szCs w:val="24"/>
                <w:u w:val="single" w:color="auto"/>
              </w:rPr>
              <w:t>mg/m</w:t>
            </w:r>
            <w:r>
              <w:rPr>
                <w:rFonts w:hint="default" w:ascii="Times New Roman" w:hAnsi="Times New Roman" w:cs="Times New Roman"/>
                <w:bCs/>
                <w:color w:val="auto"/>
                <w:sz w:val="24"/>
                <w:szCs w:val="24"/>
                <w:u w:val="single" w:color="auto"/>
                <w:vertAlign w:val="superscript"/>
              </w:rPr>
              <w:t>3</w:t>
            </w:r>
            <w:r>
              <w:rPr>
                <w:rFonts w:hint="default" w:ascii="Times New Roman" w:hAnsi="Times New Roman" w:cs="Times New Roman"/>
                <w:bCs/>
                <w:color w:val="auto"/>
                <w:sz w:val="24"/>
                <w:szCs w:val="24"/>
                <w:u w:val="single" w:color="auto"/>
              </w:rPr>
              <w:t>。</w:t>
            </w:r>
            <w:r>
              <w:rPr>
                <w:rFonts w:hint="default" w:ascii="Times New Roman" w:hAnsi="Times New Roman" w:cs="Times New Roman"/>
                <w:bCs/>
                <w:color w:val="auto"/>
                <w:sz w:val="24"/>
                <w:szCs w:val="24"/>
                <w:u w:val="single" w:color="auto"/>
                <w:lang w:eastAsia="zh-CN"/>
              </w:rPr>
              <w:t>自带的滤芯回收过滤装置</w:t>
            </w:r>
            <w:r>
              <w:rPr>
                <w:rFonts w:hint="default" w:ascii="Times New Roman" w:hAnsi="Times New Roman" w:cs="Times New Roman"/>
                <w:bCs/>
                <w:color w:val="auto"/>
                <w:sz w:val="24"/>
                <w:szCs w:val="24"/>
                <w:u w:val="single" w:color="auto"/>
              </w:rPr>
              <w:t>器除尘效率约为95%，因此粉尘排放量约为</w:t>
            </w:r>
            <w:r>
              <w:rPr>
                <w:rFonts w:hint="eastAsia" w:cs="Times New Roman"/>
                <w:bCs/>
                <w:color w:val="auto"/>
                <w:sz w:val="24"/>
                <w:szCs w:val="24"/>
                <w:u w:val="single" w:color="auto"/>
                <w:lang w:val="en-US" w:eastAsia="zh-CN"/>
              </w:rPr>
              <w:t>0.025</w:t>
            </w:r>
            <w:r>
              <w:rPr>
                <w:rFonts w:hint="default" w:ascii="Times New Roman" w:hAnsi="Times New Roman" w:cs="Times New Roman"/>
                <w:bCs/>
                <w:color w:val="auto"/>
                <w:sz w:val="24"/>
                <w:szCs w:val="24"/>
                <w:u w:val="single" w:color="auto"/>
              </w:rPr>
              <w:t>t/a，排放浓度约为</w:t>
            </w:r>
            <w:r>
              <w:rPr>
                <w:rFonts w:hint="eastAsia" w:cs="Times New Roman"/>
                <w:bCs/>
                <w:color w:val="auto"/>
                <w:sz w:val="24"/>
                <w:szCs w:val="24"/>
                <w:u w:val="single" w:color="auto"/>
                <w:lang w:val="en-US" w:eastAsia="zh-CN"/>
              </w:rPr>
              <w:t>8.33</w:t>
            </w:r>
            <w:r>
              <w:rPr>
                <w:rFonts w:hint="default" w:ascii="Times New Roman" w:hAnsi="Times New Roman" w:cs="Times New Roman"/>
                <w:bCs/>
                <w:color w:val="auto"/>
                <w:sz w:val="24"/>
                <w:szCs w:val="24"/>
                <w:u w:val="single" w:color="auto"/>
              </w:rPr>
              <w:t>mg/m</w:t>
            </w:r>
            <w:r>
              <w:rPr>
                <w:rFonts w:hint="default" w:ascii="Times New Roman" w:hAnsi="Times New Roman" w:cs="Times New Roman"/>
                <w:bCs/>
                <w:color w:val="auto"/>
                <w:sz w:val="24"/>
                <w:szCs w:val="24"/>
                <w:u w:val="single" w:color="auto"/>
                <w:vertAlign w:val="superscript"/>
              </w:rPr>
              <w:t>3</w:t>
            </w:r>
            <w:r>
              <w:rPr>
                <w:rFonts w:hint="default" w:ascii="Times New Roman" w:hAnsi="Times New Roman" w:cs="Times New Roman"/>
                <w:bCs/>
                <w:color w:val="auto"/>
                <w:sz w:val="24"/>
                <w:szCs w:val="24"/>
                <w:u w:val="single" w:color="auto"/>
              </w:rPr>
              <w:t>，粉尘废气最终通过距地面高15m排气筒外排，能够满足《大气污染物综合排放标准》（GB16297-1996）表2中二级排放标准要求。</w:t>
            </w:r>
          </w:p>
          <w:p>
            <w:pPr>
              <w:pStyle w:val="188"/>
              <w:spacing w:line="360" w:lineRule="auto"/>
              <w:rPr>
                <w:rFonts w:hint="default" w:ascii="Times New Roman" w:hAnsi="Times New Roman" w:cs="Times New Roman"/>
                <w:bCs/>
                <w:color w:val="auto"/>
                <w:sz w:val="24"/>
                <w:szCs w:val="24"/>
                <w:u w:val="single" w:color="auto"/>
              </w:rPr>
            </w:pPr>
            <w:r>
              <w:rPr>
                <w:rFonts w:hint="default" w:ascii="Times New Roman" w:hAnsi="Times New Roman" w:cs="Times New Roman"/>
                <w:bCs/>
                <w:color w:val="auto"/>
                <w:sz w:val="24"/>
                <w:szCs w:val="24"/>
                <w:u w:val="single" w:color="auto"/>
              </w:rPr>
              <w:t>（</w:t>
            </w:r>
            <w:r>
              <w:rPr>
                <w:rFonts w:hint="eastAsia" w:cs="Times New Roman"/>
                <w:bCs/>
                <w:color w:val="auto"/>
                <w:sz w:val="24"/>
                <w:szCs w:val="24"/>
                <w:u w:val="single" w:color="auto"/>
                <w:lang w:val="en-US" w:eastAsia="zh-CN"/>
              </w:rPr>
              <w:t>3</w:t>
            </w:r>
            <w:r>
              <w:rPr>
                <w:rFonts w:hint="default" w:ascii="Times New Roman" w:hAnsi="Times New Roman" w:cs="Times New Roman"/>
                <w:bCs/>
                <w:color w:val="auto"/>
                <w:sz w:val="24"/>
                <w:szCs w:val="24"/>
                <w:u w:val="single" w:color="auto"/>
              </w:rPr>
              <w:t>）烘干固化废气 </w:t>
            </w:r>
          </w:p>
          <w:p>
            <w:pPr>
              <w:pStyle w:val="172"/>
              <w:spacing w:line="360" w:lineRule="auto"/>
              <w:ind w:firstLine="480"/>
              <w:rPr>
                <w:color w:val="auto"/>
                <w:sz w:val="24"/>
                <w:szCs w:val="24"/>
                <w:u w:val="single" w:color="auto"/>
              </w:rPr>
            </w:pPr>
            <w:r>
              <w:rPr>
                <w:rFonts w:hint="default" w:ascii="Times New Roman" w:hAnsi="Times New Roman" w:cs="Times New Roman"/>
                <w:bCs/>
                <w:color w:val="auto"/>
                <w:sz w:val="24"/>
                <w:szCs w:val="24"/>
                <w:u w:val="single" w:color="auto"/>
              </w:rPr>
              <w:t>喷塑后的工件依次进入直线式烘道中烘干固化，烘道热风采用</w:t>
            </w:r>
            <w:r>
              <w:rPr>
                <w:rFonts w:hint="eastAsia" w:cs="Times New Roman"/>
                <w:bCs/>
                <w:color w:val="auto"/>
                <w:sz w:val="24"/>
                <w:szCs w:val="24"/>
                <w:u w:val="single" w:color="auto"/>
                <w:lang w:eastAsia="zh-CN"/>
              </w:rPr>
              <w:t>电加热，项目设有</w:t>
            </w:r>
            <w:r>
              <w:rPr>
                <w:rFonts w:hint="eastAsia" w:cs="Times New Roman"/>
                <w:bCs/>
                <w:color w:val="auto"/>
                <w:sz w:val="24"/>
                <w:szCs w:val="24"/>
                <w:u w:val="single" w:color="auto"/>
                <w:lang w:val="en-US" w:eastAsia="zh-CN"/>
              </w:rPr>
              <w:t>1条烘干固化生产线</w:t>
            </w:r>
            <w:r>
              <w:rPr>
                <w:rFonts w:hint="eastAsia" w:ascii="Times New Roman" w:hAnsi="Times New Roman" w:cs="Times New Roman"/>
                <w:bCs/>
                <w:color w:val="auto"/>
                <w:sz w:val="24"/>
                <w:szCs w:val="24"/>
                <w:u w:val="single" w:color="auto"/>
                <w:lang w:eastAsia="zh-CN"/>
              </w:rPr>
              <w:t>，本项目塑粉</w:t>
            </w:r>
            <w:r>
              <w:rPr>
                <w:rFonts w:hint="eastAsia" w:cs="Times New Roman"/>
                <w:bCs/>
                <w:color w:val="auto"/>
                <w:sz w:val="24"/>
                <w:szCs w:val="24"/>
                <w:u w:val="single" w:color="auto"/>
                <w:lang w:eastAsia="zh-CN"/>
              </w:rPr>
              <w:t>共</w:t>
            </w:r>
            <w:r>
              <w:rPr>
                <w:rFonts w:hint="eastAsia" w:ascii="Times New Roman" w:hAnsi="Times New Roman" w:cs="Times New Roman"/>
                <w:bCs/>
                <w:color w:val="auto"/>
                <w:sz w:val="24"/>
                <w:szCs w:val="24"/>
                <w:u w:val="single" w:color="auto"/>
                <w:lang w:eastAsia="zh-CN"/>
              </w:rPr>
              <w:t>使用量为</w:t>
            </w:r>
            <w:r>
              <w:rPr>
                <w:rFonts w:hint="eastAsia" w:cs="Times New Roman"/>
                <w:bCs/>
                <w:color w:val="auto"/>
                <w:sz w:val="24"/>
                <w:szCs w:val="24"/>
                <w:u w:val="single" w:color="auto"/>
                <w:lang w:val="en-US" w:eastAsia="zh-CN"/>
              </w:rPr>
              <w:t>5.0t/a</w:t>
            </w:r>
            <w:r>
              <w:rPr>
                <w:rFonts w:hint="default" w:ascii="Times New Roman" w:hAnsi="Times New Roman" w:cs="Times New Roman"/>
                <w:bCs/>
                <w:color w:val="auto"/>
                <w:sz w:val="24"/>
                <w:szCs w:val="24"/>
                <w:u w:val="single" w:color="auto"/>
              </w:rPr>
              <w:t>，</w:t>
            </w:r>
            <w:r>
              <w:rPr>
                <w:color w:val="auto"/>
                <w:sz w:val="24"/>
                <w:szCs w:val="24"/>
                <w:u w:val="single" w:color="auto"/>
              </w:rPr>
              <w:t>根据《湖南省制造业（工业涂装）VOCs排放量测算技术指南（试行）》（湖南省环境保护厅，2016.12）中方法1（物料衡算法）和参考表1进行测算，则本项目</w:t>
            </w:r>
            <w:r>
              <w:rPr>
                <w:rFonts w:hint="eastAsia"/>
                <w:color w:val="auto"/>
                <w:sz w:val="24"/>
                <w:szCs w:val="24"/>
                <w:u w:val="single" w:color="auto"/>
                <w:lang w:eastAsia="zh-CN"/>
              </w:rPr>
              <w:t>喷粉有机</w:t>
            </w:r>
            <w:r>
              <w:rPr>
                <w:color w:val="auto"/>
                <w:sz w:val="24"/>
                <w:szCs w:val="24"/>
                <w:u w:val="single" w:color="auto"/>
              </w:rPr>
              <w:t>废气总产生量见下表。</w:t>
            </w:r>
          </w:p>
          <w:p>
            <w:pPr>
              <w:pStyle w:val="186"/>
              <w:rPr>
                <w:rFonts w:hint="eastAsia"/>
                <w:color w:val="auto"/>
                <w:u w:val="single" w:color="auto"/>
              </w:rPr>
            </w:pPr>
          </w:p>
          <w:p>
            <w:pPr>
              <w:pStyle w:val="186"/>
              <w:rPr>
                <w:rFonts w:hint="eastAsia"/>
                <w:color w:val="auto"/>
                <w:u w:val="single" w:color="auto"/>
              </w:rPr>
            </w:pPr>
          </w:p>
          <w:p>
            <w:pPr>
              <w:pStyle w:val="186"/>
              <w:rPr>
                <w:rFonts w:hint="eastAsia"/>
                <w:color w:val="auto"/>
                <w:u w:val="single" w:color="auto"/>
              </w:rPr>
            </w:pPr>
            <w:r>
              <w:rPr>
                <w:rFonts w:hint="eastAsia"/>
                <w:color w:val="auto"/>
                <w:u w:val="single" w:color="auto"/>
              </w:rPr>
              <w:t>表5-</w:t>
            </w:r>
            <w:r>
              <w:rPr>
                <w:rFonts w:hint="eastAsia"/>
                <w:color w:val="auto"/>
                <w:u w:val="single" w:color="auto"/>
                <w:lang w:val="en-US" w:eastAsia="zh-CN"/>
              </w:rPr>
              <w:t>3</w:t>
            </w:r>
            <w:r>
              <w:rPr>
                <w:rFonts w:hint="eastAsia"/>
                <w:color w:val="auto"/>
                <w:u w:val="single" w:color="auto"/>
              </w:rPr>
              <w:t xml:space="preserve">  物料中 VOC</w:t>
            </w:r>
            <w:r>
              <w:rPr>
                <w:rFonts w:hint="eastAsia"/>
                <w:color w:val="auto"/>
                <w:u w:val="single" w:color="auto"/>
                <w:vertAlign w:val="subscript"/>
              </w:rPr>
              <w:t>S</w:t>
            </w:r>
            <w:r>
              <w:rPr>
                <w:rFonts w:hint="eastAsia"/>
                <w:color w:val="auto"/>
                <w:u w:val="single" w:color="auto"/>
              </w:rPr>
              <w:t xml:space="preserve"> 含量</w:t>
            </w:r>
          </w:p>
          <w:tbl>
            <w:tblPr>
              <w:tblStyle w:val="4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17"/>
              <w:gridCol w:w="4306"/>
              <w:gridCol w:w="26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84"/>
                    <w:spacing w:line="360" w:lineRule="auto"/>
                    <w:rPr>
                      <w:color w:val="auto"/>
                      <w:sz w:val="22"/>
                      <w:szCs w:val="22"/>
                      <w:u w:val="single" w:color="auto"/>
                    </w:rPr>
                  </w:pPr>
                  <w:r>
                    <w:rPr>
                      <w:color w:val="auto"/>
                      <w:sz w:val="22"/>
                      <w:szCs w:val="22"/>
                      <w:u w:val="single" w:color="auto"/>
                    </w:rPr>
                    <w:t>行业类别</w:t>
                  </w:r>
                </w:p>
              </w:tc>
              <w:tc>
                <w:tcPr>
                  <w:tcW w:w="2323" w:type="pct"/>
                  <w:noWrap w:val="0"/>
                  <w:vAlign w:val="center"/>
                </w:tcPr>
                <w:p>
                  <w:pPr>
                    <w:pStyle w:val="184"/>
                    <w:spacing w:line="360" w:lineRule="auto"/>
                    <w:rPr>
                      <w:color w:val="auto"/>
                      <w:sz w:val="22"/>
                      <w:szCs w:val="22"/>
                      <w:u w:val="single" w:color="auto"/>
                    </w:rPr>
                  </w:pPr>
                  <w:r>
                    <w:rPr>
                      <w:color w:val="auto"/>
                      <w:sz w:val="22"/>
                      <w:szCs w:val="22"/>
                      <w:u w:val="single" w:color="auto"/>
                    </w:rPr>
                    <w:t>物料</w:t>
                  </w:r>
                </w:p>
              </w:tc>
              <w:tc>
                <w:tcPr>
                  <w:tcW w:w="1426" w:type="pct"/>
                  <w:noWrap w:val="0"/>
                  <w:vAlign w:val="center"/>
                </w:tcPr>
                <w:p>
                  <w:pPr>
                    <w:pStyle w:val="184"/>
                    <w:spacing w:line="360" w:lineRule="auto"/>
                    <w:rPr>
                      <w:color w:val="auto"/>
                      <w:sz w:val="22"/>
                      <w:szCs w:val="22"/>
                      <w:u w:val="single" w:color="auto"/>
                    </w:rPr>
                  </w:pPr>
                  <w:r>
                    <w:rPr>
                      <w:color w:val="auto"/>
                      <w:sz w:val="22"/>
                      <w:szCs w:val="22"/>
                      <w:u w:val="single" w:color="auto"/>
                    </w:rPr>
                    <w:t>VOC</w:t>
                  </w:r>
                  <w:r>
                    <w:rPr>
                      <w:rFonts w:hint="eastAsia"/>
                      <w:color w:val="auto"/>
                      <w:sz w:val="22"/>
                      <w:szCs w:val="22"/>
                      <w:u w:val="single" w:color="auto"/>
                    </w:rPr>
                    <w:t>s</w:t>
                  </w:r>
                  <w:r>
                    <w:rPr>
                      <w:color w:val="auto"/>
                      <w:sz w:val="22"/>
                      <w:szCs w:val="22"/>
                      <w:u w:val="single" w:color="auto"/>
                    </w:rPr>
                    <w:t xml:space="preserve"> 质量含量（%）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0" w:type="pct"/>
                  <w:noWrap w:val="0"/>
                  <w:vAlign w:val="center"/>
                </w:tcPr>
                <w:p>
                  <w:pPr>
                    <w:pStyle w:val="184"/>
                    <w:spacing w:line="360" w:lineRule="auto"/>
                    <w:rPr>
                      <w:rFonts w:hint="eastAsia"/>
                      <w:color w:val="auto"/>
                      <w:sz w:val="22"/>
                      <w:szCs w:val="22"/>
                      <w:u w:val="single" w:color="auto"/>
                    </w:rPr>
                  </w:pPr>
                  <w:r>
                    <w:rPr>
                      <w:rFonts w:hint="eastAsia"/>
                      <w:color w:val="auto"/>
                      <w:sz w:val="22"/>
                      <w:szCs w:val="22"/>
                      <w:u w:val="single" w:color="auto"/>
                    </w:rPr>
                    <w:t>制造业通用系数</w:t>
                  </w:r>
                </w:p>
              </w:tc>
              <w:tc>
                <w:tcPr>
                  <w:tcW w:w="2323" w:type="pct"/>
                  <w:noWrap w:val="0"/>
                  <w:vAlign w:val="center"/>
                </w:tcPr>
                <w:p>
                  <w:pPr>
                    <w:pStyle w:val="184"/>
                    <w:spacing w:line="360" w:lineRule="auto"/>
                    <w:rPr>
                      <w:rFonts w:hint="eastAsia"/>
                      <w:color w:val="auto"/>
                      <w:sz w:val="22"/>
                      <w:szCs w:val="22"/>
                      <w:u w:val="single" w:color="auto"/>
                    </w:rPr>
                  </w:pPr>
                  <w:r>
                    <w:rPr>
                      <w:rFonts w:hint="eastAsia"/>
                      <w:color w:val="auto"/>
                      <w:sz w:val="22"/>
                      <w:szCs w:val="22"/>
                      <w:u w:val="single" w:color="auto"/>
                    </w:rPr>
                    <w:t>高固体粉末涂料</w:t>
                  </w:r>
                </w:p>
              </w:tc>
              <w:tc>
                <w:tcPr>
                  <w:tcW w:w="1426" w:type="pct"/>
                  <w:noWrap w:val="0"/>
                  <w:vAlign w:val="center"/>
                </w:tcPr>
                <w:p>
                  <w:pPr>
                    <w:pStyle w:val="184"/>
                    <w:spacing w:line="360" w:lineRule="auto"/>
                    <w:rPr>
                      <w:rFonts w:hint="eastAsia"/>
                      <w:color w:val="auto"/>
                      <w:sz w:val="22"/>
                      <w:szCs w:val="22"/>
                      <w:u w:val="single" w:color="auto"/>
                    </w:rPr>
                  </w:pPr>
                  <w:r>
                    <w:rPr>
                      <w:rFonts w:hint="eastAsia"/>
                      <w:color w:val="auto"/>
                      <w:sz w:val="22"/>
                      <w:szCs w:val="22"/>
                      <w:u w:val="single" w:color="auto"/>
                    </w:rPr>
                    <w:t>10</w:t>
                  </w:r>
                </w:p>
              </w:tc>
            </w:tr>
          </w:tbl>
          <w:p>
            <w:pPr>
              <w:pStyle w:val="172"/>
              <w:spacing w:line="240" w:lineRule="auto"/>
              <w:ind w:firstLine="0" w:firstLineChars="0"/>
              <w:rPr>
                <w:rFonts w:hint="eastAsia"/>
                <w:color w:val="auto"/>
                <w:sz w:val="21"/>
                <w:szCs w:val="21"/>
                <w:u w:val="single" w:color="auto"/>
              </w:rPr>
            </w:pPr>
            <w:r>
              <w:rPr>
                <w:color w:val="auto"/>
                <w:sz w:val="21"/>
                <w:szCs w:val="21"/>
                <w:u w:val="single" w:color="auto"/>
              </w:rPr>
              <w:t>注：源于《湖南省制造业（工业涂装）VOCs排放量测算技术指南（试行）》（湖南省环境保护厅，2016.12）中方法1表1。</w:t>
            </w:r>
          </w:p>
          <w:p>
            <w:pPr>
              <w:pStyle w:val="186"/>
              <w:rPr>
                <w:rFonts w:hint="eastAsia"/>
                <w:color w:val="auto"/>
                <w:u w:val="single" w:color="auto"/>
              </w:rPr>
            </w:pPr>
            <w:r>
              <w:rPr>
                <w:rFonts w:hint="eastAsia"/>
                <w:color w:val="auto"/>
                <w:u w:val="single" w:color="auto"/>
              </w:rPr>
              <w:t>表5-</w:t>
            </w:r>
            <w:r>
              <w:rPr>
                <w:rFonts w:hint="eastAsia"/>
                <w:color w:val="auto"/>
                <w:u w:val="single" w:color="auto"/>
                <w:lang w:val="en-US" w:eastAsia="zh-CN"/>
              </w:rPr>
              <w:t>4</w:t>
            </w:r>
            <w:r>
              <w:rPr>
                <w:rFonts w:hint="eastAsia"/>
                <w:color w:val="auto"/>
                <w:u w:val="single" w:color="auto"/>
              </w:rPr>
              <w:t xml:space="preserve"> 项目粉末废气污染物产生量一览表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1227"/>
              <w:gridCol w:w="1790"/>
              <w:gridCol w:w="2722"/>
              <w:gridCol w:w="26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noWrap w:val="0"/>
                  <w:vAlign w:val="center"/>
                </w:tcPr>
                <w:p>
                  <w:pPr>
                    <w:pStyle w:val="184"/>
                    <w:spacing w:line="360" w:lineRule="auto"/>
                    <w:rPr>
                      <w:color w:val="auto"/>
                      <w:sz w:val="22"/>
                      <w:szCs w:val="22"/>
                      <w:u w:val="single" w:color="auto"/>
                    </w:rPr>
                  </w:pPr>
                  <w:r>
                    <w:rPr>
                      <w:color w:val="auto"/>
                      <w:sz w:val="22"/>
                      <w:szCs w:val="22"/>
                      <w:u w:val="single" w:color="auto"/>
                    </w:rPr>
                    <w:t>序号</w:t>
                  </w:r>
                </w:p>
              </w:tc>
              <w:tc>
                <w:tcPr>
                  <w:tcW w:w="662" w:type="pct"/>
                  <w:noWrap w:val="0"/>
                  <w:vAlign w:val="center"/>
                </w:tcPr>
                <w:p>
                  <w:pPr>
                    <w:pStyle w:val="184"/>
                    <w:spacing w:line="360" w:lineRule="auto"/>
                    <w:rPr>
                      <w:color w:val="auto"/>
                      <w:sz w:val="22"/>
                      <w:szCs w:val="22"/>
                      <w:u w:val="single" w:color="auto"/>
                    </w:rPr>
                  </w:pPr>
                  <w:r>
                    <w:rPr>
                      <w:color w:val="auto"/>
                      <w:sz w:val="22"/>
                      <w:szCs w:val="22"/>
                      <w:u w:val="single" w:color="auto"/>
                    </w:rPr>
                    <w:t>污染物</w:t>
                  </w:r>
                </w:p>
              </w:tc>
              <w:tc>
                <w:tcPr>
                  <w:tcW w:w="966" w:type="pct"/>
                  <w:noWrap w:val="0"/>
                  <w:vAlign w:val="center"/>
                </w:tcPr>
                <w:p>
                  <w:pPr>
                    <w:pStyle w:val="184"/>
                    <w:spacing w:line="360" w:lineRule="auto"/>
                    <w:rPr>
                      <w:color w:val="auto"/>
                      <w:sz w:val="22"/>
                      <w:szCs w:val="22"/>
                      <w:u w:val="single" w:color="auto"/>
                    </w:rPr>
                  </w:pPr>
                  <w:r>
                    <w:rPr>
                      <w:color w:val="auto"/>
                      <w:sz w:val="22"/>
                      <w:szCs w:val="22"/>
                      <w:u w:val="single" w:color="auto"/>
                    </w:rPr>
                    <w:t>使用量（t/a）</w:t>
                  </w:r>
                </w:p>
              </w:tc>
              <w:tc>
                <w:tcPr>
                  <w:tcW w:w="1467" w:type="pct"/>
                  <w:noWrap w:val="0"/>
                  <w:vAlign w:val="center"/>
                </w:tcPr>
                <w:p>
                  <w:pPr>
                    <w:pStyle w:val="184"/>
                    <w:spacing w:line="360" w:lineRule="auto"/>
                    <w:rPr>
                      <w:color w:val="auto"/>
                      <w:sz w:val="22"/>
                      <w:szCs w:val="22"/>
                      <w:u w:val="single" w:color="auto"/>
                    </w:rPr>
                  </w:pPr>
                  <w:r>
                    <w:rPr>
                      <w:color w:val="auto"/>
                      <w:sz w:val="22"/>
                      <w:szCs w:val="22"/>
                      <w:u w:val="single" w:color="auto"/>
                    </w:rPr>
                    <w:t>VOCs 质量含量（%）</w:t>
                  </w:r>
                </w:p>
              </w:tc>
              <w:tc>
                <w:tcPr>
                  <w:tcW w:w="1445" w:type="pct"/>
                  <w:noWrap w:val="0"/>
                  <w:vAlign w:val="center"/>
                </w:tcPr>
                <w:p>
                  <w:pPr>
                    <w:pStyle w:val="184"/>
                    <w:spacing w:line="360" w:lineRule="auto"/>
                    <w:rPr>
                      <w:color w:val="auto"/>
                      <w:sz w:val="22"/>
                      <w:szCs w:val="22"/>
                      <w:u w:val="single" w:color="auto"/>
                    </w:rPr>
                  </w:pPr>
                  <w:r>
                    <w:rPr>
                      <w:color w:val="auto"/>
                      <w:sz w:val="22"/>
                      <w:szCs w:val="22"/>
                      <w:u w:val="single" w:color="auto"/>
                    </w:rPr>
                    <w:t>VOCs产生量（t/a）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57" w:type="pct"/>
                  <w:tcBorders>
                    <w:bottom w:val="single" w:color="000000" w:sz="12" w:space="0"/>
                  </w:tcBorders>
                  <w:noWrap w:val="0"/>
                  <w:vAlign w:val="center"/>
                </w:tcPr>
                <w:p>
                  <w:pPr>
                    <w:pStyle w:val="184"/>
                    <w:spacing w:line="360" w:lineRule="auto"/>
                    <w:rPr>
                      <w:rFonts w:hint="eastAsia" w:eastAsia="宋体"/>
                      <w:color w:val="auto"/>
                      <w:sz w:val="22"/>
                      <w:szCs w:val="22"/>
                      <w:u w:val="single" w:color="auto"/>
                      <w:lang w:eastAsia="zh-CN"/>
                    </w:rPr>
                  </w:pPr>
                  <w:r>
                    <w:rPr>
                      <w:color w:val="auto"/>
                      <w:sz w:val="22"/>
                      <w:szCs w:val="22"/>
                      <w:u w:val="single" w:color="auto"/>
                    </w:rPr>
                    <w:t>1</w:t>
                  </w:r>
                </w:p>
              </w:tc>
              <w:tc>
                <w:tcPr>
                  <w:tcW w:w="662" w:type="pct"/>
                  <w:tcBorders>
                    <w:bottom w:val="single" w:color="000000" w:sz="12" w:space="0"/>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lang w:eastAsia="zh-CN"/>
                    </w:rPr>
                    <w:t>有机废气</w:t>
                  </w:r>
                </w:p>
              </w:tc>
              <w:tc>
                <w:tcPr>
                  <w:tcW w:w="966" w:type="pct"/>
                  <w:tcBorders>
                    <w:bottom w:val="single" w:color="000000" w:sz="12" w:space="0"/>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5.0</w:t>
                  </w:r>
                </w:p>
              </w:tc>
              <w:tc>
                <w:tcPr>
                  <w:tcW w:w="1467" w:type="pct"/>
                  <w:tcBorders>
                    <w:bottom w:val="single" w:color="000000" w:sz="12" w:space="0"/>
                  </w:tcBorders>
                  <w:noWrap w:val="0"/>
                  <w:vAlign w:val="center"/>
                </w:tcPr>
                <w:p>
                  <w:pPr>
                    <w:pStyle w:val="184"/>
                    <w:spacing w:line="360" w:lineRule="auto"/>
                    <w:rPr>
                      <w:rFonts w:hint="eastAsia"/>
                      <w:color w:val="auto"/>
                      <w:sz w:val="22"/>
                      <w:szCs w:val="22"/>
                      <w:u w:val="single" w:color="auto"/>
                    </w:rPr>
                  </w:pPr>
                  <w:r>
                    <w:rPr>
                      <w:rFonts w:hint="eastAsia"/>
                      <w:color w:val="auto"/>
                      <w:sz w:val="22"/>
                      <w:szCs w:val="22"/>
                      <w:u w:val="single" w:color="auto"/>
                    </w:rPr>
                    <w:t>10</w:t>
                  </w:r>
                </w:p>
              </w:tc>
              <w:tc>
                <w:tcPr>
                  <w:tcW w:w="1445" w:type="pct"/>
                  <w:tcBorders>
                    <w:bottom w:val="single" w:color="000000" w:sz="12" w:space="0"/>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4" w:type="pct"/>
                  <w:gridSpan w:val="4"/>
                  <w:noWrap w:val="0"/>
                  <w:vAlign w:val="center"/>
                </w:tcPr>
                <w:p>
                  <w:pPr>
                    <w:pStyle w:val="184"/>
                    <w:spacing w:line="360" w:lineRule="auto"/>
                    <w:rPr>
                      <w:color w:val="auto"/>
                      <w:sz w:val="22"/>
                      <w:szCs w:val="22"/>
                      <w:u w:val="single" w:color="auto"/>
                    </w:rPr>
                  </w:pPr>
                  <w:r>
                    <w:rPr>
                      <w:color w:val="auto"/>
                      <w:sz w:val="22"/>
                      <w:szCs w:val="22"/>
                      <w:u w:val="single" w:color="auto"/>
                    </w:rPr>
                    <w:t>合计</w:t>
                  </w:r>
                </w:p>
              </w:tc>
              <w:tc>
                <w:tcPr>
                  <w:tcW w:w="1445" w:type="pct"/>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r>
          </w:tbl>
          <w:p>
            <w:pPr>
              <w:pStyle w:val="178"/>
              <w:spacing w:line="360" w:lineRule="auto"/>
              <w:ind w:firstLine="460"/>
              <w:rPr>
                <w:rFonts w:hint="eastAsia"/>
                <w:color w:val="auto"/>
                <w:sz w:val="24"/>
                <w:u w:val="single" w:color="auto"/>
                <w:lang w:eastAsia="zh-CN"/>
              </w:rPr>
            </w:pPr>
            <w:r>
              <w:rPr>
                <w:rFonts w:hint="default" w:ascii="Times New Roman" w:hAnsi="Times New Roman" w:cs="Times New Roman"/>
                <w:b/>
                <w:bCs w:val="0"/>
                <w:color w:val="auto"/>
                <w:sz w:val="24"/>
                <w:szCs w:val="24"/>
                <w:u w:val="single" w:color="auto"/>
              </w:rPr>
              <w:t>烘干固化废气</w:t>
            </w:r>
            <w:r>
              <w:rPr>
                <w:rFonts w:hint="eastAsia" w:ascii="Times New Roman" w:hAnsi="Times New Roman" w:cs="Times New Roman"/>
                <w:b/>
                <w:bCs w:val="0"/>
                <w:color w:val="auto"/>
                <w:sz w:val="24"/>
                <w:szCs w:val="24"/>
                <w:u w:val="single" w:color="auto"/>
                <w:lang w:eastAsia="zh-CN"/>
              </w:rPr>
              <w:t>：</w:t>
            </w:r>
            <w:r>
              <w:rPr>
                <w:rFonts w:hint="eastAsia" w:ascii="Times New Roman" w:hAnsi="Times New Roman" w:cs="Times New Roman"/>
                <w:color w:val="auto"/>
                <w:sz w:val="24"/>
                <w:szCs w:val="24"/>
                <w:u w:val="single" w:color="auto"/>
                <w:lang w:eastAsia="zh-CN"/>
              </w:rPr>
              <w:t>由上表可知</w:t>
            </w:r>
            <w:r>
              <w:rPr>
                <w:rFonts w:hint="default" w:ascii="Times New Roman" w:hAnsi="Times New Roman" w:cs="Times New Roman"/>
                <w:bCs/>
                <w:color w:val="auto"/>
                <w:sz w:val="24"/>
                <w:szCs w:val="24"/>
                <w:u w:val="single" w:color="auto"/>
              </w:rPr>
              <w:t>VOC</w:t>
            </w:r>
            <w:r>
              <w:rPr>
                <w:rFonts w:hint="default" w:ascii="Times New Roman" w:hAnsi="Times New Roman" w:cs="Times New Roman"/>
                <w:bCs/>
                <w:color w:val="auto"/>
                <w:sz w:val="24"/>
                <w:szCs w:val="24"/>
                <w:u w:val="single" w:color="auto"/>
                <w:vertAlign w:val="subscript"/>
              </w:rPr>
              <w:t>S</w:t>
            </w:r>
            <w:r>
              <w:rPr>
                <w:rFonts w:hint="default" w:ascii="Times New Roman" w:hAnsi="Times New Roman" w:cs="Times New Roman"/>
                <w:bCs/>
                <w:color w:val="auto"/>
                <w:sz w:val="24"/>
                <w:szCs w:val="24"/>
                <w:u w:val="single" w:color="auto"/>
              </w:rPr>
              <w:t>产生量约为0.</w:t>
            </w:r>
            <w:r>
              <w:rPr>
                <w:rFonts w:hint="eastAsia" w:ascii="Times New Roman" w:hAnsi="Times New Roman" w:cs="Times New Roman"/>
                <w:bCs/>
                <w:color w:val="auto"/>
                <w:sz w:val="24"/>
                <w:szCs w:val="24"/>
                <w:u w:val="single" w:color="auto"/>
                <w:lang w:val="en-US" w:eastAsia="zh-CN"/>
              </w:rPr>
              <w:t>5</w:t>
            </w:r>
            <w:r>
              <w:rPr>
                <w:rFonts w:hint="default" w:ascii="Times New Roman" w:hAnsi="Times New Roman" w:cs="Times New Roman"/>
                <w:bCs/>
                <w:color w:val="auto"/>
                <w:sz w:val="24"/>
                <w:szCs w:val="24"/>
                <w:u w:val="single" w:color="auto"/>
              </w:rPr>
              <w:t>t/a，每天持续烘干固化约</w:t>
            </w:r>
            <w:r>
              <w:rPr>
                <w:rFonts w:hint="eastAsia" w:ascii="Times New Roman" w:hAnsi="Times New Roman" w:cs="Times New Roman"/>
                <w:bCs/>
                <w:color w:val="auto"/>
                <w:sz w:val="24"/>
                <w:szCs w:val="24"/>
                <w:u w:val="single" w:color="auto"/>
                <w:lang w:val="en-US" w:eastAsia="zh-CN"/>
              </w:rPr>
              <w:t>4</w:t>
            </w:r>
            <w:r>
              <w:rPr>
                <w:rFonts w:hint="default" w:ascii="Times New Roman" w:hAnsi="Times New Roman" w:cs="Times New Roman"/>
                <w:bCs/>
                <w:color w:val="auto"/>
                <w:sz w:val="24"/>
                <w:szCs w:val="24"/>
                <w:u w:val="single" w:color="auto"/>
              </w:rPr>
              <w:t>小时，因此VOC</w:t>
            </w:r>
            <w:r>
              <w:rPr>
                <w:rFonts w:hint="default" w:ascii="Times New Roman" w:hAnsi="Times New Roman" w:cs="Times New Roman"/>
                <w:bCs/>
                <w:color w:val="auto"/>
                <w:sz w:val="24"/>
                <w:szCs w:val="24"/>
                <w:u w:val="single" w:color="auto"/>
                <w:vertAlign w:val="subscript"/>
              </w:rPr>
              <w:t>S</w:t>
            </w:r>
            <w:r>
              <w:rPr>
                <w:rFonts w:hint="default" w:ascii="Times New Roman" w:hAnsi="Times New Roman" w:cs="Times New Roman"/>
                <w:bCs/>
                <w:color w:val="auto"/>
                <w:sz w:val="24"/>
                <w:szCs w:val="24"/>
                <w:u w:val="single" w:color="auto"/>
              </w:rPr>
              <w:t>产生速率约为0.</w:t>
            </w:r>
            <w:r>
              <w:rPr>
                <w:rFonts w:hint="eastAsia" w:ascii="Times New Roman" w:hAnsi="Times New Roman" w:cs="Times New Roman"/>
                <w:bCs/>
                <w:color w:val="auto"/>
                <w:sz w:val="24"/>
                <w:szCs w:val="24"/>
                <w:u w:val="single" w:color="auto"/>
                <w:lang w:val="en-US" w:eastAsia="zh-CN"/>
              </w:rPr>
              <w:t>42</w:t>
            </w:r>
            <w:r>
              <w:rPr>
                <w:rFonts w:hint="default" w:ascii="Times New Roman" w:hAnsi="Times New Roman" w:cs="Times New Roman"/>
                <w:bCs/>
                <w:color w:val="auto"/>
                <w:sz w:val="24"/>
                <w:szCs w:val="24"/>
                <w:u w:val="single" w:color="auto"/>
              </w:rPr>
              <w:t>kg/h</w:t>
            </w:r>
            <w:r>
              <w:rPr>
                <w:rFonts w:hint="eastAsia" w:ascii="Times New Roman" w:hAnsi="Times New Roman" w:cs="Times New Roman"/>
                <w:bCs/>
                <w:color w:val="auto"/>
                <w:sz w:val="24"/>
                <w:szCs w:val="24"/>
                <w:u w:val="single" w:color="auto"/>
                <w:lang w:eastAsia="zh-CN"/>
              </w:rPr>
              <w:t>，</w:t>
            </w:r>
            <w:r>
              <w:rPr>
                <w:rFonts w:hint="default" w:ascii="Times New Roman" w:hAnsi="Times New Roman" w:cs="Times New Roman"/>
                <w:bCs/>
                <w:color w:val="auto"/>
                <w:sz w:val="24"/>
                <w:szCs w:val="24"/>
                <w:u w:val="single" w:color="auto"/>
              </w:rPr>
              <w:t>VOC</w:t>
            </w:r>
            <w:r>
              <w:rPr>
                <w:rFonts w:hint="default" w:ascii="Times New Roman" w:hAnsi="Times New Roman" w:cs="Times New Roman"/>
                <w:bCs/>
                <w:color w:val="auto"/>
                <w:sz w:val="24"/>
                <w:szCs w:val="24"/>
                <w:u w:val="single" w:color="auto"/>
                <w:vertAlign w:val="subscript"/>
              </w:rPr>
              <w:t>S</w:t>
            </w:r>
            <w:r>
              <w:rPr>
                <w:rFonts w:hint="default" w:ascii="Times New Roman" w:hAnsi="Times New Roman" w:cs="Times New Roman"/>
                <w:bCs/>
                <w:color w:val="auto"/>
                <w:sz w:val="24"/>
                <w:szCs w:val="24"/>
                <w:u w:val="single" w:color="auto"/>
              </w:rPr>
              <w:t>废气排放浓度约为</w:t>
            </w:r>
            <w:r>
              <w:rPr>
                <w:rFonts w:hint="eastAsia" w:ascii="Times New Roman" w:hAnsi="Times New Roman" w:cs="Times New Roman"/>
                <w:bCs/>
                <w:color w:val="auto"/>
                <w:sz w:val="24"/>
                <w:szCs w:val="24"/>
                <w:u w:val="single" w:color="auto"/>
                <w:lang w:val="en-US" w:eastAsia="zh-CN"/>
              </w:rPr>
              <w:t>105</w:t>
            </w:r>
            <w:r>
              <w:rPr>
                <w:rFonts w:hint="default" w:ascii="Times New Roman" w:hAnsi="Times New Roman" w:cs="Times New Roman"/>
                <w:bCs/>
                <w:color w:val="auto"/>
                <w:sz w:val="24"/>
                <w:szCs w:val="24"/>
                <w:u w:val="single" w:color="auto"/>
              </w:rPr>
              <w:t>mg/m</w:t>
            </w:r>
            <w:r>
              <w:rPr>
                <w:rFonts w:hint="default" w:ascii="Times New Roman" w:hAnsi="Times New Roman" w:cs="Times New Roman"/>
                <w:bCs/>
                <w:color w:val="auto"/>
                <w:sz w:val="24"/>
                <w:szCs w:val="24"/>
                <w:u w:val="single" w:color="auto"/>
                <w:vertAlign w:val="superscript"/>
              </w:rPr>
              <w:t>3</w:t>
            </w:r>
            <w:r>
              <w:rPr>
                <w:rFonts w:hint="default" w:ascii="Times New Roman" w:hAnsi="Times New Roman" w:cs="Times New Roman"/>
                <w:bCs/>
                <w:color w:val="auto"/>
                <w:sz w:val="24"/>
                <w:szCs w:val="24"/>
                <w:u w:val="single" w:color="auto"/>
              </w:rPr>
              <w:t>。烘干固化在密闭的直线式烘道内进行，VOC</w:t>
            </w:r>
            <w:r>
              <w:rPr>
                <w:rFonts w:hint="default" w:ascii="Times New Roman" w:hAnsi="Times New Roman" w:cs="Times New Roman"/>
                <w:bCs/>
                <w:color w:val="auto"/>
                <w:sz w:val="24"/>
                <w:szCs w:val="24"/>
                <w:u w:val="single" w:color="auto"/>
                <w:vertAlign w:val="subscript"/>
              </w:rPr>
              <w:t>S</w:t>
            </w:r>
            <w:r>
              <w:rPr>
                <w:rFonts w:hint="default" w:ascii="Times New Roman" w:hAnsi="Times New Roman" w:cs="Times New Roman"/>
                <w:bCs/>
                <w:color w:val="auto"/>
                <w:sz w:val="24"/>
                <w:szCs w:val="24"/>
                <w:u w:val="single" w:color="auto"/>
              </w:rPr>
              <w:t>废气通过</w:t>
            </w:r>
            <w:r>
              <w:rPr>
                <w:rFonts w:hint="eastAsia" w:ascii="Times New Roman" w:hAnsi="Times New Roman" w:cs="Times New Roman"/>
                <w:bCs/>
                <w:color w:val="auto"/>
                <w:sz w:val="24"/>
                <w:szCs w:val="24"/>
                <w:u w:val="single" w:color="auto"/>
                <w:lang w:val="en-US" w:eastAsia="zh-CN"/>
              </w:rPr>
              <w:t>活性炭吸附装置（现有喷漆废气处理设施）</w:t>
            </w:r>
            <w:r>
              <w:rPr>
                <w:rFonts w:hint="default" w:ascii="Times New Roman" w:hAnsi="Times New Roman" w:cs="Times New Roman"/>
                <w:bCs/>
                <w:color w:val="auto"/>
                <w:sz w:val="24"/>
                <w:szCs w:val="24"/>
                <w:u w:val="single" w:color="auto"/>
              </w:rPr>
              <w:t>处理后排放</w:t>
            </w:r>
            <w:r>
              <w:rPr>
                <w:rFonts w:hint="eastAsia"/>
                <w:color w:val="auto"/>
                <w:sz w:val="24"/>
                <w:u w:val="single" w:color="auto"/>
                <w:lang w:val="en-US" w:eastAsia="zh-CN"/>
              </w:rPr>
              <w:t>。</w:t>
            </w:r>
          </w:p>
          <w:p>
            <w:pPr>
              <w:snapToGrid w:val="0"/>
              <w:spacing w:line="360" w:lineRule="auto"/>
              <w:ind w:firstLine="462" w:firstLineChars="200"/>
              <w:rPr>
                <w:color w:val="auto"/>
                <w:sz w:val="24"/>
                <w:szCs w:val="24"/>
                <w:u w:val="single" w:color="auto"/>
              </w:rPr>
            </w:pPr>
            <w:r>
              <w:rPr>
                <w:rFonts w:hint="eastAsia"/>
                <w:color w:val="auto"/>
                <w:sz w:val="24"/>
                <w:u w:val="single" w:color="auto"/>
                <w:lang w:eastAsia="zh-CN"/>
              </w:rPr>
              <w:t>（</w:t>
            </w:r>
            <w:r>
              <w:rPr>
                <w:rFonts w:hint="eastAsia"/>
                <w:color w:val="auto"/>
                <w:sz w:val="24"/>
                <w:u w:val="single" w:color="auto"/>
                <w:lang w:val="en-US" w:eastAsia="zh-CN"/>
              </w:rPr>
              <w:t>5</w:t>
            </w:r>
            <w:r>
              <w:rPr>
                <w:rFonts w:hint="eastAsia"/>
                <w:color w:val="auto"/>
                <w:sz w:val="24"/>
                <w:u w:val="single" w:color="auto"/>
                <w:lang w:eastAsia="zh-CN"/>
              </w:rPr>
              <w:t>）</w:t>
            </w:r>
            <w:r>
              <w:rPr>
                <w:color w:val="auto"/>
                <w:sz w:val="24"/>
                <w:szCs w:val="24"/>
                <w:u w:val="single" w:color="auto"/>
              </w:rPr>
              <w:t>漆雾</w:t>
            </w:r>
            <w:r>
              <w:rPr>
                <w:rFonts w:hint="eastAsia"/>
                <w:color w:val="auto"/>
                <w:sz w:val="24"/>
                <w:szCs w:val="24"/>
                <w:u w:val="single" w:color="auto"/>
              </w:rPr>
              <w:t>、</w:t>
            </w:r>
            <w:r>
              <w:rPr>
                <w:color w:val="auto"/>
                <w:sz w:val="24"/>
                <w:szCs w:val="24"/>
                <w:u w:val="single" w:color="auto"/>
              </w:rPr>
              <w:t>有机废气</w:t>
            </w:r>
          </w:p>
          <w:p>
            <w:pPr>
              <w:spacing w:line="360" w:lineRule="auto"/>
              <w:ind w:firstLine="420"/>
              <w:rPr>
                <w:color w:val="auto"/>
                <w:sz w:val="24"/>
                <w:szCs w:val="24"/>
                <w:u w:val="single" w:color="auto"/>
              </w:rPr>
            </w:pPr>
            <w:r>
              <w:rPr>
                <w:rFonts w:hint="eastAsia"/>
                <w:color w:val="auto"/>
                <w:sz w:val="24"/>
                <w:szCs w:val="24"/>
                <w:u w:val="single" w:color="auto"/>
              </w:rPr>
              <w:t>漆料用量一览表</w:t>
            </w:r>
          </w:p>
          <w:p>
            <w:pPr>
              <w:pStyle w:val="34"/>
              <w:ind w:left="0" w:leftChars="0"/>
              <w:jc w:val="center"/>
              <w:rPr>
                <w:b/>
                <w:color w:val="auto"/>
                <w:sz w:val="24"/>
                <w:u w:val="single" w:color="auto"/>
              </w:rPr>
            </w:pPr>
            <w:r>
              <w:rPr>
                <w:b/>
                <w:color w:val="auto"/>
                <w:sz w:val="24"/>
                <w:u w:val="single" w:color="auto"/>
              </w:rPr>
              <w:t>表5-</w:t>
            </w:r>
            <w:r>
              <w:rPr>
                <w:rFonts w:hint="eastAsia"/>
                <w:b/>
                <w:color w:val="auto"/>
                <w:sz w:val="24"/>
                <w:u w:val="single" w:color="auto"/>
                <w:lang w:val="en-US" w:eastAsia="zh-CN"/>
              </w:rPr>
              <w:t>5</w:t>
            </w:r>
            <w:r>
              <w:rPr>
                <w:b/>
                <w:color w:val="auto"/>
                <w:sz w:val="24"/>
                <w:u w:val="single" w:color="auto"/>
              </w:rPr>
              <w:t xml:space="preserve">  漆料用量一览表</w:t>
            </w:r>
          </w:p>
          <w:tbl>
            <w:tblPr>
              <w:tblStyle w:val="41"/>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46"/>
              <w:gridCol w:w="43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669" w:type="pct"/>
                  <w:tcBorders>
                    <w:tl2br w:val="nil"/>
                    <w:tr2bl w:val="nil"/>
                  </w:tcBorders>
                  <w:vAlign w:val="center"/>
                </w:tcPr>
                <w:p>
                  <w:pPr>
                    <w:spacing w:line="360" w:lineRule="auto"/>
                    <w:jc w:val="center"/>
                    <w:rPr>
                      <w:b/>
                      <w:color w:val="auto"/>
                      <w:u w:val="single" w:color="auto"/>
                    </w:rPr>
                  </w:pPr>
                  <w:r>
                    <w:rPr>
                      <w:b/>
                      <w:color w:val="auto"/>
                      <w:u w:val="single" w:color="auto"/>
                    </w:rPr>
                    <w:t>类别</w:t>
                  </w:r>
                </w:p>
              </w:tc>
              <w:tc>
                <w:tcPr>
                  <w:tcW w:w="2330" w:type="pct"/>
                  <w:tcBorders>
                    <w:tl2br w:val="nil"/>
                    <w:tr2bl w:val="nil"/>
                  </w:tcBorders>
                  <w:vAlign w:val="center"/>
                </w:tcPr>
                <w:p>
                  <w:pPr>
                    <w:spacing w:line="360" w:lineRule="auto"/>
                    <w:jc w:val="center"/>
                    <w:rPr>
                      <w:b/>
                      <w:color w:val="auto"/>
                      <w:u w:val="single" w:color="auto"/>
                    </w:rPr>
                  </w:pPr>
                  <w:r>
                    <w:rPr>
                      <w:b/>
                      <w:color w:val="auto"/>
                      <w:u w:val="single" w:color="auto"/>
                    </w:rPr>
                    <w:t>本项目用量t/a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06" w:hRule="atLeast"/>
              </w:trPr>
              <w:tc>
                <w:tcPr>
                  <w:tcW w:w="2669" w:type="pct"/>
                  <w:tcBorders>
                    <w:tl2br w:val="nil"/>
                    <w:tr2bl w:val="nil"/>
                  </w:tcBorders>
                  <w:vAlign w:val="center"/>
                </w:tcPr>
                <w:p>
                  <w:pPr>
                    <w:spacing w:line="360" w:lineRule="auto"/>
                    <w:jc w:val="center"/>
                    <w:rPr>
                      <w:color w:val="auto"/>
                      <w:u w:val="single" w:color="auto"/>
                    </w:rPr>
                  </w:pPr>
                  <w:r>
                    <w:rPr>
                      <w:rFonts w:hint="eastAsia"/>
                      <w:color w:val="auto"/>
                      <w:u w:val="single" w:color="auto"/>
                    </w:rPr>
                    <w:t>水性漆</w:t>
                  </w:r>
                </w:p>
              </w:tc>
              <w:tc>
                <w:tcPr>
                  <w:tcW w:w="2330" w:type="pct"/>
                  <w:tcBorders>
                    <w:tl2br w:val="nil"/>
                    <w:tr2bl w:val="nil"/>
                  </w:tcBorders>
                  <w:vAlign w:val="center"/>
                </w:tcPr>
                <w:p>
                  <w:pPr>
                    <w:spacing w:line="360" w:lineRule="auto"/>
                    <w:jc w:val="center"/>
                    <w:rPr>
                      <w:rFonts w:hint="default" w:eastAsia="宋体"/>
                      <w:color w:val="auto"/>
                      <w:u w:val="single" w:color="auto"/>
                      <w:lang w:val="en-US" w:eastAsia="zh-CN"/>
                    </w:rPr>
                  </w:pPr>
                  <w:r>
                    <w:rPr>
                      <w:rFonts w:hint="eastAsia"/>
                      <w:color w:val="auto"/>
                      <w:u w:val="single" w:color="auto"/>
                      <w:lang w:val="en-US" w:eastAsia="zh-CN"/>
                    </w:rPr>
                    <w:t>0.5</w:t>
                  </w:r>
                </w:p>
              </w:tc>
            </w:tr>
          </w:tbl>
          <w:p>
            <w:pPr>
              <w:pStyle w:val="172"/>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项目水性</w:t>
            </w:r>
            <w:r>
              <w:rPr>
                <w:rFonts w:hint="eastAsia" w:ascii="Times New Roman" w:hAnsi="Times New Roman" w:eastAsia="宋体" w:cs="Times New Roman"/>
                <w:color w:val="auto"/>
                <w:sz w:val="24"/>
                <w:szCs w:val="24"/>
                <w:u w:val="single" w:color="auto"/>
                <w:lang w:eastAsia="zh-CN"/>
              </w:rPr>
              <w:t>油</w:t>
            </w:r>
            <w:r>
              <w:rPr>
                <w:rFonts w:hint="default" w:ascii="Times New Roman" w:hAnsi="Times New Roman" w:eastAsia="宋体" w:cs="Times New Roman"/>
                <w:color w:val="auto"/>
                <w:sz w:val="24"/>
                <w:szCs w:val="24"/>
                <w:u w:val="single" w:color="auto"/>
              </w:rPr>
              <w:t>漆使用量为</w:t>
            </w:r>
            <w:r>
              <w:rPr>
                <w:rFonts w:hint="eastAsia" w:cs="Times New Roman"/>
                <w:color w:val="auto"/>
                <w:sz w:val="24"/>
                <w:szCs w:val="24"/>
                <w:u w:val="single" w:color="auto"/>
                <w:lang w:val="en-US" w:eastAsia="zh-CN"/>
              </w:rPr>
              <w:t>0.5</w:t>
            </w:r>
            <w:r>
              <w:rPr>
                <w:rFonts w:hint="default" w:ascii="Times New Roman" w:hAnsi="Times New Roman" w:eastAsia="宋体" w:cs="Times New Roman"/>
                <w:color w:val="auto"/>
                <w:sz w:val="24"/>
                <w:szCs w:val="24"/>
                <w:u w:val="single" w:color="auto"/>
              </w:rPr>
              <w:t>t/a，本项目水性漆可用水作为稀释剂</w:t>
            </w:r>
            <w:r>
              <w:rPr>
                <w:rFonts w:hint="eastAsia" w:cs="Times New Roman"/>
                <w:color w:val="auto"/>
                <w:sz w:val="24"/>
                <w:szCs w:val="24"/>
                <w:u w:val="single" w:color="auto"/>
                <w:lang w:eastAsia="zh-CN"/>
              </w:rPr>
              <w:t>，每天工作</w:t>
            </w:r>
            <w:r>
              <w:rPr>
                <w:rFonts w:hint="eastAsia" w:cs="Times New Roman"/>
                <w:color w:val="auto"/>
                <w:sz w:val="24"/>
                <w:szCs w:val="24"/>
                <w:u w:val="single" w:color="auto"/>
                <w:lang w:val="en-US" w:eastAsia="zh-CN"/>
              </w:rPr>
              <w:t>2小时，年工作时间为600小时</w:t>
            </w:r>
            <w:r>
              <w:rPr>
                <w:rFonts w:hint="default" w:ascii="Times New Roman" w:hAnsi="Times New Roman" w:eastAsia="宋体" w:cs="Times New Roman"/>
                <w:color w:val="auto"/>
                <w:sz w:val="24"/>
                <w:szCs w:val="24"/>
                <w:u w:val="single" w:color="auto"/>
              </w:rPr>
              <w:t>。</w:t>
            </w:r>
          </w:p>
          <w:p>
            <w:pPr>
              <w:pStyle w:val="172"/>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喷漆车间在喷漆过程中产生的废气包含的主要污染因子为VOCs和颗粒物，其中颗粒物主要为漆雾。本项目废气处理设施处理范围包含整个喷漆车间。项目喷漆车间为密闭系统，最大漏风系数为</w:t>
            </w:r>
            <w:r>
              <w:rPr>
                <w:rFonts w:hint="eastAsia" w:ascii="Times New Roman" w:hAnsi="Times New Roman" w:eastAsia="宋体" w:cs="Times New Roman"/>
                <w:color w:val="auto"/>
                <w:sz w:val="24"/>
                <w:szCs w:val="24"/>
                <w:u w:val="single" w:color="auto"/>
                <w:lang w:val="en-US" w:eastAsia="zh-CN"/>
              </w:rPr>
              <w:t>5</w:t>
            </w:r>
            <w:r>
              <w:rPr>
                <w:rFonts w:hint="default" w:ascii="Times New Roman" w:hAnsi="Times New Roman" w:eastAsia="宋体" w:cs="Times New Roman"/>
                <w:color w:val="auto"/>
                <w:sz w:val="24"/>
                <w:szCs w:val="24"/>
                <w:u w:val="single" w:color="auto"/>
              </w:rPr>
              <w:t>%，废气收集效率约为9</w:t>
            </w:r>
            <w:r>
              <w:rPr>
                <w:rFonts w:hint="eastAsia" w:ascii="Times New Roman" w:hAnsi="Times New Roman" w:eastAsia="宋体" w:cs="Times New Roman"/>
                <w:color w:val="auto"/>
                <w:sz w:val="24"/>
                <w:szCs w:val="24"/>
                <w:u w:val="single" w:color="auto"/>
                <w:lang w:val="en-US" w:eastAsia="zh-CN"/>
              </w:rPr>
              <w:t>5</w:t>
            </w:r>
            <w:r>
              <w:rPr>
                <w:rFonts w:hint="default" w:ascii="Times New Roman" w:hAnsi="Times New Roman" w:eastAsia="宋体" w:cs="Times New Roman"/>
                <w:color w:val="auto"/>
                <w:sz w:val="24"/>
                <w:szCs w:val="24"/>
                <w:u w:val="single" w:color="auto"/>
              </w:rPr>
              <w:t>%</w:t>
            </w:r>
            <w:r>
              <w:rPr>
                <w:rFonts w:hint="eastAsia" w:cs="Times New Roman"/>
                <w:color w:val="auto"/>
                <w:sz w:val="24"/>
                <w:szCs w:val="24"/>
                <w:u w:val="single" w:color="auto"/>
                <w:lang w:eastAsia="zh-CN"/>
              </w:rPr>
              <w:t>，本项目依托原项目建设的喷漆房进行喷漆，原项目喷漆房废气经水帘净化处理后</w:t>
            </w:r>
            <w:r>
              <w:rPr>
                <w:rFonts w:hint="eastAsia" w:cs="Times New Roman"/>
                <w:color w:val="auto"/>
                <w:sz w:val="24"/>
                <w:szCs w:val="24"/>
                <w:u w:val="single" w:color="auto"/>
                <w:lang w:val="en-US" w:eastAsia="zh-CN"/>
              </w:rPr>
              <w:t>+活性炭由15m高排气筒高空排放</w:t>
            </w:r>
            <w:r>
              <w:rPr>
                <w:rFonts w:hint="default" w:ascii="Times New Roman" w:hAnsi="Times New Roman" w:eastAsia="宋体" w:cs="Times New Roman"/>
                <w:color w:val="auto"/>
                <w:sz w:val="24"/>
                <w:szCs w:val="24"/>
                <w:u w:val="single" w:color="auto"/>
              </w:rPr>
              <w:t>。</w:t>
            </w:r>
          </w:p>
          <w:p>
            <w:pPr>
              <w:pStyle w:val="172"/>
              <w:spacing w:line="360" w:lineRule="auto"/>
              <w:ind w:firstLine="480"/>
              <w:rPr>
                <w:rFonts w:hint="eastAsia" w:cs="Times New Roman"/>
                <w:color w:val="auto"/>
                <w:sz w:val="24"/>
                <w:szCs w:val="24"/>
                <w:u w:val="single" w:color="auto"/>
                <w:lang w:eastAsia="zh-CN"/>
              </w:rPr>
            </w:pPr>
            <w:r>
              <w:rPr>
                <w:rFonts w:hint="default" w:ascii="Times New Roman" w:hAnsi="Times New Roman" w:eastAsia="宋体" w:cs="Times New Roman"/>
                <w:color w:val="auto"/>
                <w:sz w:val="24"/>
                <w:szCs w:val="24"/>
                <w:u w:val="single" w:color="auto"/>
              </w:rPr>
              <w:t>工件的上漆率约为90%；10%的油漆在喷漆房内因喷漆形成的颗粒物（主要为未被上漆的漆雾）。因此，本项目喷漆废气中漆雾产生量为</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05</w:t>
            </w:r>
            <w:r>
              <w:rPr>
                <w:rFonts w:hint="default" w:ascii="Times New Roman" w:hAnsi="Times New Roman" w:eastAsia="宋体" w:cs="Times New Roman"/>
                <w:color w:val="auto"/>
                <w:sz w:val="24"/>
                <w:szCs w:val="24"/>
                <w:u w:val="single" w:color="auto"/>
              </w:rPr>
              <w:t>t/a（</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083</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eastAsia="zh-CN"/>
              </w:rPr>
              <w:t>。</w:t>
            </w:r>
          </w:p>
          <w:p>
            <w:pPr>
              <w:pStyle w:val="172"/>
              <w:spacing w:line="360" w:lineRule="auto"/>
              <w:ind w:firstLine="480"/>
              <w:rPr>
                <w:rFonts w:hint="default" w:ascii="Times New Roman" w:hAnsi="Times New Roman" w:eastAsia="宋体" w:cs="Times New Roman"/>
                <w:color w:val="auto"/>
                <w:sz w:val="24"/>
                <w:szCs w:val="24"/>
                <w:u w:val="single" w:color="auto"/>
              </w:rPr>
            </w:pPr>
            <w:r>
              <w:rPr>
                <w:rFonts w:hint="default" w:ascii="Times New Roman" w:hAnsi="Times New Roman" w:eastAsia="宋体" w:cs="Times New Roman"/>
                <w:color w:val="auto"/>
                <w:sz w:val="24"/>
                <w:szCs w:val="24"/>
                <w:u w:val="single" w:color="auto"/>
              </w:rPr>
              <w:t>根据《湖南省制造业（工业涂装）VOCs排放量测算技术指南（试行）》（湖南省环境保护厅，2016.12）中方法1（物料衡算法）和参考表1进行测算，则本项目油漆涂装废气总产生量见下表。</w:t>
            </w:r>
          </w:p>
          <w:p>
            <w:pPr>
              <w:pStyle w:val="186"/>
              <w:rPr>
                <w:rFonts w:hint="eastAsia"/>
                <w:color w:val="auto"/>
                <w:u w:val="single" w:color="auto"/>
              </w:rPr>
            </w:pPr>
          </w:p>
          <w:p>
            <w:pPr>
              <w:pStyle w:val="186"/>
              <w:rPr>
                <w:rFonts w:hint="eastAsia"/>
                <w:color w:val="auto"/>
                <w:u w:val="single" w:color="auto"/>
              </w:rPr>
            </w:pPr>
          </w:p>
          <w:p>
            <w:pPr>
              <w:pStyle w:val="186"/>
              <w:rPr>
                <w:rFonts w:hint="eastAsia"/>
                <w:color w:val="auto"/>
                <w:u w:val="single" w:color="auto"/>
              </w:rPr>
            </w:pPr>
            <w:r>
              <w:rPr>
                <w:rFonts w:hint="eastAsia"/>
                <w:color w:val="auto"/>
                <w:u w:val="single" w:color="auto"/>
              </w:rPr>
              <w:t>表5-</w:t>
            </w:r>
            <w:r>
              <w:rPr>
                <w:rFonts w:hint="eastAsia"/>
                <w:color w:val="auto"/>
                <w:u w:val="single" w:color="auto"/>
                <w:lang w:val="en-US" w:eastAsia="zh-CN"/>
              </w:rPr>
              <w:t>6</w:t>
            </w:r>
            <w:r>
              <w:rPr>
                <w:rFonts w:hint="eastAsia"/>
                <w:color w:val="auto"/>
                <w:u w:val="single" w:color="auto"/>
              </w:rPr>
              <w:t xml:space="preserve">  物料中 VOC</w:t>
            </w:r>
            <w:r>
              <w:rPr>
                <w:rFonts w:hint="eastAsia"/>
                <w:color w:val="auto"/>
                <w:u w:val="single" w:color="auto"/>
                <w:vertAlign w:val="subscript"/>
              </w:rPr>
              <w:t>S</w:t>
            </w:r>
            <w:r>
              <w:rPr>
                <w:rFonts w:hint="eastAsia"/>
                <w:color w:val="auto"/>
                <w:u w:val="single" w:color="auto"/>
              </w:rPr>
              <w:t xml:space="preserve"> 含量</w:t>
            </w:r>
          </w:p>
          <w:tbl>
            <w:tblPr>
              <w:tblStyle w:val="40"/>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17"/>
              <w:gridCol w:w="4306"/>
              <w:gridCol w:w="26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行业类别</w:t>
                  </w:r>
                </w:p>
              </w:tc>
              <w:tc>
                <w:tcPr>
                  <w:tcW w:w="2323"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物料</w:t>
                  </w:r>
                </w:p>
              </w:tc>
              <w:tc>
                <w:tcPr>
                  <w:tcW w:w="1426"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VOCs 质量含量（%）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50"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制造业通用系数</w:t>
                  </w:r>
                </w:p>
              </w:tc>
              <w:tc>
                <w:tcPr>
                  <w:tcW w:w="2323"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水性涂料</w:t>
                  </w:r>
                </w:p>
              </w:tc>
              <w:tc>
                <w:tcPr>
                  <w:tcW w:w="1426" w:type="pct"/>
                  <w:noWrap w:val="0"/>
                  <w:vAlign w:val="center"/>
                </w:tcPr>
                <w:p>
                  <w:pPr>
                    <w:pStyle w:val="184"/>
                    <w:spacing w:line="360" w:lineRule="auto"/>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15</w:t>
                  </w:r>
                </w:p>
              </w:tc>
            </w:tr>
          </w:tbl>
          <w:p>
            <w:pPr>
              <w:pStyle w:val="172"/>
              <w:spacing w:line="240" w:lineRule="auto"/>
              <w:ind w:firstLine="0" w:firstLineChars="0"/>
              <w:rPr>
                <w:rFonts w:hint="eastAsia"/>
                <w:color w:val="auto"/>
                <w:sz w:val="21"/>
                <w:szCs w:val="21"/>
                <w:u w:val="single" w:color="auto"/>
              </w:rPr>
            </w:pPr>
            <w:r>
              <w:rPr>
                <w:color w:val="auto"/>
                <w:sz w:val="21"/>
                <w:szCs w:val="21"/>
                <w:u w:val="single" w:color="auto"/>
              </w:rPr>
              <w:t>注：源于《湖南省制造业（工业涂装）VOCs排放量测算技术指南（试行）》（湖南省环境保护厅，2016.12）中方法1表1。</w:t>
            </w:r>
          </w:p>
          <w:p>
            <w:pPr>
              <w:pStyle w:val="186"/>
              <w:rPr>
                <w:rFonts w:hint="eastAsia"/>
                <w:color w:val="auto"/>
                <w:u w:val="single" w:color="auto"/>
              </w:rPr>
            </w:pPr>
            <w:r>
              <w:rPr>
                <w:rFonts w:hint="eastAsia"/>
                <w:color w:val="auto"/>
                <w:u w:val="single" w:color="auto"/>
              </w:rPr>
              <w:t>表5-</w:t>
            </w:r>
            <w:r>
              <w:rPr>
                <w:rFonts w:hint="eastAsia"/>
                <w:color w:val="auto"/>
                <w:u w:val="single" w:color="auto"/>
                <w:lang w:val="en-US" w:eastAsia="zh-CN"/>
              </w:rPr>
              <w:t>7</w:t>
            </w:r>
            <w:r>
              <w:rPr>
                <w:rFonts w:hint="eastAsia"/>
                <w:color w:val="auto"/>
                <w:u w:val="single" w:color="auto"/>
              </w:rPr>
              <w:t xml:space="preserve">  项目油漆废气污染物产生量一览表</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1748"/>
              <w:gridCol w:w="1914"/>
              <w:gridCol w:w="2563"/>
              <w:gridCol w:w="21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7" w:type="pct"/>
                  <w:noWrap w:val="0"/>
                  <w:vAlign w:val="center"/>
                </w:tcPr>
                <w:p>
                  <w:pPr>
                    <w:pStyle w:val="184"/>
                    <w:spacing w:line="360" w:lineRule="auto"/>
                    <w:rPr>
                      <w:color w:val="auto"/>
                      <w:sz w:val="22"/>
                      <w:szCs w:val="22"/>
                      <w:u w:val="single" w:color="auto"/>
                    </w:rPr>
                  </w:pPr>
                  <w:r>
                    <w:rPr>
                      <w:color w:val="auto"/>
                      <w:sz w:val="22"/>
                      <w:szCs w:val="22"/>
                      <w:u w:val="single" w:color="auto"/>
                    </w:rPr>
                    <w:t>序号</w:t>
                  </w:r>
                </w:p>
              </w:tc>
              <w:tc>
                <w:tcPr>
                  <w:tcW w:w="943" w:type="pct"/>
                  <w:noWrap w:val="0"/>
                  <w:vAlign w:val="center"/>
                </w:tcPr>
                <w:p>
                  <w:pPr>
                    <w:pStyle w:val="184"/>
                    <w:spacing w:line="360" w:lineRule="auto"/>
                    <w:rPr>
                      <w:color w:val="auto"/>
                      <w:sz w:val="22"/>
                      <w:szCs w:val="22"/>
                      <w:u w:val="single" w:color="auto"/>
                    </w:rPr>
                  </w:pPr>
                  <w:r>
                    <w:rPr>
                      <w:color w:val="auto"/>
                      <w:sz w:val="22"/>
                      <w:szCs w:val="22"/>
                      <w:u w:val="single" w:color="auto"/>
                    </w:rPr>
                    <w:t>污染物</w:t>
                  </w:r>
                </w:p>
              </w:tc>
              <w:tc>
                <w:tcPr>
                  <w:tcW w:w="1033" w:type="pct"/>
                  <w:noWrap w:val="0"/>
                  <w:vAlign w:val="center"/>
                </w:tcPr>
                <w:p>
                  <w:pPr>
                    <w:pStyle w:val="184"/>
                    <w:spacing w:line="360" w:lineRule="auto"/>
                    <w:rPr>
                      <w:color w:val="auto"/>
                      <w:sz w:val="22"/>
                      <w:szCs w:val="22"/>
                      <w:u w:val="single" w:color="auto"/>
                    </w:rPr>
                  </w:pPr>
                  <w:r>
                    <w:rPr>
                      <w:color w:val="auto"/>
                      <w:sz w:val="22"/>
                      <w:szCs w:val="22"/>
                      <w:u w:val="single" w:color="auto"/>
                    </w:rPr>
                    <w:t>使用量（t/a）</w:t>
                  </w:r>
                </w:p>
              </w:tc>
              <w:tc>
                <w:tcPr>
                  <w:tcW w:w="1381" w:type="pct"/>
                  <w:noWrap w:val="0"/>
                  <w:vAlign w:val="center"/>
                </w:tcPr>
                <w:p>
                  <w:pPr>
                    <w:pStyle w:val="184"/>
                    <w:spacing w:line="360" w:lineRule="auto"/>
                    <w:rPr>
                      <w:color w:val="auto"/>
                      <w:sz w:val="22"/>
                      <w:szCs w:val="22"/>
                      <w:u w:val="single" w:color="auto"/>
                    </w:rPr>
                  </w:pPr>
                  <w:r>
                    <w:rPr>
                      <w:color w:val="auto"/>
                      <w:sz w:val="22"/>
                      <w:szCs w:val="22"/>
                      <w:u w:val="single" w:color="auto"/>
                    </w:rPr>
                    <w:t>VOCs 质量含量（%）</w:t>
                  </w:r>
                </w:p>
              </w:tc>
              <w:tc>
                <w:tcPr>
                  <w:tcW w:w="1183" w:type="pct"/>
                  <w:noWrap w:val="0"/>
                  <w:vAlign w:val="center"/>
                </w:tcPr>
                <w:p>
                  <w:pPr>
                    <w:pStyle w:val="184"/>
                    <w:spacing w:line="360" w:lineRule="auto"/>
                    <w:rPr>
                      <w:color w:val="auto"/>
                      <w:sz w:val="22"/>
                      <w:szCs w:val="22"/>
                      <w:u w:val="single" w:color="auto"/>
                    </w:rPr>
                  </w:pPr>
                  <w:r>
                    <w:rPr>
                      <w:color w:val="auto"/>
                      <w:sz w:val="22"/>
                      <w:szCs w:val="22"/>
                      <w:u w:val="single" w:color="auto"/>
                    </w:rPr>
                    <w:t>VOCs产生量（t/a）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457" w:type="pct"/>
                  <w:tcBorders>
                    <w:bottom w:val="single" w:color="000000" w:sz="12" w:space="0"/>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lang w:val="en-US" w:eastAsia="zh-CN"/>
                    </w:rPr>
                    <w:t>1</w:t>
                  </w:r>
                </w:p>
              </w:tc>
              <w:tc>
                <w:tcPr>
                  <w:tcW w:w="943" w:type="pct"/>
                  <w:tcBorders>
                    <w:bottom w:val="single" w:color="000000" w:sz="12" w:space="0"/>
                  </w:tcBorders>
                  <w:noWrap w:val="0"/>
                  <w:vAlign w:val="center"/>
                </w:tcPr>
                <w:p>
                  <w:pPr>
                    <w:pStyle w:val="184"/>
                    <w:spacing w:line="360" w:lineRule="auto"/>
                    <w:rPr>
                      <w:rFonts w:hint="eastAsia" w:eastAsia="宋体"/>
                      <w:color w:val="auto"/>
                      <w:sz w:val="22"/>
                      <w:szCs w:val="22"/>
                      <w:u w:val="single" w:color="auto"/>
                      <w:lang w:eastAsia="zh-CN"/>
                    </w:rPr>
                  </w:pPr>
                  <w:r>
                    <w:rPr>
                      <w:rFonts w:hint="eastAsia"/>
                      <w:color w:val="auto"/>
                      <w:sz w:val="22"/>
                      <w:szCs w:val="22"/>
                      <w:u w:val="single" w:color="auto"/>
                    </w:rPr>
                    <w:t>水性油漆</w:t>
                  </w:r>
                </w:p>
              </w:tc>
              <w:tc>
                <w:tcPr>
                  <w:tcW w:w="1033" w:type="pct"/>
                  <w:tcBorders>
                    <w:bottom w:val="single" w:color="000000" w:sz="12" w:space="0"/>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0.5</w:t>
                  </w:r>
                </w:p>
              </w:tc>
              <w:tc>
                <w:tcPr>
                  <w:tcW w:w="1381" w:type="pct"/>
                  <w:tcBorders>
                    <w:bottom w:val="single" w:color="000000" w:sz="12" w:space="0"/>
                  </w:tcBorders>
                  <w:noWrap w:val="0"/>
                  <w:vAlign w:val="center"/>
                </w:tcPr>
                <w:p>
                  <w:pPr>
                    <w:pStyle w:val="184"/>
                    <w:spacing w:line="360" w:lineRule="auto"/>
                    <w:rPr>
                      <w:rFonts w:hint="eastAsia"/>
                      <w:color w:val="auto"/>
                      <w:sz w:val="22"/>
                      <w:szCs w:val="22"/>
                      <w:u w:val="single" w:color="auto"/>
                    </w:rPr>
                  </w:pPr>
                  <w:r>
                    <w:rPr>
                      <w:rFonts w:hint="eastAsia"/>
                      <w:color w:val="auto"/>
                      <w:sz w:val="22"/>
                      <w:szCs w:val="22"/>
                      <w:u w:val="single" w:color="auto"/>
                    </w:rPr>
                    <w:t>15</w:t>
                  </w:r>
                </w:p>
              </w:tc>
              <w:tc>
                <w:tcPr>
                  <w:tcW w:w="1183" w:type="pct"/>
                  <w:tcBorders>
                    <w:bottom w:val="single" w:color="000000" w:sz="12" w:space="0"/>
                  </w:tcBorders>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16" w:type="pct"/>
                  <w:gridSpan w:val="4"/>
                  <w:noWrap w:val="0"/>
                  <w:vAlign w:val="center"/>
                </w:tcPr>
                <w:p>
                  <w:pPr>
                    <w:pStyle w:val="184"/>
                    <w:spacing w:line="360" w:lineRule="auto"/>
                    <w:rPr>
                      <w:color w:val="auto"/>
                      <w:sz w:val="22"/>
                      <w:szCs w:val="22"/>
                      <w:u w:val="single" w:color="auto"/>
                    </w:rPr>
                  </w:pPr>
                  <w:r>
                    <w:rPr>
                      <w:color w:val="auto"/>
                      <w:sz w:val="22"/>
                      <w:szCs w:val="22"/>
                      <w:u w:val="single" w:color="auto"/>
                    </w:rPr>
                    <w:t>合计</w:t>
                  </w:r>
                </w:p>
              </w:tc>
              <w:tc>
                <w:tcPr>
                  <w:tcW w:w="1183" w:type="pct"/>
                  <w:noWrap w:val="0"/>
                  <w:vAlign w:val="center"/>
                </w:tcPr>
                <w:p>
                  <w:pPr>
                    <w:pStyle w:val="184"/>
                    <w:spacing w:line="360" w:lineRule="auto"/>
                    <w:rPr>
                      <w:rFonts w:hint="default" w:eastAsia="宋体"/>
                      <w:color w:val="auto"/>
                      <w:sz w:val="22"/>
                      <w:szCs w:val="22"/>
                      <w:u w:val="single" w:color="auto"/>
                      <w:lang w:val="en-US" w:eastAsia="zh-CN"/>
                    </w:rPr>
                  </w:pPr>
                  <w:r>
                    <w:rPr>
                      <w:rFonts w:hint="eastAsia"/>
                      <w:color w:val="auto"/>
                      <w:sz w:val="22"/>
                      <w:szCs w:val="22"/>
                      <w:u w:val="single" w:color="auto"/>
                      <w:lang w:val="en-US" w:eastAsia="zh-CN"/>
                    </w:rPr>
                    <w:t>0.075</w:t>
                  </w:r>
                </w:p>
              </w:tc>
            </w:tr>
          </w:tbl>
          <w:p>
            <w:pPr>
              <w:pStyle w:val="172"/>
              <w:spacing w:line="360" w:lineRule="auto"/>
              <w:ind w:firstLine="480"/>
              <w:rPr>
                <w:rFonts w:hint="eastAsia" w:ascii="Times New Roman" w:hAnsi="Times New Roman" w:eastAsia="宋体" w:cs="Times New Roman"/>
                <w:b/>
                <w:bCs/>
                <w:color w:val="auto"/>
                <w:sz w:val="24"/>
                <w:szCs w:val="24"/>
                <w:u w:val="single" w:color="auto"/>
                <w:lang w:eastAsia="zh-CN"/>
              </w:rPr>
            </w:pPr>
            <w:r>
              <w:rPr>
                <w:rFonts w:hint="default" w:ascii="Times New Roman" w:hAnsi="Times New Roman" w:eastAsia="宋体" w:cs="Times New Roman"/>
                <w:color w:val="auto"/>
                <w:sz w:val="24"/>
                <w:szCs w:val="24"/>
                <w:u w:val="single" w:color="auto"/>
              </w:rPr>
              <w:t>根据上表得知，本项目</w:t>
            </w:r>
            <w:r>
              <w:rPr>
                <w:rFonts w:hint="eastAsia" w:ascii="Times New Roman" w:hAnsi="Times New Roman" w:eastAsia="宋体" w:cs="Times New Roman"/>
                <w:color w:val="auto"/>
                <w:sz w:val="24"/>
                <w:szCs w:val="24"/>
                <w:u w:val="single" w:color="auto"/>
                <w:lang w:eastAsia="zh-CN"/>
              </w:rPr>
              <w:t>喷</w:t>
            </w:r>
            <w:r>
              <w:rPr>
                <w:rFonts w:hint="default" w:ascii="Times New Roman" w:hAnsi="Times New Roman" w:eastAsia="宋体" w:cs="Times New Roman"/>
                <w:color w:val="auto"/>
                <w:sz w:val="24"/>
                <w:szCs w:val="24"/>
                <w:u w:val="single" w:color="auto"/>
              </w:rPr>
              <w:t>废气VOCs产生量约</w:t>
            </w:r>
            <w:r>
              <w:rPr>
                <w:rFonts w:hint="eastAsia" w:cs="Times New Roman"/>
                <w:color w:val="auto"/>
                <w:sz w:val="24"/>
                <w:szCs w:val="24"/>
                <w:u w:val="single" w:color="auto"/>
                <w:lang w:val="en-US" w:eastAsia="zh-CN"/>
              </w:rPr>
              <w:t>0.075</w:t>
            </w:r>
            <w:r>
              <w:rPr>
                <w:rFonts w:hint="default" w:ascii="Times New Roman" w:hAnsi="Times New Roman" w:eastAsia="宋体" w:cs="Times New Roman"/>
                <w:color w:val="auto"/>
                <w:sz w:val="24"/>
                <w:szCs w:val="24"/>
                <w:u w:val="single" w:color="auto"/>
              </w:rPr>
              <w:t>t/a</w:t>
            </w:r>
            <w:r>
              <w:rPr>
                <w:rFonts w:hint="eastAsia" w:eastAsia="宋体" w:cs="Times New Roman"/>
                <w:color w:val="auto"/>
                <w:sz w:val="24"/>
                <w:szCs w:val="24"/>
                <w:u w:val="single" w:color="auto"/>
                <w:lang w:eastAsia="zh-CN"/>
              </w:rPr>
              <w:t>。</w:t>
            </w:r>
          </w:p>
          <w:p>
            <w:pPr>
              <w:pStyle w:val="172"/>
              <w:spacing w:line="360" w:lineRule="auto"/>
              <w:ind w:firstLine="480"/>
              <w:rPr>
                <w:rFonts w:hint="eastAsia" w:eastAsia="宋体"/>
                <w:color w:val="auto"/>
                <w:sz w:val="24"/>
                <w:szCs w:val="24"/>
                <w:u w:val="single" w:color="auto"/>
                <w:lang w:eastAsia="zh-CN"/>
              </w:rPr>
            </w:pPr>
            <w:r>
              <w:rPr>
                <w:rFonts w:hint="default" w:ascii="Times New Roman" w:hAnsi="Times New Roman" w:eastAsia="宋体" w:cs="Times New Roman"/>
                <w:b/>
                <w:bCs/>
                <w:color w:val="auto"/>
                <w:sz w:val="24"/>
                <w:szCs w:val="24"/>
                <w:u w:val="single" w:color="auto"/>
                <w:lang w:eastAsia="zh-CN"/>
              </w:rPr>
              <w:t>喷漆房：</w:t>
            </w:r>
            <w:r>
              <w:rPr>
                <w:rFonts w:hint="eastAsia" w:cs="Times New Roman"/>
                <w:color w:val="auto"/>
                <w:sz w:val="24"/>
                <w:szCs w:val="24"/>
                <w:u w:val="single" w:color="auto"/>
                <w:lang w:eastAsia="zh-CN"/>
              </w:rPr>
              <w:t>本项目依托原项目建设的喷漆房进行喷漆，原项目喷漆房废气经水帘净化</w:t>
            </w:r>
            <w:r>
              <w:rPr>
                <w:rFonts w:hint="default" w:ascii="Times New Roman" w:hAnsi="Times New Roman" w:eastAsia="宋体" w:cs="Times New Roman"/>
                <w:bCs/>
                <w:color w:val="auto"/>
                <w:sz w:val="24"/>
                <w:szCs w:val="24"/>
                <w:u w:val="single" w:color="auto"/>
              </w:rPr>
              <w:t>（漆雾处理效率为90</w:t>
            </w:r>
            <w:r>
              <w:rPr>
                <w:rFonts w:hint="default" w:ascii="Times New Roman" w:hAnsi="Times New Roman" w:eastAsia="宋体" w:cs="Times New Roman"/>
                <w:color w:val="auto"/>
                <w:sz w:val="24"/>
                <w:szCs w:val="24"/>
                <w:u w:val="single" w:color="auto"/>
              </w:rPr>
              <w:t>%</w:t>
            </w:r>
            <w:r>
              <w:rPr>
                <w:rFonts w:hint="default" w:ascii="Times New Roman" w:hAnsi="Times New Roman" w:eastAsia="宋体" w:cs="Times New Roman"/>
                <w:bCs/>
                <w:color w:val="auto"/>
                <w:sz w:val="24"/>
                <w:szCs w:val="24"/>
                <w:u w:val="single" w:color="auto"/>
              </w:rPr>
              <w:t>）</w:t>
            </w:r>
            <w:r>
              <w:rPr>
                <w:rFonts w:hint="eastAsia" w:cs="Times New Roman"/>
                <w:color w:val="auto"/>
                <w:sz w:val="24"/>
                <w:szCs w:val="24"/>
                <w:u w:val="single" w:color="auto"/>
                <w:lang w:eastAsia="zh-CN"/>
              </w:rPr>
              <w:t>处理后</w:t>
            </w:r>
            <w:r>
              <w:rPr>
                <w:rFonts w:hint="eastAsia" w:cs="Times New Roman"/>
                <w:color w:val="auto"/>
                <w:sz w:val="24"/>
                <w:szCs w:val="24"/>
                <w:u w:val="single" w:color="auto"/>
                <w:lang w:val="en-US" w:eastAsia="zh-CN"/>
              </w:rPr>
              <w:t>+活性炭（</w:t>
            </w:r>
            <w:r>
              <w:rPr>
                <w:rFonts w:hint="eastAsia" w:ascii="Times New Roman" w:hAnsi="Times New Roman" w:eastAsia="宋体" w:cs="Times New Roman"/>
                <w:color w:val="auto"/>
                <w:sz w:val="24"/>
                <w:szCs w:val="24"/>
                <w:u w:val="single" w:color="auto"/>
                <w:lang w:eastAsia="zh-CN"/>
              </w:rPr>
              <w:t>吸附</w:t>
            </w:r>
            <w:r>
              <w:rPr>
                <w:rFonts w:hint="default" w:ascii="Times New Roman" w:hAnsi="Times New Roman" w:eastAsia="宋体" w:cs="Times New Roman"/>
                <w:color w:val="auto"/>
                <w:sz w:val="24"/>
                <w:szCs w:val="24"/>
                <w:u w:val="single" w:color="auto"/>
              </w:rPr>
              <w:t>效率为</w:t>
            </w:r>
            <w:r>
              <w:rPr>
                <w:rFonts w:hint="eastAsia" w:ascii="Times New Roman" w:hAnsi="Times New Roman" w:eastAsia="宋体" w:cs="Times New Roman"/>
                <w:color w:val="auto"/>
                <w:sz w:val="24"/>
                <w:szCs w:val="24"/>
                <w:u w:val="single" w:color="auto"/>
                <w:lang w:val="en-US" w:eastAsia="zh-CN"/>
              </w:rPr>
              <w:t>8</w:t>
            </w:r>
            <w:r>
              <w:rPr>
                <w:rFonts w:hint="default" w:ascii="Times New Roman" w:hAnsi="Times New Roman" w:eastAsia="宋体" w:cs="Times New Roman"/>
                <w:color w:val="auto"/>
                <w:sz w:val="24"/>
                <w:szCs w:val="24"/>
                <w:u w:val="single" w:color="auto"/>
              </w:rPr>
              <w:t>0%</w:t>
            </w:r>
            <w:r>
              <w:rPr>
                <w:rFonts w:hint="eastAsia" w:cs="Times New Roman"/>
                <w:color w:val="auto"/>
                <w:sz w:val="24"/>
                <w:szCs w:val="24"/>
                <w:u w:val="single" w:color="auto"/>
                <w:lang w:val="en-US" w:eastAsia="zh-CN"/>
              </w:rPr>
              <w:t>）由15m高排气筒高空排放</w:t>
            </w:r>
            <w:r>
              <w:rPr>
                <w:rFonts w:hint="default" w:ascii="Times New Roman" w:hAnsi="Times New Roman" w:eastAsia="宋体" w:cs="Times New Roman"/>
                <w:color w:val="auto"/>
                <w:sz w:val="24"/>
                <w:szCs w:val="24"/>
                <w:u w:val="single" w:color="auto"/>
              </w:rPr>
              <w:t>，喷漆房年工作时间为</w:t>
            </w:r>
            <w:r>
              <w:rPr>
                <w:rFonts w:hint="eastAsia" w:cs="Times New Roman"/>
                <w:color w:val="auto"/>
                <w:sz w:val="24"/>
                <w:szCs w:val="24"/>
                <w:u w:val="single" w:color="auto"/>
                <w:lang w:val="en-US" w:eastAsia="zh-CN"/>
              </w:rPr>
              <w:t>600</w:t>
            </w:r>
            <w:r>
              <w:rPr>
                <w:rFonts w:hint="default" w:ascii="Times New Roman" w:hAnsi="Times New Roman" w:eastAsia="宋体" w:cs="Times New Roman"/>
                <w:color w:val="auto"/>
                <w:sz w:val="24"/>
                <w:szCs w:val="24"/>
                <w:u w:val="single" w:color="auto"/>
              </w:rPr>
              <w:t>h，设计风机总风量为</w:t>
            </w:r>
            <w:r>
              <w:rPr>
                <w:rFonts w:hint="eastAsia" w:cs="Times New Roman"/>
                <w:color w:val="auto"/>
                <w:sz w:val="24"/>
                <w:szCs w:val="24"/>
                <w:u w:val="single" w:color="auto"/>
                <w:lang w:val="en-US" w:eastAsia="zh-CN"/>
              </w:rPr>
              <w:t>4</w:t>
            </w:r>
            <w:r>
              <w:rPr>
                <w:rFonts w:hint="default" w:ascii="Times New Roman" w:hAnsi="Times New Roman" w:eastAsia="宋体" w:cs="Times New Roman"/>
                <w:color w:val="auto"/>
                <w:sz w:val="24"/>
                <w:szCs w:val="24"/>
                <w:u w:val="single" w:color="auto"/>
              </w:rPr>
              <w:t>000m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/h，处理后的废气经一根15m高排气筒高空排放。</w:t>
            </w:r>
            <w:r>
              <w:rPr>
                <w:rFonts w:hint="eastAsia" w:cs="Times New Roman"/>
                <w:color w:val="auto"/>
                <w:sz w:val="24"/>
                <w:szCs w:val="24"/>
                <w:u w:val="single" w:color="auto"/>
                <w:lang w:eastAsia="zh-CN"/>
              </w:rPr>
              <w:t>项目喷漆废气产生量为</w:t>
            </w:r>
            <w:r>
              <w:rPr>
                <w:rFonts w:hint="eastAsia" w:cs="Times New Roman"/>
                <w:color w:val="auto"/>
                <w:sz w:val="24"/>
                <w:szCs w:val="24"/>
                <w:u w:val="single" w:color="auto"/>
                <w:lang w:val="en-US" w:eastAsia="zh-CN"/>
              </w:rPr>
              <w:t>0.075t/a，集气罩收集量为0.07125t/a</w:t>
            </w:r>
            <w:r>
              <w:rPr>
                <w:rFonts w:hint="eastAsia"/>
                <w:color w:val="auto"/>
                <w:sz w:val="24"/>
                <w:szCs w:val="24"/>
                <w:u w:val="single" w:color="auto"/>
                <w:vertAlign w:val="baseline"/>
                <w:lang w:eastAsia="zh-CN"/>
              </w:rPr>
              <w:t>。</w:t>
            </w:r>
          </w:p>
          <w:p>
            <w:pPr>
              <w:spacing w:line="360" w:lineRule="auto"/>
              <w:ind w:firstLine="462" w:firstLineChars="200"/>
              <w:rPr>
                <w:rFonts w:hint="default" w:eastAsia="宋体"/>
                <w:color w:val="auto"/>
                <w:sz w:val="24"/>
                <w:szCs w:val="24"/>
                <w:u w:val="single" w:color="auto"/>
                <w:lang w:val="en-US" w:eastAsia="zh-CN"/>
              </w:rPr>
            </w:pPr>
            <w:r>
              <w:rPr>
                <w:rFonts w:hint="eastAsia"/>
                <w:color w:val="auto"/>
                <w:sz w:val="24"/>
                <w:szCs w:val="24"/>
                <w:u w:val="single" w:color="auto"/>
                <w:lang w:eastAsia="zh-CN"/>
              </w:rPr>
              <w:t>项目烘干废气先经管道收集后与喷漆废气一同经</w:t>
            </w:r>
            <w:r>
              <w:rPr>
                <w:rFonts w:hint="eastAsia"/>
                <w:color w:val="auto"/>
                <w:sz w:val="24"/>
                <w:szCs w:val="24"/>
                <w:u w:val="single" w:color="auto"/>
                <w:lang w:val="en-US" w:eastAsia="zh-CN"/>
              </w:rPr>
              <w:t>活性炭处理设施（喷漆废气现有处理设施）处理后通过同一根排气筒高空排放。</w:t>
            </w:r>
          </w:p>
          <w:p>
            <w:pPr>
              <w:spacing w:line="360" w:lineRule="auto"/>
              <w:ind w:firstLine="462" w:firstLineChars="200"/>
              <w:rPr>
                <w:rFonts w:hint="eastAsia" w:eastAsia="宋体"/>
                <w:color w:val="auto"/>
                <w:sz w:val="24"/>
                <w:szCs w:val="24"/>
                <w:u w:val="single" w:color="auto"/>
                <w:lang w:eastAsia="zh-CN"/>
              </w:rPr>
            </w:pPr>
            <w:r>
              <w:rPr>
                <w:rFonts w:hint="eastAsia" w:cs="Times New Roman"/>
                <w:bCs/>
                <w:color w:val="auto"/>
                <w:sz w:val="24"/>
                <w:szCs w:val="24"/>
                <w:u w:val="single" w:color="auto"/>
                <w:lang w:eastAsia="zh-CN"/>
              </w:rPr>
              <w:t>经计算项目有机废气排放总量为</w:t>
            </w:r>
            <w:r>
              <w:rPr>
                <w:rFonts w:hint="eastAsia" w:cs="Times New Roman"/>
                <w:bCs/>
                <w:color w:val="auto"/>
                <w:sz w:val="24"/>
                <w:szCs w:val="24"/>
                <w:u w:val="single" w:color="auto"/>
                <w:lang w:val="en-US" w:eastAsia="zh-CN"/>
              </w:rPr>
              <w:t>0.57125t/a，</w:t>
            </w:r>
            <w:r>
              <w:rPr>
                <w:rFonts w:hint="default" w:ascii="Times New Roman" w:hAnsi="Times New Roman" w:cs="Times New Roman"/>
                <w:bCs/>
                <w:color w:val="auto"/>
                <w:sz w:val="24"/>
                <w:szCs w:val="24"/>
                <w:u w:val="single" w:color="auto"/>
              </w:rPr>
              <w:t>风机风量约为</w:t>
            </w:r>
            <w:r>
              <w:rPr>
                <w:rFonts w:hint="eastAsia" w:ascii="Times New Roman" w:hAnsi="Times New Roman" w:cs="Times New Roman"/>
                <w:bCs/>
                <w:color w:val="auto"/>
                <w:sz w:val="24"/>
                <w:szCs w:val="24"/>
                <w:u w:val="single" w:color="auto"/>
                <w:lang w:val="en-US" w:eastAsia="zh-CN"/>
              </w:rPr>
              <w:t>4</w:t>
            </w:r>
            <w:r>
              <w:rPr>
                <w:rFonts w:hint="default" w:ascii="Times New Roman" w:hAnsi="Times New Roman" w:cs="Times New Roman"/>
                <w:bCs/>
                <w:color w:val="auto"/>
                <w:sz w:val="24"/>
                <w:szCs w:val="24"/>
                <w:u w:val="single" w:color="auto"/>
              </w:rPr>
              <w:t>000m</w:t>
            </w:r>
            <w:r>
              <w:rPr>
                <w:rFonts w:hint="default" w:ascii="Times New Roman" w:hAnsi="Times New Roman" w:cs="Times New Roman"/>
                <w:bCs/>
                <w:color w:val="auto"/>
                <w:sz w:val="24"/>
                <w:szCs w:val="24"/>
                <w:u w:val="single" w:color="auto"/>
                <w:vertAlign w:val="superscript"/>
              </w:rPr>
              <w:t>3</w:t>
            </w:r>
            <w:r>
              <w:rPr>
                <w:rFonts w:hint="default" w:ascii="Times New Roman" w:hAnsi="Times New Roman" w:cs="Times New Roman"/>
                <w:bCs/>
                <w:color w:val="auto"/>
                <w:sz w:val="24"/>
                <w:szCs w:val="24"/>
                <w:u w:val="single" w:color="auto"/>
              </w:rPr>
              <w:t>/h，</w:t>
            </w:r>
            <w:r>
              <w:rPr>
                <w:rFonts w:hint="eastAsia" w:cs="Times New Roman"/>
                <w:bCs/>
                <w:color w:val="auto"/>
                <w:sz w:val="24"/>
                <w:szCs w:val="24"/>
                <w:u w:val="single" w:color="auto"/>
                <w:lang w:eastAsia="zh-CN"/>
              </w:rPr>
              <w:t>活性炭处理效率为</w:t>
            </w:r>
            <w:r>
              <w:rPr>
                <w:rFonts w:hint="eastAsia" w:cs="Times New Roman"/>
                <w:bCs/>
                <w:color w:val="auto"/>
                <w:sz w:val="24"/>
                <w:szCs w:val="24"/>
                <w:u w:val="single" w:color="auto"/>
                <w:lang w:val="en-US" w:eastAsia="zh-CN"/>
              </w:rPr>
              <w:t>80%，</w:t>
            </w:r>
            <w:r>
              <w:rPr>
                <w:rFonts w:hint="default" w:ascii="Times New Roman" w:hAnsi="Times New Roman" w:cs="Times New Roman"/>
                <w:bCs/>
                <w:color w:val="auto"/>
                <w:sz w:val="24"/>
                <w:szCs w:val="24"/>
                <w:u w:val="single" w:color="auto"/>
              </w:rPr>
              <w:t>因此</w:t>
            </w:r>
            <w:r>
              <w:rPr>
                <w:rFonts w:hint="default" w:ascii="Times New Roman" w:hAnsi="Times New Roman" w:eastAsia="宋体" w:cs="Times New Roman"/>
                <w:color w:val="auto"/>
                <w:sz w:val="24"/>
                <w:szCs w:val="24"/>
                <w:u w:val="single" w:color="auto"/>
              </w:rPr>
              <w:t>VOCs的无组织排放量为</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00375</w:t>
            </w:r>
            <w:r>
              <w:rPr>
                <w:rFonts w:hint="default" w:ascii="Times New Roman" w:hAnsi="Times New Roman" w:eastAsia="宋体" w:cs="Times New Roman"/>
                <w:color w:val="auto"/>
                <w:sz w:val="24"/>
                <w:szCs w:val="24"/>
                <w:u w:val="single" w:color="auto"/>
              </w:rPr>
              <w:t>t/a（0.</w:t>
            </w:r>
            <w:r>
              <w:rPr>
                <w:rFonts w:hint="eastAsia" w:cs="Times New Roman"/>
                <w:color w:val="auto"/>
                <w:sz w:val="24"/>
                <w:szCs w:val="24"/>
                <w:u w:val="single" w:color="auto"/>
                <w:lang w:val="en-US" w:eastAsia="zh-CN"/>
              </w:rPr>
              <w:t>00625</w:t>
            </w:r>
            <w:r>
              <w:rPr>
                <w:rFonts w:hint="default" w:ascii="Times New Roman" w:hAnsi="Times New Roman" w:eastAsia="宋体" w:cs="Times New Roman"/>
                <w:color w:val="auto"/>
                <w:sz w:val="24"/>
                <w:szCs w:val="24"/>
                <w:u w:val="single" w:color="auto"/>
              </w:rPr>
              <w:t>kg/h），有组织排放量为</w:t>
            </w:r>
            <w:r>
              <w:rPr>
                <w:rFonts w:hint="eastAsia" w:cs="Times New Roman"/>
                <w:color w:val="auto"/>
                <w:sz w:val="24"/>
                <w:szCs w:val="24"/>
                <w:u w:val="single" w:color="auto"/>
                <w:lang w:val="en-US" w:eastAsia="zh-CN"/>
              </w:rPr>
              <w:t>0.1143</w:t>
            </w:r>
            <w:r>
              <w:rPr>
                <w:rFonts w:hint="default" w:ascii="Times New Roman" w:hAnsi="Times New Roman" w:eastAsia="宋体" w:cs="Times New Roman"/>
                <w:color w:val="auto"/>
                <w:sz w:val="24"/>
                <w:szCs w:val="24"/>
                <w:u w:val="single" w:color="auto"/>
              </w:rPr>
              <w:t>t/a（0.</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95</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24</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）。喷漆颗粒物有组织排放量为0.</w:t>
            </w:r>
            <w:r>
              <w:rPr>
                <w:rFonts w:hint="eastAsia" w:ascii="Times New Roman" w:hAnsi="Times New Roman" w:eastAsia="宋体" w:cs="Times New Roman"/>
                <w:color w:val="auto"/>
                <w:sz w:val="24"/>
                <w:szCs w:val="24"/>
                <w:u w:val="single" w:color="auto"/>
                <w:lang w:val="en-US" w:eastAsia="zh-CN"/>
              </w:rPr>
              <w:t>0</w:t>
            </w:r>
            <w:r>
              <w:rPr>
                <w:rFonts w:hint="eastAsia" w:cs="Times New Roman"/>
                <w:color w:val="auto"/>
                <w:sz w:val="24"/>
                <w:szCs w:val="24"/>
                <w:u w:val="single" w:color="auto"/>
                <w:lang w:val="en-US" w:eastAsia="zh-CN"/>
              </w:rPr>
              <w:t>0475</w:t>
            </w:r>
            <w:r>
              <w:rPr>
                <w:rFonts w:hint="default" w:ascii="Times New Roman" w:hAnsi="Times New Roman" w:eastAsia="宋体" w:cs="Times New Roman"/>
                <w:color w:val="auto"/>
                <w:sz w:val="24"/>
                <w:szCs w:val="24"/>
                <w:u w:val="single" w:color="auto"/>
              </w:rPr>
              <w:t>t/a（0.</w:t>
            </w:r>
            <w:r>
              <w:rPr>
                <w:rFonts w:hint="eastAsia" w:cs="Times New Roman"/>
                <w:color w:val="auto"/>
                <w:sz w:val="24"/>
                <w:szCs w:val="24"/>
                <w:u w:val="single" w:color="auto"/>
                <w:lang w:val="en-US" w:eastAsia="zh-CN"/>
              </w:rPr>
              <w:t>0079</w:t>
            </w:r>
            <w:r>
              <w:rPr>
                <w:rFonts w:hint="default" w:ascii="Times New Roman" w:hAnsi="Times New Roman" w:eastAsia="宋体" w:cs="Times New Roman"/>
                <w:color w:val="auto"/>
                <w:sz w:val="24"/>
                <w:szCs w:val="24"/>
                <w:u w:val="single" w:color="auto"/>
              </w:rPr>
              <w:t>kg/h、</w:t>
            </w:r>
            <w:r>
              <w:rPr>
                <w:rFonts w:hint="eastAsia" w:cs="Times New Roman"/>
                <w:color w:val="auto"/>
                <w:sz w:val="24"/>
                <w:szCs w:val="24"/>
                <w:u w:val="single" w:color="auto"/>
                <w:lang w:val="en-US" w:eastAsia="zh-CN"/>
              </w:rPr>
              <w:t>1.58</w:t>
            </w:r>
            <w:r>
              <w:rPr>
                <w:rFonts w:hint="default" w:ascii="Times New Roman" w:hAnsi="Times New Roman" w:eastAsia="宋体" w:cs="Times New Roman"/>
                <w:color w:val="auto"/>
                <w:sz w:val="24"/>
                <w:szCs w:val="24"/>
                <w:u w:val="single" w:color="auto"/>
              </w:rPr>
              <w:t>mg/m</w:t>
            </w:r>
            <w:r>
              <w:rPr>
                <w:rFonts w:hint="default" w:ascii="Times New Roman" w:hAnsi="Times New Roman" w:eastAsia="宋体" w:cs="Times New Roman"/>
                <w:color w:val="auto"/>
                <w:sz w:val="24"/>
                <w:szCs w:val="24"/>
                <w:u w:val="single" w:color="auto"/>
                <w:vertAlign w:val="superscript"/>
              </w:rPr>
              <w:t>3</w:t>
            </w:r>
            <w:r>
              <w:rPr>
                <w:rFonts w:hint="default" w:ascii="Times New Roman" w:hAnsi="Times New Roman" w:eastAsia="宋体" w:cs="Times New Roman"/>
                <w:color w:val="auto"/>
                <w:sz w:val="24"/>
                <w:szCs w:val="24"/>
                <w:u w:val="single" w:color="auto"/>
              </w:rPr>
              <w:t>）、无组织排放量0.0</w:t>
            </w:r>
            <w:r>
              <w:rPr>
                <w:rFonts w:hint="eastAsia" w:cs="Times New Roman"/>
                <w:color w:val="auto"/>
                <w:sz w:val="24"/>
                <w:szCs w:val="24"/>
                <w:u w:val="single" w:color="auto"/>
                <w:lang w:val="en-US" w:eastAsia="zh-CN"/>
              </w:rPr>
              <w:t>025</w:t>
            </w:r>
            <w:r>
              <w:rPr>
                <w:rFonts w:hint="default" w:ascii="Times New Roman" w:hAnsi="Times New Roman" w:eastAsia="宋体" w:cs="Times New Roman"/>
                <w:color w:val="auto"/>
                <w:sz w:val="24"/>
                <w:szCs w:val="24"/>
                <w:u w:val="single" w:color="auto"/>
              </w:rPr>
              <w:t>t/a（0.0</w:t>
            </w:r>
            <w:r>
              <w:rPr>
                <w:rFonts w:hint="eastAsia" w:cs="Times New Roman"/>
                <w:color w:val="auto"/>
                <w:sz w:val="24"/>
                <w:szCs w:val="24"/>
                <w:u w:val="single" w:color="auto"/>
                <w:lang w:val="en-US" w:eastAsia="zh-CN"/>
              </w:rPr>
              <w:t>0417</w:t>
            </w:r>
            <w:r>
              <w:rPr>
                <w:rFonts w:hint="default" w:ascii="Times New Roman" w:hAnsi="Times New Roman" w:eastAsia="宋体" w:cs="Times New Roman"/>
                <w:color w:val="auto"/>
                <w:sz w:val="24"/>
                <w:szCs w:val="24"/>
                <w:u w:val="single" w:color="auto"/>
              </w:rPr>
              <w:t>kg/h）</w:t>
            </w:r>
            <w:r>
              <w:rPr>
                <w:rFonts w:hint="default" w:ascii="Times New Roman" w:hAnsi="Times New Roman" w:cs="Times New Roman"/>
                <w:bCs/>
                <w:color w:val="auto"/>
                <w:sz w:val="24"/>
                <w:szCs w:val="24"/>
                <w:u w:val="single" w:color="auto"/>
              </w:rPr>
              <w:t>，</w:t>
            </w:r>
            <w:r>
              <w:rPr>
                <w:rFonts w:hint="default" w:ascii="Times New Roman" w:hAnsi="Times New Roman" w:eastAsia="宋体" w:cs="Times New Roman"/>
                <w:color w:val="auto"/>
                <w:sz w:val="24"/>
                <w:szCs w:val="24"/>
                <w:u w:val="single" w:color="auto"/>
              </w:rPr>
              <w:t>VOCs</w:t>
            </w:r>
            <w:r>
              <w:rPr>
                <w:rFonts w:hint="default" w:ascii="Times New Roman" w:hAnsi="Times New Roman" w:cs="Times New Roman"/>
                <w:bCs/>
                <w:color w:val="auto"/>
                <w:sz w:val="24"/>
                <w:szCs w:val="24"/>
                <w:u w:val="single" w:color="auto"/>
              </w:rPr>
              <w:t>可以达到</w:t>
            </w:r>
            <w:r>
              <w:rPr>
                <w:rFonts w:hint="default" w:ascii="Times New Roman" w:hAnsi="Times New Roman" w:cs="Times New Roman"/>
                <w:color w:val="auto"/>
                <w:sz w:val="24"/>
                <w:szCs w:val="24"/>
                <w:u w:val="single" w:color="auto"/>
              </w:rPr>
              <w:t>《表面涂装(汽车制造)挥发性有机物、镍排放标准》（DB43/1356-2017）表1标准</w:t>
            </w:r>
            <w:r>
              <w:rPr>
                <w:rFonts w:hint="default" w:ascii="Times New Roman" w:hAnsi="Times New Roman" w:cs="Times New Roman"/>
                <w:bCs/>
                <w:color w:val="auto"/>
                <w:sz w:val="24"/>
                <w:szCs w:val="24"/>
                <w:u w:val="single" w:color="auto"/>
              </w:rPr>
              <w:t>标准要求</w:t>
            </w:r>
            <w:r>
              <w:rPr>
                <w:rFonts w:hint="eastAsia" w:cs="Times New Roman"/>
                <w:bCs/>
                <w:color w:val="auto"/>
                <w:sz w:val="24"/>
                <w:szCs w:val="24"/>
                <w:u w:val="single" w:color="auto"/>
                <w:lang w:eastAsia="zh-CN"/>
              </w:rPr>
              <w:t>，颗粒物可达到</w:t>
            </w:r>
            <w:r>
              <w:rPr>
                <w:rFonts w:hint="default" w:ascii="Times New Roman" w:hAnsi="Times New Roman" w:eastAsia="宋体" w:cs="Times New Roman"/>
                <w:color w:val="auto"/>
                <w:kern w:val="0"/>
                <w:sz w:val="24"/>
                <w:szCs w:val="24"/>
                <w:u w:val="single" w:color="auto"/>
                <w:lang w:val="en-US" w:eastAsia="zh-CN" w:bidi="ar"/>
              </w:rPr>
              <w:t>《大气污染物综合排放标准》（GB16297-1996）表2的二级标准</w:t>
            </w:r>
            <w:r>
              <w:rPr>
                <w:rFonts w:hint="default" w:ascii="Times New Roman" w:hAnsi="Times New Roman" w:cs="Times New Roman"/>
                <w:bCs/>
                <w:color w:val="auto"/>
                <w:sz w:val="24"/>
                <w:szCs w:val="24"/>
                <w:u w:val="single" w:color="auto"/>
              </w:rPr>
              <w:t>，废气最终通过距地面高15m的排气筒外排</w:t>
            </w:r>
            <w:r>
              <w:rPr>
                <w:rFonts w:hint="eastAsia" w:cs="Times New Roman"/>
                <w:bCs/>
                <w:color w:val="auto"/>
                <w:sz w:val="24"/>
                <w:szCs w:val="24"/>
                <w:u w:val="single" w:color="auto"/>
                <w:lang w:eastAsia="zh-CN"/>
              </w:rPr>
              <w:t>。</w:t>
            </w:r>
          </w:p>
          <w:p>
            <w:pPr>
              <w:spacing w:line="360" w:lineRule="auto"/>
              <w:ind w:firstLine="462" w:firstLineChars="200"/>
              <w:rPr>
                <w:color w:val="auto"/>
                <w:sz w:val="24"/>
                <w:szCs w:val="24"/>
                <w:u w:val="single" w:color="auto"/>
              </w:rPr>
            </w:pPr>
            <w:r>
              <w:rPr>
                <w:rFonts w:hint="eastAsia"/>
                <w:color w:val="auto"/>
                <w:sz w:val="24"/>
                <w:szCs w:val="24"/>
                <w:u w:val="single" w:color="auto"/>
              </w:rPr>
              <w:t>本项目的各大气污染源的排放源强详见表5</w:t>
            </w:r>
            <w:r>
              <w:rPr>
                <w:color w:val="auto"/>
                <w:sz w:val="24"/>
                <w:szCs w:val="24"/>
                <w:u w:val="single" w:color="auto"/>
              </w:rPr>
              <w:t>-</w:t>
            </w:r>
            <w:r>
              <w:rPr>
                <w:rFonts w:hint="eastAsia"/>
                <w:color w:val="auto"/>
                <w:sz w:val="24"/>
                <w:szCs w:val="24"/>
                <w:u w:val="single" w:color="auto"/>
                <w:lang w:val="en-US" w:eastAsia="zh-CN"/>
              </w:rPr>
              <w:t>8</w:t>
            </w:r>
            <w:r>
              <w:rPr>
                <w:rFonts w:hint="eastAsia"/>
                <w:color w:val="auto"/>
                <w:sz w:val="24"/>
                <w:szCs w:val="24"/>
                <w:u w:val="single" w:color="auto"/>
              </w:rPr>
              <w:t>。</w:t>
            </w:r>
          </w:p>
          <w:p>
            <w:pPr>
              <w:pStyle w:val="34"/>
              <w:ind w:left="400"/>
              <w:jc w:val="center"/>
              <w:rPr>
                <w:b/>
                <w:color w:val="auto"/>
                <w:sz w:val="24"/>
                <w:u w:val="single" w:color="auto"/>
              </w:rPr>
            </w:pPr>
            <w:r>
              <w:rPr>
                <w:rFonts w:hint="eastAsia"/>
                <w:b/>
                <w:color w:val="auto"/>
                <w:sz w:val="24"/>
                <w:u w:val="single" w:color="auto"/>
              </w:rPr>
              <w:t>表5</w:t>
            </w:r>
            <w:r>
              <w:rPr>
                <w:b/>
                <w:color w:val="auto"/>
                <w:sz w:val="24"/>
                <w:u w:val="single" w:color="auto"/>
              </w:rPr>
              <w:t>-</w:t>
            </w:r>
            <w:r>
              <w:rPr>
                <w:rFonts w:hint="eastAsia"/>
                <w:b/>
                <w:color w:val="auto"/>
                <w:sz w:val="24"/>
                <w:u w:val="single" w:color="auto"/>
                <w:lang w:val="en-US" w:eastAsia="zh-CN"/>
              </w:rPr>
              <w:t>8</w:t>
            </w:r>
            <w:r>
              <w:rPr>
                <w:b/>
                <w:color w:val="auto"/>
                <w:sz w:val="24"/>
                <w:u w:val="single" w:color="auto"/>
              </w:rPr>
              <w:t xml:space="preserve">  </w:t>
            </w:r>
            <w:r>
              <w:rPr>
                <w:rFonts w:hint="eastAsia"/>
                <w:b/>
                <w:color w:val="auto"/>
                <w:sz w:val="24"/>
                <w:u w:val="single" w:color="auto"/>
              </w:rPr>
              <w:t>废气排放情况汇总表</w:t>
            </w:r>
          </w:p>
          <w:tbl>
            <w:tblPr>
              <w:tblStyle w:val="41"/>
              <w:tblW w:w="926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6"/>
              <w:gridCol w:w="742"/>
              <w:gridCol w:w="946"/>
              <w:gridCol w:w="884"/>
              <w:gridCol w:w="798"/>
              <w:gridCol w:w="815"/>
              <w:gridCol w:w="952"/>
              <w:gridCol w:w="798"/>
              <w:gridCol w:w="899"/>
              <w:gridCol w:w="899"/>
              <w:gridCol w:w="8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2" w:hRule="atLeast"/>
              </w:trPr>
              <w:tc>
                <w:tcPr>
                  <w:tcW w:w="427" w:type="dxa"/>
                  <w:vMerge w:val="restart"/>
                  <w:vAlign w:val="center"/>
                </w:tcPr>
                <w:p>
                  <w:pPr>
                    <w:jc w:val="center"/>
                    <w:rPr>
                      <w:b/>
                      <w:color w:val="auto"/>
                      <w:u w:val="single" w:color="auto"/>
                    </w:rPr>
                  </w:pPr>
                  <w:r>
                    <w:rPr>
                      <w:rFonts w:hint="eastAsia"/>
                      <w:b/>
                      <w:color w:val="auto"/>
                      <w:u w:val="single" w:color="auto"/>
                    </w:rPr>
                    <w:t>污染工序</w:t>
                  </w:r>
                </w:p>
              </w:tc>
              <w:tc>
                <w:tcPr>
                  <w:tcW w:w="742" w:type="dxa"/>
                  <w:vMerge w:val="restart"/>
                  <w:vAlign w:val="center"/>
                </w:tcPr>
                <w:p>
                  <w:pPr>
                    <w:jc w:val="center"/>
                    <w:rPr>
                      <w:b/>
                      <w:color w:val="auto"/>
                      <w:u w:val="single" w:color="auto"/>
                    </w:rPr>
                  </w:pPr>
                  <w:r>
                    <w:rPr>
                      <w:rFonts w:hint="eastAsia"/>
                      <w:b/>
                      <w:color w:val="auto"/>
                      <w:u w:val="single" w:color="auto"/>
                    </w:rPr>
                    <w:t>污染物</w:t>
                  </w:r>
                </w:p>
              </w:tc>
              <w:tc>
                <w:tcPr>
                  <w:tcW w:w="1048" w:type="dxa"/>
                  <w:vMerge w:val="restart"/>
                  <w:vAlign w:val="center"/>
                </w:tcPr>
                <w:p>
                  <w:pPr>
                    <w:jc w:val="center"/>
                    <w:rPr>
                      <w:b/>
                      <w:color w:val="auto"/>
                      <w:u w:val="single" w:color="auto"/>
                    </w:rPr>
                  </w:pPr>
                  <w:r>
                    <w:rPr>
                      <w:rFonts w:hint="eastAsia"/>
                      <w:b/>
                      <w:color w:val="auto"/>
                      <w:u w:val="single" w:color="auto"/>
                    </w:rPr>
                    <w:t>废气量</w:t>
                  </w:r>
                </w:p>
              </w:tc>
              <w:tc>
                <w:tcPr>
                  <w:tcW w:w="2589" w:type="dxa"/>
                  <w:gridSpan w:val="3"/>
                  <w:vMerge w:val="restart"/>
                  <w:vAlign w:val="center"/>
                </w:tcPr>
                <w:p>
                  <w:pPr>
                    <w:jc w:val="center"/>
                    <w:rPr>
                      <w:b/>
                      <w:color w:val="auto"/>
                      <w:u w:val="single" w:color="auto"/>
                    </w:rPr>
                  </w:pPr>
                  <w:r>
                    <w:rPr>
                      <w:rFonts w:hint="eastAsia"/>
                      <w:b/>
                      <w:color w:val="auto"/>
                      <w:u w:val="single" w:color="auto"/>
                    </w:rPr>
                    <w:t>产生情况</w:t>
                  </w:r>
                </w:p>
              </w:tc>
              <w:tc>
                <w:tcPr>
                  <w:tcW w:w="3563" w:type="dxa"/>
                  <w:gridSpan w:val="4"/>
                  <w:vAlign w:val="center"/>
                </w:tcPr>
                <w:p>
                  <w:pPr>
                    <w:jc w:val="center"/>
                    <w:rPr>
                      <w:b/>
                      <w:color w:val="auto"/>
                      <w:u w:val="single" w:color="auto"/>
                    </w:rPr>
                  </w:pPr>
                  <w:r>
                    <w:rPr>
                      <w:rFonts w:hint="eastAsia"/>
                      <w:b/>
                      <w:color w:val="auto"/>
                      <w:u w:val="single" w:color="auto"/>
                    </w:rPr>
                    <w:t>排放情况</w:t>
                  </w:r>
                </w:p>
              </w:tc>
              <w:tc>
                <w:tcPr>
                  <w:tcW w:w="899" w:type="dxa"/>
                  <w:vMerge w:val="restart"/>
                  <w:vAlign w:val="center"/>
                </w:tcPr>
                <w:p>
                  <w:pPr>
                    <w:jc w:val="center"/>
                    <w:rPr>
                      <w:b/>
                      <w:color w:val="auto"/>
                      <w:u w:val="single" w:color="auto"/>
                    </w:rPr>
                  </w:pPr>
                  <w:r>
                    <w:rPr>
                      <w:rFonts w:hint="eastAsia"/>
                      <w:b/>
                      <w:color w:val="auto"/>
                      <w:u w:val="single" w:color="auto"/>
                    </w:rPr>
                    <w:t>处理量t</w:t>
                  </w:r>
                  <w:r>
                    <w:rPr>
                      <w:b/>
                      <w:color w:val="auto"/>
                      <w:u w:val="single" w:color="auto"/>
                    </w:rPr>
                    <w: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9" w:hRule="atLeast"/>
              </w:trPr>
              <w:tc>
                <w:tcPr>
                  <w:tcW w:w="427" w:type="dxa"/>
                  <w:vMerge w:val="continue"/>
                  <w:vAlign w:val="center"/>
                </w:tcPr>
                <w:p>
                  <w:pPr>
                    <w:jc w:val="center"/>
                    <w:rPr>
                      <w:color w:val="auto"/>
                      <w:u w:val="single" w:color="auto"/>
                    </w:rPr>
                  </w:pPr>
                </w:p>
              </w:tc>
              <w:tc>
                <w:tcPr>
                  <w:tcW w:w="742" w:type="dxa"/>
                  <w:vMerge w:val="continue"/>
                  <w:vAlign w:val="center"/>
                </w:tcPr>
                <w:p>
                  <w:pPr>
                    <w:jc w:val="center"/>
                    <w:rPr>
                      <w:color w:val="auto"/>
                      <w:u w:val="single" w:color="auto"/>
                    </w:rPr>
                  </w:pPr>
                </w:p>
              </w:tc>
              <w:tc>
                <w:tcPr>
                  <w:tcW w:w="1048" w:type="dxa"/>
                  <w:vMerge w:val="continue"/>
                  <w:vAlign w:val="center"/>
                </w:tcPr>
                <w:p>
                  <w:pPr>
                    <w:jc w:val="center"/>
                    <w:rPr>
                      <w:color w:val="auto"/>
                      <w:u w:val="single" w:color="auto"/>
                    </w:rPr>
                  </w:pPr>
                </w:p>
              </w:tc>
              <w:tc>
                <w:tcPr>
                  <w:tcW w:w="2589" w:type="dxa"/>
                  <w:gridSpan w:val="3"/>
                  <w:vMerge w:val="continue"/>
                  <w:vAlign w:val="center"/>
                </w:tcPr>
                <w:p>
                  <w:pPr>
                    <w:jc w:val="center"/>
                    <w:rPr>
                      <w:color w:val="auto"/>
                      <w:u w:val="single" w:color="auto"/>
                    </w:rPr>
                  </w:pPr>
                </w:p>
              </w:tc>
              <w:tc>
                <w:tcPr>
                  <w:tcW w:w="1765" w:type="dxa"/>
                  <w:gridSpan w:val="2"/>
                  <w:vAlign w:val="center"/>
                </w:tcPr>
                <w:p>
                  <w:pPr>
                    <w:jc w:val="center"/>
                    <w:rPr>
                      <w:b/>
                      <w:color w:val="auto"/>
                      <w:u w:val="single" w:color="auto"/>
                    </w:rPr>
                  </w:pPr>
                  <w:r>
                    <w:rPr>
                      <w:rFonts w:hint="eastAsia"/>
                      <w:b/>
                      <w:color w:val="auto"/>
                      <w:u w:val="single" w:color="auto"/>
                    </w:rPr>
                    <w:t>有组织排放</w:t>
                  </w:r>
                </w:p>
              </w:tc>
              <w:tc>
                <w:tcPr>
                  <w:tcW w:w="1798" w:type="dxa"/>
                  <w:gridSpan w:val="2"/>
                  <w:vAlign w:val="center"/>
                </w:tcPr>
                <w:p>
                  <w:pPr>
                    <w:jc w:val="center"/>
                    <w:rPr>
                      <w:b/>
                      <w:color w:val="auto"/>
                      <w:u w:val="single" w:color="auto"/>
                    </w:rPr>
                  </w:pPr>
                  <w:r>
                    <w:rPr>
                      <w:rFonts w:hint="eastAsia"/>
                      <w:b/>
                      <w:color w:val="auto"/>
                      <w:u w:val="single" w:color="auto"/>
                    </w:rPr>
                    <w:t>无组织排放</w:t>
                  </w:r>
                </w:p>
              </w:tc>
              <w:tc>
                <w:tcPr>
                  <w:tcW w:w="899" w:type="dxa"/>
                  <w:vMerge w:val="continue"/>
                  <w:vAlign w:val="center"/>
                </w:tcPr>
                <w:p>
                  <w:pPr>
                    <w:jc w:val="center"/>
                    <w:rPr>
                      <w:color w:val="auto"/>
                      <w:u w:val="singl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2" w:hRule="atLeast"/>
              </w:trPr>
              <w:tc>
                <w:tcPr>
                  <w:tcW w:w="427" w:type="dxa"/>
                  <w:vMerge w:val="continue"/>
                  <w:vAlign w:val="center"/>
                </w:tcPr>
                <w:p>
                  <w:pPr>
                    <w:jc w:val="center"/>
                    <w:rPr>
                      <w:color w:val="auto"/>
                      <w:u w:val="single" w:color="auto"/>
                    </w:rPr>
                  </w:pPr>
                </w:p>
              </w:tc>
              <w:tc>
                <w:tcPr>
                  <w:tcW w:w="742" w:type="dxa"/>
                  <w:vMerge w:val="continue"/>
                  <w:vAlign w:val="center"/>
                </w:tcPr>
                <w:p>
                  <w:pPr>
                    <w:jc w:val="center"/>
                    <w:rPr>
                      <w:color w:val="auto"/>
                      <w:u w:val="single" w:color="auto"/>
                    </w:rPr>
                  </w:pPr>
                </w:p>
              </w:tc>
              <w:tc>
                <w:tcPr>
                  <w:tcW w:w="1048" w:type="dxa"/>
                  <w:vMerge w:val="continue"/>
                  <w:vAlign w:val="center"/>
                </w:tcPr>
                <w:p>
                  <w:pPr>
                    <w:jc w:val="center"/>
                    <w:rPr>
                      <w:color w:val="auto"/>
                      <w:u w:val="single" w:color="auto"/>
                    </w:rPr>
                  </w:pPr>
                </w:p>
              </w:tc>
              <w:tc>
                <w:tcPr>
                  <w:tcW w:w="940" w:type="dxa"/>
                  <w:vAlign w:val="center"/>
                </w:tcPr>
                <w:p>
                  <w:pPr>
                    <w:jc w:val="center"/>
                    <w:rPr>
                      <w:b/>
                      <w:color w:val="auto"/>
                      <w:u w:val="single" w:color="auto"/>
                    </w:rPr>
                  </w:pPr>
                  <w:r>
                    <w:rPr>
                      <w:rFonts w:hint="eastAsia"/>
                      <w:b/>
                      <w:color w:val="auto"/>
                      <w:u w:val="single" w:color="auto"/>
                    </w:rPr>
                    <w:t>产生量t</w:t>
                  </w:r>
                  <w:r>
                    <w:rPr>
                      <w:b/>
                      <w:color w:val="auto"/>
                      <w:u w:val="single" w:color="auto"/>
                    </w:rPr>
                    <w:t>/a</w:t>
                  </w:r>
                </w:p>
              </w:tc>
              <w:tc>
                <w:tcPr>
                  <w:tcW w:w="798" w:type="dxa"/>
                  <w:vAlign w:val="center"/>
                </w:tcPr>
                <w:p>
                  <w:pPr>
                    <w:jc w:val="center"/>
                    <w:rPr>
                      <w:rFonts w:hint="eastAsia"/>
                      <w:b/>
                      <w:color w:val="auto"/>
                      <w:u w:val="single" w:color="auto"/>
                    </w:rPr>
                  </w:pPr>
                  <w:r>
                    <w:rPr>
                      <w:rFonts w:hint="eastAsia"/>
                      <w:b/>
                      <w:color w:val="auto"/>
                      <w:u w:val="single" w:color="auto"/>
                    </w:rPr>
                    <w:t>产生</w:t>
                  </w:r>
                </w:p>
                <w:p>
                  <w:pPr>
                    <w:jc w:val="center"/>
                    <w:rPr>
                      <w:b/>
                      <w:color w:val="auto"/>
                      <w:u w:val="single" w:color="auto"/>
                    </w:rPr>
                  </w:pPr>
                  <w:r>
                    <w:rPr>
                      <w:rFonts w:hint="eastAsia"/>
                      <w:b/>
                      <w:color w:val="auto"/>
                      <w:u w:val="single" w:color="auto"/>
                    </w:rPr>
                    <w:t>浓度m</w:t>
                  </w:r>
                  <w:r>
                    <w:rPr>
                      <w:b/>
                      <w:color w:val="auto"/>
                      <w:u w:val="single" w:color="auto"/>
                    </w:rPr>
                    <w:t>g/m</w:t>
                  </w:r>
                  <w:r>
                    <w:rPr>
                      <w:b/>
                      <w:color w:val="auto"/>
                      <w:u w:val="single" w:color="auto"/>
                      <w:vertAlign w:val="superscript"/>
                    </w:rPr>
                    <w:t>3</w:t>
                  </w:r>
                </w:p>
              </w:tc>
              <w:tc>
                <w:tcPr>
                  <w:tcW w:w="851" w:type="dxa"/>
                  <w:vAlign w:val="center"/>
                </w:tcPr>
                <w:p>
                  <w:pPr>
                    <w:jc w:val="center"/>
                    <w:rPr>
                      <w:b/>
                      <w:color w:val="auto"/>
                      <w:u w:val="single" w:color="auto"/>
                    </w:rPr>
                  </w:pPr>
                  <w:r>
                    <w:rPr>
                      <w:rFonts w:hint="eastAsia"/>
                      <w:b/>
                      <w:color w:val="auto"/>
                      <w:u w:val="single" w:color="auto"/>
                    </w:rPr>
                    <w:t>产生速率k</w:t>
                  </w:r>
                  <w:r>
                    <w:rPr>
                      <w:b/>
                      <w:color w:val="auto"/>
                      <w:u w:val="single" w:color="auto"/>
                    </w:rPr>
                    <w:t>g/h</w:t>
                  </w:r>
                </w:p>
              </w:tc>
              <w:tc>
                <w:tcPr>
                  <w:tcW w:w="967" w:type="dxa"/>
                  <w:vAlign w:val="center"/>
                </w:tcPr>
                <w:p>
                  <w:pPr>
                    <w:jc w:val="center"/>
                    <w:rPr>
                      <w:b/>
                      <w:color w:val="auto"/>
                      <w:u w:val="single" w:color="auto"/>
                    </w:rPr>
                  </w:pPr>
                  <w:r>
                    <w:rPr>
                      <w:rFonts w:hint="eastAsia"/>
                      <w:b/>
                      <w:color w:val="auto"/>
                      <w:u w:val="single" w:color="auto"/>
                    </w:rPr>
                    <w:t>排放量t</w:t>
                  </w:r>
                  <w:r>
                    <w:rPr>
                      <w:b/>
                      <w:color w:val="auto"/>
                      <w:u w:val="single" w:color="auto"/>
                    </w:rPr>
                    <w:t>/a</w:t>
                  </w:r>
                </w:p>
              </w:tc>
              <w:tc>
                <w:tcPr>
                  <w:tcW w:w="798" w:type="dxa"/>
                  <w:vAlign w:val="center"/>
                </w:tcPr>
                <w:p>
                  <w:pPr>
                    <w:jc w:val="center"/>
                    <w:rPr>
                      <w:rFonts w:hint="eastAsia"/>
                      <w:b/>
                      <w:color w:val="auto"/>
                      <w:u w:val="single" w:color="auto"/>
                    </w:rPr>
                  </w:pPr>
                  <w:r>
                    <w:rPr>
                      <w:rFonts w:hint="eastAsia"/>
                      <w:b/>
                      <w:color w:val="auto"/>
                      <w:u w:val="single" w:color="auto"/>
                    </w:rPr>
                    <w:t>排放</w:t>
                  </w:r>
                </w:p>
                <w:p>
                  <w:pPr>
                    <w:jc w:val="center"/>
                    <w:rPr>
                      <w:b/>
                      <w:color w:val="auto"/>
                      <w:u w:val="single" w:color="auto"/>
                    </w:rPr>
                  </w:pPr>
                  <w:r>
                    <w:rPr>
                      <w:rFonts w:hint="eastAsia"/>
                      <w:b/>
                      <w:color w:val="auto"/>
                      <w:u w:val="single" w:color="auto"/>
                    </w:rPr>
                    <w:t>浓度m</w:t>
                  </w:r>
                  <w:r>
                    <w:rPr>
                      <w:b/>
                      <w:color w:val="auto"/>
                      <w:u w:val="single" w:color="auto"/>
                    </w:rPr>
                    <w:t>g/m</w:t>
                  </w:r>
                  <w:r>
                    <w:rPr>
                      <w:b/>
                      <w:color w:val="auto"/>
                      <w:u w:val="single" w:color="auto"/>
                      <w:vertAlign w:val="superscript"/>
                    </w:rPr>
                    <w:t>3</w:t>
                  </w:r>
                </w:p>
              </w:tc>
              <w:tc>
                <w:tcPr>
                  <w:tcW w:w="899" w:type="dxa"/>
                  <w:vAlign w:val="center"/>
                </w:tcPr>
                <w:p>
                  <w:pPr>
                    <w:jc w:val="center"/>
                    <w:rPr>
                      <w:b/>
                      <w:color w:val="auto"/>
                      <w:u w:val="single" w:color="auto"/>
                    </w:rPr>
                  </w:pPr>
                  <w:r>
                    <w:rPr>
                      <w:rFonts w:hint="eastAsia"/>
                      <w:b/>
                      <w:color w:val="auto"/>
                      <w:u w:val="single" w:color="auto"/>
                    </w:rPr>
                    <w:t>排放量t</w:t>
                  </w:r>
                  <w:r>
                    <w:rPr>
                      <w:b/>
                      <w:color w:val="auto"/>
                      <w:u w:val="single" w:color="auto"/>
                    </w:rPr>
                    <w:t>/a</w:t>
                  </w:r>
                </w:p>
              </w:tc>
              <w:tc>
                <w:tcPr>
                  <w:tcW w:w="899" w:type="dxa"/>
                  <w:vAlign w:val="center"/>
                </w:tcPr>
                <w:p>
                  <w:pPr>
                    <w:jc w:val="center"/>
                    <w:rPr>
                      <w:b/>
                      <w:color w:val="auto"/>
                      <w:u w:val="single" w:color="auto"/>
                    </w:rPr>
                  </w:pPr>
                  <w:r>
                    <w:rPr>
                      <w:rFonts w:hint="eastAsia"/>
                      <w:b/>
                      <w:color w:val="auto"/>
                      <w:u w:val="single" w:color="auto"/>
                    </w:rPr>
                    <w:t>排放速率k</w:t>
                  </w:r>
                  <w:r>
                    <w:rPr>
                      <w:b/>
                      <w:color w:val="auto"/>
                      <w:u w:val="single" w:color="auto"/>
                    </w:rPr>
                    <w:t>g/h</w:t>
                  </w:r>
                </w:p>
              </w:tc>
              <w:tc>
                <w:tcPr>
                  <w:tcW w:w="899" w:type="dxa"/>
                  <w:vMerge w:val="continue"/>
                  <w:vAlign w:val="center"/>
                </w:tcPr>
                <w:p>
                  <w:pPr>
                    <w:jc w:val="center"/>
                    <w:rPr>
                      <w:color w:val="auto"/>
                      <w:u w:val="singl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7" w:hRule="atLeast"/>
              </w:trPr>
              <w:tc>
                <w:tcPr>
                  <w:tcW w:w="427" w:type="dxa"/>
                  <w:vMerge w:val="restart"/>
                  <w:vAlign w:val="center"/>
                </w:tcPr>
                <w:p>
                  <w:pPr>
                    <w:jc w:val="center"/>
                    <w:rPr>
                      <w:rFonts w:hint="default" w:eastAsia="宋体"/>
                      <w:color w:val="auto"/>
                      <w:u w:val="single" w:color="auto"/>
                      <w:lang w:val="en-US" w:eastAsia="zh-CN"/>
                    </w:rPr>
                  </w:pPr>
                  <w:r>
                    <w:rPr>
                      <w:rFonts w:hint="eastAsia"/>
                      <w:color w:val="auto"/>
                      <w:u w:val="single" w:color="auto"/>
                    </w:rPr>
                    <w:t>喷漆</w:t>
                  </w:r>
                  <w:r>
                    <w:rPr>
                      <w:rFonts w:hint="eastAsia"/>
                      <w:color w:val="auto"/>
                      <w:u w:val="single" w:color="auto"/>
                      <w:lang w:eastAsia="zh-CN"/>
                    </w:rPr>
                    <w:t>、喷塑后烘干固化</w:t>
                  </w:r>
                  <w:r>
                    <w:rPr>
                      <w:rFonts w:hint="eastAsia"/>
                      <w:color w:val="auto"/>
                      <w:u w:val="single" w:color="auto"/>
                    </w:rPr>
                    <w:t>工序</w:t>
                  </w:r>
                </w:p>
              </w:tc>
              <w:tc>
                <w:tcPr>
                  <w:tcW w:w="742" w:type="dxa"/>
                  <w:vAlign w:val="center"/>
                </w:tcPr>
                <w:p>
                  <w:pPr>
                    <w:jc w:val="center"/>
                    <w:rPr>
                      <w:color w:val="auto"/>
                      <w:u w:val="single" w:color="auto"/>
                    </w:rPr>
                  </w:pPr>
                  <w:r>
                    <w:rPr>
                      <w:rFonts w:hint="eastAsia"/>
                      <w:color w:val="auto"/>
                      <w:u w:val="single" w:color="auto"/>
                    </w:rPr>
                    <w:t>漆雾</w:t>
                  </w:r>
                </w:p>
              </w:tc>
              <w:tc>
                <w:tcPr>
                  <w:tcW w:w="1048" w:type="dxa"/>
                  <w:vMerge w:val="restart"/>
                  <w:vAlign w:val="center"/>
                </w:tcPr>
                <w:p>
                  <w:pPr>
                    <w:jc w:val="center"/>
                    <w:rPr>
                      <w:color w:val="auto"/>
                      <w:u w:val="single" w:color="auto"/>
                    </w:rPr>
                  </w:pPr>
                  <w:r>
                    <w:rPr>
                      <w:rFonts w:hint="eastAsia"/>
                      <w:color w:val="auto"/>
                      <w:u w:val="single" w:color="auto"/>
                      <w:lang w:val="en-US" w:eastAsia="zh-CN"/>
                    </w:rPr>
                    <w:t>480</w:t>
                  </w:r>
                  <w:r>
                    <w:rPr>
                      <w:rFonts w:hint="eastAsia"/>
                      <w:color w:val="auto"/>
                      <w:u w:val="single" w:color="auto"/>
                    </w:rPr>
                    <w:t>万m</w:t>
                  </w:r>
                  <w:r>
                    <w:rPr>
                      <w:color w:val="auto"/>
                      <w:u w:val="single" w:color="auto"/>
                      <w:vertAlign w:val="superscript"/>
                    </w:rPr>
                    <w:t>3</w:t>
                  </w:r>
                  <w:r>
                    <w:rPr>
                      <w:color w:val="auto"/>
                      <w:u w:val="single" w:color="auto"/>
                    </w:rPr>
                    <w:t>/a</w:t>
                  </w:r>
                </w:p>
              </w:tc>
              <w:tc>
                <w:tcPr>
                  <w:tcW w:w="940"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0.05</w:t>
                  </w:r>
                </w:p>
              </w:tc>
              <w:tc>
                <w:tcPr>
                  <w:tcW w:w="798"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16.6</w:t>
                  </w:r>
                </w:p>
              </w:tc>
              <w:tc>
                <w:tcPr>
                  <w:tcW w:w="851"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0.083</w:t>
                  </w:r>
                </w:p>
              </w:tc>
              <w:tc>
                <w:tcPr>
                  <w:tcW w:w="967"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0.00475</w:t>
                  </w:r>
                </w:p>
              </w:tc>
              <w:tc>
                <w:tcPr>
                  <w:tcW w:w="798"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1.58</w:t>
                  </w:r>
                </w:p>
              </w:tc>
              <w:tc>
                <w:tcPr>
                  <w:tcW w:w="899"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0.0025</w:t>
                  </w:r>
                </w:p>
              </w:tc>
              <w:tc>
                <w:tcPr>
                  <w:tcW w:w="899"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0.00417</w:t>
                  </w:r>
                </w:p>
              </w:tc>
              <w:tc>
                <w:tcPr>
                  <w:tcW w:w="899" w:type="dxa"/>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0.0411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6" w:hRule="atLeast"/>
              </w:trPr>
              <w:tc>
                <w:tcPr>
                  <w:tcW w:w="427" w:type="dxa"/>
                  <w:vMerge w:val="continue"/>
                  <w:tcBorders>
                    <w:bottom w:val="single" w:color="auto" w:sz="4" w:space="0"/>
                  </w:tcBorders>
                  <w:vAlign w:val="center"/>
                </w:tcPr>
                <w:p>
                  <w:pPr>
                    <w:jc w:val="center"/>
                    <w:rPr>
                      <w:color w:val="auto"/>
                      <w:u w:val="single" w:color="auto"/>
                    </w:rPr>
                  </w:pPr>
                </w:p>
              </w:tc>
              <w:tc>
                <w:tcPr>
                  <w:tcW w:w="742" w:type="dxa"/>
                  <w:tcBorders>
                    <w:bottom w:val="single" w:color="auto" w:sz="4" w:space="0"/>
                  </w:tcBorders>
                  <w:vAlign w:val="center"/>
                </w:tcPr>
                <w:p>
                  <w:pPr>
                    <w:jc w:val="center"/>
                    <w:rPr>
                      <w:color w:val="auto"/>
                      <w:u w:val="single" w:color="auto"/>
                    </w:rPr>
                  </w:pPr>
                  <w:r>
                    <w:rPr>
                      <w:rFonts w:hint="eastAsia"/>
                      <w:color w:val="auto"/>
                      <w:u w:val="single" w:color="auto"/>
                    </w:rPr>
                    <w:t>V</w:t>
                  </w:r>
                  <w:r>
                    <w:rPr>
                      <w:color w:val="auto"/>
                      <w:u w:val="single" w:color="auto"/>
                    </w:rPr>
                    <w:t>OCs</w:t>
                  </w:r>
                </w:p>
              </w:tc>
              <w:tc>
                <w:tcPr>
                  <w:tcW w:w="1048" w:type="dxa"/>
                  <w:vMerge w:val="continue"/>
                  <w:tcBorders>
                    <w:bottom w:val="single" w:color="auto" w:sz="4" w:space="0"/>
                  </w:tcBorders>
                  <w:vAlign w:val="center"/>
                </w:tcPr>
                <w:p>
                  <w:pPr>
                    <w:jc w:val="center"/>
                    <w:rPr>
                      <w:color w:val="auto"/>
                      <w:u w:val="single" w:color="auto"/>
                    </w:rPr>
                  </w:pPr>
                </w:p>
              </w:tc>
              <w:tc>
                <w:tcPr>
                  <w:tcW w:w="940"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0.575</w:t>
                  </w:r>
                </w:p>
              </w:tc>
              <w:tc>
                <w:tcPr>
                  <w:tcW w:w="798"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119.8</w:t>
                  </w:r>
                </w:p>
              </w:tc>
              <w:tc>
                <w:tcPr>
                  <w:tcW w:w="851"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0.479</w:t>
                  </w:r>
                </w:p>
              </w:tc>
              <w:tc>
                <w:tcPr>
                  <w:tcW w:w="967"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0.1143</w:t>
                  </w:r>
                </w:p>
              </w:tc>
              <w:tc>
                <w:tcPr>
                  <w:tcW w:w="798"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24</w:t>
                  </w:r>
                </w:p>
              </w:tc>
              <w:tc>
                <w:tcPr>
                  <w:tcW w:w="899"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0.00375</w:t>
                  </w:r>
                </w:p>
              </w:tc>
              <w:tc>
                <w:tcPr>
                  <w:tcW w:w="899"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0.00625</w:t>
                  </w:r>
                </w:p>
              </w:tc>
              <w:tc>
                <w:tcPr>
                  <w:tcW w:w="899"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64" w:hRule="atLeast"/>
              </w:trPr>
              <w:tc>
                <w:tcPr>
                  <w:tcW w:w="427"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eastAsia="zh-CN"/>
                    </w:rPr>
                    <w:t>喷塑工序</w:t>
                  </w:r>
                  <w:r>
                    <w:rPr>
                      <w:rFonts w:hint="eastAsia"/>
                      <w:color w:val="auto"/>
                      <w:u w:val="single" w:color="auto"/>
                      <w:lang w:val="en-US" w:eastAsia="zh-CN"/>
                    </w:rPr>
                    <w:t>1#</w:t>
                  </w:r>
                </w:p>
              </w:tc>
              <w:tc>
                <w:tcPr>
                  <w:tcW w:w="742" w:type="dxa"/>
                  <w:tcBorders>
                    <w:bottom w:val="single" w:color="auto" w:sz="4" w:space="0"/>
                  </w:tcBorders>
                  <w:vAlign w:val="center"/>
                </w:tcPr>
                <w:p>
                  <w:pPr>
                    <w:jc w:val="center"/>
                    <w:rPr>
                      <w:rFonts w:hint="eastAsia" w:eastAsia="宋体"/>
                      <w:color w:val="auto"/>
                      <w:u w:val="single" w:color="auto"/>
                      <w:lang w:eastAsia="zh-CN"/>
                    </w:rPr>
                  </w:pPr>
                  <w:r>
                    <w:rPr>
                      <w:rFonts w:hint="eastAsia"/>
                      <w:color w:val="auto"/>
                      <w:u w:val="single" w:color="auto"/>
                      <w:lang w:eastAsia="zh-CN"/>
                    </w:rPr>
                    <w:t>粉尘</w:t>
                  </w:r>
                </w:p>
              </w:tc>
              <w:tc>
                <w:tcPr>
                  <w:tcW w:w="1048"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300</w:t>
                  </w:r>
                  <w:r>
                    <w:rPr>
                      <w:rFonts w:hint="eastAsia"/>
                      <w:color w:val="auto"/>
                      <w:u w:val="single" w:color="auto"/>
                    </w:rPr>
                    <w:t>万m</w:t>
                  </w:r>
                  <w:r>
                    <w:rPr>
                      <w:color w:val="auto"/>
                      <w:u w:val="single" w:color="auto"/>
                      <w:vertAlign w:val="superscript"/>
                    </w:rPr>
                    <w:t>3</w:t>
                  </w:r>
                  <w:r>
                    <w:rPr>
                      <w:color w:val="auto"/>
                      <w:u w:val="single" w:color="auto"/>
                    </w:rPr>
                    <w:t>/a</w:t>
                  </w:r>
                </w:p>
              </w:tc>
              <w:tc>
                <w:tcPr>
                  <w:tcW w:w="940" w:type="dxa"/>
                  <w:tcBorders>
                    <w:bottom w:val="single" w:color="auto" w:sz="4" w:space="0"/>
                  </w:tcBorders>
                  <w:vAlign w:val="center"/>
                </w:tcPr>
                <w:p>
                  <w:pPr>
                    <w:jc w:val="center"/>
                    <w:rPr>
                      <w:rFonts w:hint="default"/>
                      <w:color w:val="auto"/>
                      <w:u w:val="single" w:color="auto"/>
                      <w:lang w:val="en-US" w:eastAsia="zh-CN"/>
                    </w:rPr>
                  </w:pPr>
                  <w:r>
                    <w:rPr>
                      <w:rFonts w:hint="eastAsia"/>
                      <w:color w:val="auto"/>
                      <w:u w:val="single" w:color="auto"/>
                      <w:lang w:val="en-US" w:eastAsia="zh-CN"/>
                    </w:rPr>
                    <w:t>0.5</w:t>
                  </w:r>
                </w:p>
              </w:tc>
              <w:tc>
                <w:tcPr>
                  <w:tcW w:w="798"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166.67</w:t>
                  </w:r>
                </w:p>
              </w:tc>
              <w:tc>
                <w:tcPr>
                  <w:tcW w:w="851"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0.5</w:t>
                  </w:r>
                </w:p>
              </w:tc>
              <w:tc>
                <w:tcPr>
                  <w:tcW w:w="967"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0.025</w:t>
                  </w:r>
                </w:p>
              </w:tc>
              <w:tc>
                <w:tcPr>
                  <w:tcW w:w="798"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8.33</w:t>
                  </w:r>
                </w:p>
              </w:tc>
              <w:tc>
                <w:tcPr>
                  <w:tcW w:w="899" w:type="dxa"/>
                  <w:tcBorders>
                    <w:bottom w:val="single" w:color="auto" w:sz="4" w:space="0"/>
                  </w:tcBorders>
                  <w:vAlign w:val="center"/>
                </w:tcPr>
                <w:p>
                  <w:pPr>
                    <w:jc w:val="center"/>
                    <w:rPr>
                      <w:rFonts w:hint="default"/>
                      <w:color w:val="auto"/>
                      <w:u w:val="single" w:color="auto"/>
                      <w:lang w:val="en-US" w:eastAsia="zh-CN"/>
                    </w:rPr>
                  </w:pPr>
                  <w:r>
                    <w:rPr>
                      <w:rFonts w:hint="eastAsia"/>
                      <w:color w:val="auto"/>
                      <w:u w:val="single" w:color="auto"/>
                      <w:lang w:val="en-US" w:eastAsia="zh-CN"/>
                    </w:rPr>
                    <w:t>/</w:t>
                  </w:r>
                </w:p>
              </w:tc>
              <w:tc>
                <w:tcPr>
                  <w:tcW w:w="899"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w:t>
                  </w:r>
                </w:p>
              </w:tc>
              <w:tc>
                <w:tcPr>
                  <w:tcW w:w="899" w:type="dxa"/>
                  <w:tcBorders>
                    <w:bottom w:val="single" w:color="auto" w:sz="4" w:space="0"/>
                  </w:tcBorders>
                  <w:vAlign w:val="center"/>
                </w:tcPr>
                <w:p>
                  <w:pPr>
                    <w:jc w:val="center"/>
                    <w:rPr>
                      <w:rFonts w:hint="default" w:eastAsia="宋体"/>
                      <w:color w:val="auto"/>
                      <w:u w:val="single" w:color="auto"/>
                      <w:lang w:val="en-US" w:eastAsia="zh-CN"/>
                    </w:rPr>
                  </w:pPr>
                  <w:r>
                    <w:rPr>
                      <w:rFonts w:hint="eastAsia"/>
                      <w:color w:val="auto"/>
                      <w:u w:val="single" w:color="auto"/>
                      <w:lang w:val="en-US" w:eastAsia="zh-CN"/>
                    </w:rPr>
                    <w:t>0.475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42" w:hRule="atLeast"/>
              </w:trPr>
              <w:tc>
                <w:tcPr>
                  <w:tcW w:w="427" w:type="dxa"/>
                  <w:vAlign w:val="center"/>
                </w:tcPr>
                <w:p>
                  <w:pPr>
                    <w:jc w:val="center"/>
                    <w:rPr>
                      <w:rFonts w:hint="eastAsia"/>
                      <w:color w:val="auto"/>
                      <w:u w:val="single" w:color="auto"/>
                      <w:lang w:eastAsia="zh-CN"/>
                    </w:rPr>
                  </w:pPr>
                  <w:r>
                    <w:rPr>
                      <w:rFonts w:hint="eastAsia"/>
                      <w:color w:val="auto"/>
                      <w:u w:val="single" w:color="auto"/>
                      <w:lang w:eastAsia="zh-CN"/>
                    </w:rPr>
                    <w:t>焊接工序</w:t>
                  </w:r>
                </w:p>
              </w:tc>
              <w:tc>
                <w:tcPr>
                  <w:tcW w:w="742" w:type="dxa"/>
                  <w:vAlign w:val="center"/>
                </w:tcPr>
                <w:p>
                  <w:pPr>
                    <w:jc w:val="center"/>
                    <w:rPr>
                      <w:rFonts w:hint="eastAsia"/>
                      <w:color w:val="auto"/>
                      <w:u w:val="single" w:color="auto"/>
                      <w:lang w:eastAsia="zh-CN"/>
                    </w:rPr>
                  </w:pPr>
                  <w:r>
                    <w:rPr>
                      <w:rFonts w:hint="eastAsia"/>
                      <w:color w:val="auto"/>
                      <w:u w:val="single" w:color="auto"/>
                      <w:lang w:eastAsia="zh-CN"/>
                    </w:rPr>
                    <w:t>烟尘</w:t>
                  </w:r>
                </w:p>
              </w:tc>
              <w:tc>
                <w:tcPr>
                  <w:tcW w:w="1048" w:type="dxa"/>
                  <w:vAlign w:val="center"/>
                </w:tcPr>
                <w:p>
                  <w:pPr>
                    <w:jc w:val="center"/>
                    <w:rPr>
                      <w:rFonts w:hint="eastAsia" w:eastAsia="宋体"/>
                      <w:color w:val="auto"/>
                      <w:u w:val="single" w:color="auto"/>
                      <w:lang w:val="en-US" w:eastAsia="zh-CN"/>
                    </w:rPr>
                  </w:pPr>
                  <w:r>
                    <w:rPr>
                      <w:rFonts w:hint="eastAsia"/>
                      <w:color w:val="auto"/>
                      <w:u w:val="single" w:color="auto"/>
                      <w:lang w:val="en-US" w:eastAsia="zh-CN"/>
                    </w:rPr>
                    <w:t>/</w:t>
                  </w:r>
                </w:p>
              </w:tc>
              <w:tc>
                <w:tcPr>
                  <w:tcW w:w="940" w:type="dxa"/>
                  <w:vAlign w:val="center"/>
                </w:tcPr>
                <w:p>
                  <w:pPr>
                    <w:jc w:val="center"/>
                    <w:rPr>
                      <w:rFonts w:hint="default"/>
                      <w:color w:val="auto"/>
                      <w:u w:val="single" w:color="auto"/>
                      <w:lang w:val="en-US" w:eastAsia="zh-CN"/>
                    </w:rPr>
                  </w:pPr>
                  <w:r>
                    <w:rPr>
                      <w:rFonts w:hint="eastAsia"/>
                      <w:color w:val="auto"/>
                      <w:u w:val="single" w:color="auto"/>
                      <w:lang w:val="en-US" w:eastAsia="zh-CN"/>
                    </w:rPr>
                    <w:t>0.008</w:t>
                  </w:r>
                </w:p>
              </w:tc>
              <w:tc>
                <w:tcPr>
                  <w:tcW w:w="798" w:type="dxa"/>
                  <w:vAlign w:val="center"/>
                </w:tcPr>
                <w:p>
                  <w:pPr>
                    <w:jc w:val="center"/>
                    <w:rPr>
                      <w:rFonts w:hint="default"/>
                      <w:color w:val="auto"/>
                      <w:u w:val="single" w:color="auto"/>
                      <w:lang w:val="en-US" w:eastAsia="zh-CN"/>
                    </w:rPr>
                  </w:pPr>
                  <w:r>
                    <w:rPr>
                      <w:rFonts w:hint="eastAsia"/>
                      <w:color w:val="auto"/>
                      <w:u w:val="single" w:color="auto"/>
                      <w:lang w:val="en-US" w:eastAsia="zh-CN"/>
                    </w:rPr>
                    <w:t>/</w:t>
                  </w:r>
                </w:p>
              </w:tc>
              <w:tc>
                <w:tcPr>
                  <w:tcW w:w="851" w:type="dxa"/>
                  <w:vAlign w:val="center"/>
                </w:tcPr>
                <w:p>
                  <w:pPr>
                    <w:jc w:val="center"/>
                    <w:rPr>
                      <w:rFonts w:hint="default"/>
                      <w:color w:val="auto"/>
                      <w:u w:val="single" w:color="auto"/>
                      <w:lang w:val="en-US" w:eastAsia="zh-CN"/>
                    </w:rPr>
                  </w:pPr>
                  <w:r>
                    <w:rPr>
                      <w:rFonts w:hint="eastAsia"/>
                      <w:color w:val="auto"/>
                      <w:u w:val="single" w:color="auto"/>
                      <w:lang w:val="en-US" w:eastAsia="zh-CN"/>
                    </w:rPr>
                    <w:t>/</w:t>
                  </w:r>
                </w:p>
              </w:tc>
              <w:tc>
                <w:tcPr>
                  <w:tcW w:w="967" w:type="dxa"/>
                  <w:vAlign w:val="center"/>
                </w:tcPr>
                <w:p>
                  <w:pPr>
                    <w:jc w:val="center"/>
                    <w:rPr>
                      <w:rFonts w:hint="default"/>
                      <w:color w:val="auto"/>
                      <w:u w:val="single" w:color="auto"/>
                      <w:lang w:val="en-US" w:eastAsia="zh-CN"/>
                    </w:rPr>
                  </w:pPr>
                  <w:r>
                    <w:rPr>
                      <w:rFonts w:hint="eastAsia"/>
                      <w:color w:val="auto"/>
                      <w:u w:val="single" w:color="auto"/>
                      <w:lang w:val="en-US" w:eastAsia="zh-CN"/>
                    </w:rPr>
                    <w:t>/</w:t>
                  </w:r>
                </w:p>
              </w:tc>
              <w:tc>
                <w:tcPr>
                  <w:tcW w:w="798" w:type="dxa"/>
                  <w:vAlign w:val="center"/>
                </w:tcPr>
                <w:p>
                  <w:pPr>
                    <w:jc w:val="center"/>
                    <w:rPr>
                      <w:rFonts w:hint="default"/>
                      <w:color w:val="auto"/>
                      <w:u w:val="single" w:color="auto"/>
                      <w:lang w:val="en-US" w:eastAsia="zh-CN"/>
                    </w:rPr>
                  </w:pPr>
                  <w:r>
                    <w:rPr>
                      <w:rFonts w:hint="eastAsia"/>
                      <w:color w:val="auto"/>
                      <w:u w:val="single" w:color="auto"/>
                      <w:lang w:val="en-US" w:eastAsia="zh-CN"/>
                    </w:rPr>
                    <w:t>/</w:t>
                  </w:r>
                </w:p>
              </w:tc>
              <w:tc>
                <w:tcPr>
                  <w:tcW w:w="899" w:type="dxa"/>
                  <w:vAlign w:val="center"/>
                </w:tcPr>
                <w:p>
                  <w:pPr>
                    <w:jc w:val="center"/>
                    <w:rPr>
                      <w:rFonts w:hint="default"/>
                      <w:color w:val="auto"/>
                      <w:u w:val="single" w:color="auto"/>
                      <w:lang w:val="en-US" w:eastAsia="zh-CN"/>
                    </w:rPr>
                  </w:pPr>
                  <w:r>
                    <w:rPr>
                      <w:rFonts w:hint="eastAsia"/>
                      <w:color w:val="auto"/>
                      <w:u w:val="single" w:color="auto"/>
                      <w:lang w:val="en-US" w:eastAsia="zh-CN"/>
                    </w:rPr>
                    <w:t>0.00152</w:t>
                  </w:r>
                </w:p>
              </w:tc>
              <w:tc>
                <w:tcPr>
                  <w:tcW w:w="899" w:type="dxa"/>
                  <w:vAlign w:val="center"/>
                </w:tcPr>
                <w:p>
                  <w:pPr>
                    <w:jc w:val="center"/>
                    <w:rPr>
                      <w:rFonts w:hint="default"/>
                      <w:color w:val="auto"/>
                      <w:u w:val="single" w:color="auto"/>
                      <w:lang w:val="en-US" w:eastAsia="zh-CN"/>
                    </w:rPr>
                  </w:pPr>
                  <w:r>
                    <w:rPr>
                      <w:rFonts w:hint="eastAsia"/>
                      <w:color w:val="auto"/>
                      <w:u w:val="single" w:color="auto"/>
                      <w:lang w:val="en-US" w:eastAsia="zh-CN"/>
                    </w:rPr>
                    <w:t>/</w:t>
                  </w:r>
                </w:p>
              </w:tc>
              <w:tc>
                <w:tcPr>
                  <w:tcW w:w="899" w:type="dxa"/>
                  <w:vAlign w:val="center"/>
                </w:tcPr>
                <w:p>
                  <w:pPr>
                    <w:jc w:val="center"/>
                    <w:rPr>
                      <w:rFonts w:hint="default"/>
                      <w:color w:val="auto"/>
                      <w:u w:val="single" w:color="auto"/>
                      <w:lang w:val="en-US" w:eastAsia="zh-CN"/>
                    </w:rPr>
                  </w:pPr>
                  <w:r>
                    <w:rPr>
                      <w:rFonts w:hint="eastAsia"/>
                      <w:color w:val="auto"/>
                      <w:u w:val="single" w:color="auto"/>
                      <w:lang w:val="en-US" w:eastAsia="zh-CN"/>
                    </w:rPr>
                    <w:t>0.00648</w:t>
                  </w:r>
                </w:p>
              </w:tc>
            </w:tr>
          </w:tbl>
          <w:p>
            <w:pPr>
              <w:snapToGrid w:val="0"/>
              <w:spacing w:line="360" w:lineRule="auto"/>
              <w:ind w:firstLine="462" w:firstLineChars="200"/>
              <w:rPr>
                <w:color w:val="auto"/>
                <w:sz w:val="24"/>
                <w:u w:val="none" w:color="auto"/>
              </w:rPr>
            </w:pPr>
            <w:r>
              <w:rPr>
                <w:color w:val="auto"/>
                <w:sz w:val="24"/>
                <w:u w:val="none" w:color="auto"/>
              </w:rPr>
              <w:t>3、噪声</w:t>
            </w:r>
            <w:r>
              <w:rPr>
                <w:rFonts w:hint="eastAsia"/>
                <w:color w:val="auto"/>
                <w:sz w:val="24"/>
                <w:u w:val="none" w:color="auto"/>
              </w:rPr>
              <w:t xml:space="preserve"> </w:t>
            </w:r>
          </w:p>
          <w:p>
            <w:pPr>
              <w:snapToGrid w:val="0"/>
              <w:spacing w:line="360" w:lineRule="auto"/>
              <w:ind w:firstLine="470"/>
              <w:rPr>
                <w:color w:val="auto"/>
                <w:sz w:val="24"/>
                <w:u w:val="none" w:color="auto"/>
              </w:rPr>
            </w:pPr>
            <w:r>
              <w:rPr>
                <w:color w:val="auto"/>
                <w:sz w:val="24"/>
                <w:u w:val="none" w:color="auto"/>
              </w:rPr>
              <w:t>本项目营运期主要噪声源为车间中的生产设备，主要为</w:t>
            </w:r>
            <w:r>
              <w:rPr>
                <w:rFonts w:hint="eastAsia"/>
                <w:color w:val="auto"/>
                <w:sz w:val="24"/>
                <w:u w:val="none" w:color="auto"/>
                <w:lang w:eastAsia="zh-CN"/>
              </w:rPr>
              <w:t>空压机、焊接机、切割机</w:t>
            </w:r>
            <w:r>
              <w:rPr>
                <w:color w:val="auto"/>
                <w:sz w:val="24"/>
                <w:u w:val="none" w:color="auto"/>
              </w:rPr>
              <w:t>等运行过程所产生的噪声，根据类比分析，噪声值为</w:t>
            </w:r>
            <w:r>
              <w:rPr>
                <w:rFonts w:hint="eastAsia"/>
                <w:color w:val="auto"/>
                <w:sz w:val="24"/>
                <w:u w:val="none" w:color="auto"/>
                <w:lang w:val="en-US" w:eastAsia="zh-CN"/>
              </w:rPr>
              <w:t>80-90</w:t>
            </w:r>
            <w:r>
              <w:rPr>
                <w:b/>
                <w:color w:val="auto"/>
                <w:szCs w:val="21"/>
                <w:u w:val="none" w:color="auto"/>
              </w:rPr>
              <w:t xml:space="preserve"> </w:t>
            </w:r>
            <w:r>
              <w:rPr>
                <w:color w:val="auto"/>
                <w:szCs w:val="21"/>
                <w:u w:val="none" w:color="auto"/>
              </w:rPr>
              <w:t>dB(A)。</w:t>
            </w:r>
          </w:p>
          <w:p>
            <w:pPr>
              <w:snapToGrid w:val="0"/>
              <w:spacing w:line="360" w:lineRule="auto"/>
              <w:ind w:firstLine="470"/>
              <w:rPr>
                <w:b/>
                <w:color w:val="auto"/>
                <w:sz w:val="24"/>
                <w:szCs w:val="24"/>
                <w:u w:val="none" w:color="auto"/>
              </w:rPr>
            </w:pPr>
            <w:r>
              <w:rPr>
                <w:color w:val="auto"/>
                <w:sz w:val="24"/>
                <w:u w:val="none" w:color="auto"/>
              </w:rPr>
              <w:t>本项目营运期噪声源及其噪声值见表5-</w:t>
            </w:r>
            <w:r>
              <w:rPr>
                <w:rFonts w:hint="eastAsia"/>
                <w:color w:val="auto"/>
                <w:sz w:val="24"/>
                <w:u w:val="none" w:color="auto"/>
                <w:lang w:val="en-US" w:eastAsia="zh-CN"/>
              </w:rPr>
              <w:t>9</w:t>
            </w:r>
            <w:r>
              <w:rPr>
                <w:color w:val="auto"/>
                <w:sz w:val="24"/>
                <w:u w:val="none" w:color="auto"/>
              </w:rPr>
              <w:t>示</w:t>
            </w:r>
            <w:r>
              <w:rPr>
                <w:rFonts w:hint="eastAsia"/>
                <w:color w:val="auto"/>
                <w:sz w:val="24"/>
                <w:u w:val="none" w:color="auto"/>
              </w:rPr>
              <w:t>：</w:t>
            </w:r>
          </w:p>
          <w:p>
            <w:pPr>
              <w:adjustRightInd w:val="0"/>
              <w:snapToGrid w:val="0"/>
              <w:jc w:val="center"/>
              <w:rPr>
                <w:b/>
                <w:color w:val="auto"/>
                <w:szCs w:val="21"/>
                <w:u w:val="none" w:color="auto"/>
              </w:rPr>
            </w:pPr>
            <w:r>
              <w:rPr>
                <w:b/>
                <w:color w:val="auto"/>
                <w:sz w:val="24"/>
                <w:szCs w:val="24"/>
                <w:u w:val="none" w:color="auto"/>
              </w:rPr>
              <w:t>表5-</w:t>
            </w:r>
            <w:r>
              <w:rPr>
                <w:rFonts w:hint="eastAsia"/>
                <w:b/>
                <w:color w:val="auto"/>
                <w:sz w:val="24"/>
                <w:szCs w:val="24"/>
                <w:u w:val="none" w:color="auto"/>
                <w:lang w:val="en-US" w:eastAsia="zh-CN"/>
              </w:rPr>
              <w:t>9</w:t>
            </w:r>
            <w:r>
              <w:rPr>
                <w:b/>
                <w:color w:val="auto"/>
                <w:sz w:val="24"/>
                <w:szCs w:val="24"/>
                <w:u w:val="none" w:color="auto"/>
              </w:rPr>
              <w:t xml:space="preserve">  本项目营运期噪声源及噪声声级值一览表  </w:t>
            </w:r>
            <w:r>
              <w:rPr>
                <w:b/>
                <w:color w:val="auto"/>
                <w:szCs w:val="21"/>
                <w:u w:val="none" w:color="auto"/>
              </w:rPr>
              <w:t>单位：dB(A)</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88"/>
              <w:gridCol w:w="3088"/>
              <w:gridCol w:w="30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666" w:type="pct"/>
                  <w:noWrap w:val="0"/>
                  <w:vAlign w:val="center"/>
                </w:tcPr>
                <w:p>
                  <w:pPr>
                    <w:pStyle w:val="184"/>
                    <w:rPr>
                      <w:color w:val="auto"/>
                      <w:u w:val="none" w:color="auto"/>
                    </w:rPr>
                  </w:pPr>
                  <w:r>
                    <w:rPr>
                      <w:color w:val="auto"/>
                      <w:u w:val="none" w:color="auto"/>
                    </w:rPr>
                    <w:t>序号</w:t>
                  </w:r>
                </w:p>
              </w:tc>
              <w:tc>
                <w:tcPr>
                  <w:tcW w:w="1666" w:type="pct"/>
                  <w:noWrap w:val="0"/>
                  <w:vAlign w:val="center"/>
                </w:tcPr>
                <w:p>
                  <w:pPr>
                    <w:pStyle w:val="184"/>
                    <w:rPr>
                      <w:color w:val="auto"/>
                      <w:u w:val="none" w:color="auto"/>
                    </w:rPr>
                  </w:pPr>
                  <w:r>
                    <w:rPr>
                      <w:color w:val="auto"/>
                      <w:u w:val="none" w:color="auto"/>
                    </w:rPr>
                    <w:t>名称</w:t>
                  </w:r>
                </w:p>
              </w:tc>
              <w:tc>
                <w:tcPr>
                  <w:tcW w:w="1666" w:type="pct"/>
                  <w:noWrap w:val="0"/>
                  <w:vAlign w:val="center"/>
                </w:tcPr>
                <w:p>
                  <w:pPr>
                    <w:pStyle w:val="184"/>
                    <w:rPr>
                      <w:color w:val="auto"/>
                      <w:u w:val="none" w:color="auto"/>
                    </w:rPr>
                  </w:pPr>
                  <w:r>
                    <w:rPr>
                      <w:color w:val="auto"/>
                      <w:u w:val="none" w:color="auto"/>
                    </w:rPr>
                    <w:t>源强dB(A)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666" w:type="pct"/>
                  <w:noWrap w:val="0"/>
                  <w:vAlign w:val="center"/>
                </w:tcPr>
                <w:p>
                  <w:pPr>
                    <w:pStyle w:val="184"/>
                    <w:rPr>
                      <w:color w:val="auto"/>
                      <w:u w:val="none" w:color="auto"/>
                    </w:rPr>
                  </w:pPr>
                  <w:r>
                    <w:rPr>
                      <w:color w:val="auto"/>
                      <w:u w:val="none" w:color="auto"/>
                    </w:rPr>
                    <w:t>1</w:t>
                  </w:r>
                </w:p>
              </w:tc>
              <w:tc>
                <w:tcPr>
                  <w:tcW w:w="1666" w:type="pct"/>
                  <w:noWrap w:val="0"/>
                  <w:vAlign w:val="top"/>
                </w:tcPr>
                <w:p>
                  <w:pPr>
                    <w:pStyle w:val="184"/>
                    <w:rPr>
                      <w:rFonts w:hint="eastAsia" w:eastAsia="宋体"/>
                      <w:color w:val="auto"/>
                      <w:u w:val="none" w:color="auto"/>
                      <w:lang w:eastAsia="zh-CN"/>
                    </w:rPr>
                  </w:pPr>
                  <w:r>
                    <w:rPr>
                      <w:rFonts w:hint="eastAsia"/>
                      <w:color w:val="auto"/>
                      <w:u w:val="none" w:color="auto"/>
                      <w:lang w:eastAsia="zh-CN"/>
                    </w:rPr>
                    <w:t>焊接机</w:t>
                  </w:r>
                </w:p>
              </w:tc>
              <w:tc>
                <w:tcPr>
                  <w:tcW w:w="1666" w:type="pct"/>
                  <w:noWrap w:val="0"/>
                  <w:vAlign w:val="top"/>
                </w:tcPr>
                <w:p>
                  <w:pPr>
                    <w:pStyle w:val="184"/>
                    <w:rPr>
                      <w:color w:val="auto"/>
                      <w:u w:val="none" w:color="auto"/>
                    </w:rPr>
                  </w:pPr>
                  <w:r>
                    <w:rPr>
                      <w:color w:val="auto"/>
                      <w:u w:val="none" w:color="auto"/>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666" w:type="pct"/>
                  <w:noWrap w:val="0"/>
                  <w:vAlign w:val="center"/>
                </w:tcPr>
                <w:p>
                  <w:pPr>
                    <w:pStyle w:val="184"/>
                    <w:rPr>
                      <w:color w:val="auto"/>
                      <w:u w:val="none" w:color="auto"/>
                    </w:rPr>
                  </w:pPr>
                  <w:r>
                    <w:rPr>
                      <w:color w:val="auto"/>
                      <w:u w:val="none" w:color="auto"/>
                    </w:rPr>
                    <w:t>2</w:t>
                  </w:r>
                </w:p>
              </w:tc>
              <w:tc>
                <w:tcPr>
                  <w:tcW w:w="1666" w:type="pct"/>
                  <w:noWrap w:val="0"/>
                  <w:vAlign w:val="top"/>
                </w:tcPr>
                <w:p>
                  <w:pPr>
                    <w:pStyle w:val="184"/>
                    <w:rPr>
                      <w:rFonts w:hint="eastAsia" w:eastAsia="宋体"/>
                      <w:color w:val="auto"/>
                      <w:u w:val="none" w:color="auto"/>
                      <w:lang w:eastAsia="zh-CN"/>
                    </w:rPr>
                  </w:pPr>
                  <w:r>
                    <w:rPr>
                      <w:rFonts w:hint="eastAsia"/>
                      <w:color w:val="auto"/>
                      <w:u w:val="none" w:color="auto"/>
                      <w:lang w:eastAsia="zh-CN"/>
                    </w:rPr>
                    <w:t>切割机</w:t>
                  </w:r>
                </w:p>
              </w:tc>
              <w:tc>
                <w:tcPr>
                  <w:tcW w:w="1666" w:type="pct"/>
                  <w:noWrap w:val="0"/>
                  <w:vAlign w:val="top"/>
                </w:tcPr>
                <w:p>
                  <w:pPr>
                    <w:pStyle w:val="184"/>
                    <w:rPr>
                      <w:color w:val="auto"/>
                      <w:u w:val="none" w:color="auto"/>
                    </w:rPr>
                  </w:pPr>
                  <w:r>
                    <w:rPr>
                      <w:color w:val="auto"/>
                      <w:u w:val="none" w:color="auto"/>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666" w:type="pct"/>
                  <w:noWrap w:val="0"/>
                  <w:vAlign w:val="center"/>
                </w:tcPr>
                <w:p>
                  <w:pPr>
                    <w:pStyle w:val="184"/>
                    <w:rPr>
                      <w:color w:val="auto"/>
                      <w:u w:val="none" w:color="auto"/>
                    </w:rPr>
                  </w:pPr>
                  <w:r>
                    <w:rPr>
                      <w:color w:val="auto"/>
                      <w:u w:val="none" w:color="auto"/>
                    </w:rPr>
                    <w:t>3</w:t>
                  </w:r>
                </w:p>
              </w:tc>
              <w:tc>
                <w:tcPr>
                  <w:tcW w:w="1666" w:type="pct"/>
                  <w:noWrap w:val="0"/>
                  <w:vAlign w:val="top"/>
                </w:tcPr>
                <w:p>
                  <w:pPr>
                    <w:pStyle w:val="184"/>
                    <w:rPr>
                      <w:rFonts w:hint="eastAsia"/>
                      <w:color w:val="auto"/>
                      <w:u w:val="none" w:color="auto"/>
                    </w:rPr>
                  </w:pPr>
                  <w:r>
                    <w:rPr>
                      <w:color w:val="auto"/>
                      <w:u w:val="none" w:color="auto"/>
                    </w:rPr>
                    <w:t>风机</w:t>
                  </w:r>
                </w:p>
              </w:tc>
              <w:tc>
                <w:tcPr>
                  <w:tcW w:w="1666" w:type="pct"/>
                  <w:noWrap w:val="0"/>
                  <w:vAlign w:val="top"/>
                </w:tcPr>
                <w:p>
                  <w:pPr>
                    <w:pStyle w:val="184"/>
                    <w:rPr>
                      <w:color w:val="auto"/>
                      <w:u w:val="none" w:color="auto"/>
                    </w:rPr>
                  </w:pPr>
                  <w:r>
                    <w:rPr>
                      <w:color w:val="auto"/>
                      <w:u w:val="none" w:color="auto"/>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666" w:type="pct"/>
                  <w:noWrap w:val="0"/>
                  <w:vAlign w:val="center"/>
                </w:tcPr>
                <w:p>
                  <w:pPr>
                    <w:pStyle w:val="184"/>
                    <w:rPr>
                      <w:color w:val="auto"/>
                      <w:u w:val="none" w:color="auto"/>
                    </w:rPr>
                  </w:pPr>
                  <w:r>
                    <w:rPr>
                      <w:color w:val="auto"/>
                      <w:u w:val="none" w:color="auto"/>
                    </w:rPr>
                    <w:t>4</w:t>
                  </w:r>
                </w:p>
              </w:tc>
              <w:tc>
                <w:tcPr>
                  <w:tcW w:w="1666" w:type="pct"/>
                  <w:noWrap w:val="0"/>
                  <w:vAlign w:val="top"/>
                </w:tcPr>
                <w:p>
                  <w:pPr>
                    <w:pStyle w:val="184"/>
                    <w:rPr>
                      <w:color w:val="auto"/>
                      <w:u w:val="none" w:color="auto"/>
                    </w:rPr>
                  </w:pPr>
                  <w:r>
                    <w:rPr>
                      <w:color w:val="auto"/>
                      <w:u w:val="none" w:color="auto"/>
                    </w:rPr>
                    <w:t>空压机</w:t>
                  </w:r>
                </w:p>
              </w:tc>
              <w:tc>
                <w:tcPr>
                  <w:tcW w:w="1666" w:type="pct"/>
                  <w:noWrap w:val="0"/>
                  <w:vAlign w:val="top"/>
                </w:tcPr>
                <w:p>
                  <w:pPr>
                    <w:pStyle w:val="184"/>
                    <w:rPr>
                      <w:rFonts w:hint="eastAsia" w:eastAsia="宋体"/>
                      <w:color w:val="auto"/>
                      <w:u w:val="none" w:color="auto"/>
                      <w:lang w:eastAsia="zh-CN"/>
                    </w:rPr>
                  </w:pPr>
                  <w:r>
                    <w:rPr>
                      <w:color w:val="auto"/>
                      <w:u w:val="none" w:color="auto"/>
                    </w:rPr>
                    <w:t>9</w:t>
                  </w:r>
                  <w:r>
                    <w:rPr>
                      <w:rFonts w:hint="eastAsia"/>
                      <w:color w:val="auto"/>
                      <w:u w:val="none" w:color="auto"/>
                      <w:lang w:val="en-US" w:eastAsia="zh-CN"/>
                    </w:rPr>
                    <w:t>0</w:t>
                  </w:r>
                </w:p>
              </w:tc>
            </w:tr>
          </w:tbl>
          <w:p>
            <w:pPr>
              <w:rPr>
                <w:color w:val="auto"/>
                <w:sz w:val="24"/>
                <w:szCs w:val="24"/>
                <w:u w:val="single" w:color="auto"/>
              </w:rPr>
            </w:pPr>
            <w:r>
              <w:rPr>
                <w:rFonts w:hint="eastAsia"/>
                <w:color w:val="auto"/>
                <w:u w:val="none" w:color="auto"/>
              </w:rPr>
              <w:t xml:space="preserve"> </w:t>
            </w:r>
            <w:r>
              <w:rPr>
                <w:color w:val="auto"/>
                <w:u w:val="single" w:color="auto"/>
              </w:rPr>
              <w:t xml:space="preserve">   </w:t>
            </w:r>
            <w:r>
              <w:rPr>
                <w:color w:val="auto"/>
                <w:sz w:val="24"/>
                <w:szCs w:val="24"/>
                <w:u w:val="single" w:color="auto"/>
              </w:rPr>
              <w:t xml:space="preserve"> 4、固废</w:t>
            </w:r>
          </w:p>
          <w:p>
            <w:pPr>
              <w:pStyle w:val="34"/>
              <w:spacing w:line="360" w:lineRule="auto"/>
              <w:ind w:left="0" w:leftChars="0" w:firstLine="462" w:firstLineChars="200"/>
              <w:rPr>
                <w:rFonts w:ascii="宋体" w:hAnsi="宋体"/>
                <w:color w:val="auto"/>
                <w:sz w:val="24"/>
                <w:szCs w:val="32"/>
                <w:u w:val="single" w:color="auto"/>
              </w:rPr>
            </w:pPr>
            <w:r>
              <w:rPr>
                <w:rFonts w:hint="eastAsia" w:ascii="宋体" w:hAnsi="宋体"/>
                <w:color w:val="auto"/>
                <w:sz w:val="24"/>
                <w:szCs w:val="32"/>
                <w:u w:val="single" w:color="auto"/>
              </w:rPr>
              <w:t>本项目产生的固体废物有</w:t>
            </w:r>
            <w:r>
              <w:rPr>
                <w:rFonts w:hint="eastAsia" w:ascii="宋体" w:hAnsi="宋体"/>
                <w:color w:val="auto"/>
                <w:sz w:val="24"/>
                <w:szCs w:val="32"/>
                <w:u w:val="single" w:color="auto"/>
                <w:lang w:eastAsia="zh-CN"/>
              </w:rPr>
              <w:t>废金属边角料</w:t>
            </w:r>
            <w:r>
              <w:rPr>
                <w:rFonts w:hint="eastAsia" w:ascii="宋体" w:hAnsi="宋体"/>
                <w:color w:val="auto"/>
                <w:sz w:val="24"/>
                <w:szCs w:val="32"/>
                <w:u w:val="single" w:color="auto"/>
              </w:rPr>
              <w:t>、废</w:t>
            </w:r>
            <w:r>
              <w:rPr>
                <w:rFonts w:hint="eastAsia" w:ascii="宋体" w:hAnsi="宋体"/>
                <w:color w:val="auto"/>
                <w:sz w:val="24"/>
                <w:szCs w:val="32"/>
                <w:u w:val="single" w:color="auto"/>
                <w:lang w:eastAsia="zh-CN"/>
              </w:rPr>
              <w:t>水性</w:t>
            </w:r>
            <w:r>
              <w:rPr>
                <w:rFonts w:hint="eastAsia" w:ascii="宋体" w:hAnsi="宋体"/>
                <w:color w:val="auto"/>
                <w:sz w:val="24"/>
                <w:szCs w:val="32"/>
                <w:u w:val="single" w:color="auto"/>
              </w:rPr>
              <w:t>漆</w:t>
            </w:r>
            <w:r>
              <w:rPr>
                <w:rFonts w:hint="eastAsia" w:ascii="宋体" w:hAnsi="宋体"/>
                <w:color w:val="auto"/>
                <w:sz w:val="24"/>
                <w:szCs w:val="32"/>
                <w:u w:val="single" w:color="auto"/>
                <w:lang w:eastAsia="zh-CN"/>
              </w:rPr>
              <w:t>包装物</w:t>
            </w:r>
            <w:r>
              <w:rPr>
                <w:rFonts w:hint="eastAsia" w:ascii="宋体" w:hAnsi="宋体"/>
                <w:color w:val="auto"/>
                <w:sz w:val="24"/>
                <w:szCs w:val="32"/>
                <w:u w:val="single" w:color="auto"/>
              </w:rPr>
              <w:t>、漆渣、生活垃圾</w:t>
            </w:r>
            <w:r>
              <w:rPr>
                <w:rFonts w:hint="eastAsia" w:ascii="宋体" w:hAnsi="宋体"/>
                <w:color w:val="auto"/>
                <w:sz w:val="24"/>
                <w:szCs w:val="32"/>
                <w:u w:val="single" w:color="auto"/>
                <w:lang w:eastAsia="zh-CN"/>
              </w:rPr>
              <w:t>、喷塑过程中收集的粉尘、含油抹布手套、收集的加工粉尘、废活性炭、废灯管</w:t>
            </w:r>
            <w:r>
              <w:rPr>
                <w:rFonts w:hint="eastAsia" w:ascii="宋体" w:hAnsi="宋体"/>
                <w:color w:val="auto"/>
                <w:sz w:val="24"/>
                <w:szCs w:val="32"/>
                <w:u w:val="single" w:color="auto"/>
              </w:rPr>
              <w:t>等。</w:t>
            </w:r>
          </w:p>
          <w:p>
            <w:pPr>
              <w:pStyle w:val="34"/>
              <w:spacing w:line="360" w:lineRule="auto"/>
              <w:ind w:left="400"/>
              <w:rPr>
                <w:rFonts w:hint="eastAsia" w:ascii="Times New Roman" w:hAnsi="Times New Roman" w:eastAsia="宋体" w:cs="Times New Roman"/>
                <w:color w:val="auto"/>
                <w:sz w:val="24"/>
                <w:szCs w:val="32"/>
                <w:u w:val="single" w:color="auto"/>
                <w:lang w:eastAsia="zh-CN"/>
              </w:rPr>
            </w:pPr>
            <w:r>
              <w:rPr>
                <w:rFonts w:hint="eastAsia" w:ascii="宋体" w:hAnsi="宋体"/>
                <w:color w:val="auto"/>
                <w:sz w:val="24"/>
                <w:szCs w:val="32"/>
                <w:u w:val="single" w:color="auto"/>
              </w:rPr>
              <w:t>（1）</w:t>
            </w:r>
            <w:r>
              <w:rPr>
                <w:rFonts w:hint="eastAsia" w:ascii="宋体" w:hAnsi="宋体"/>
                <w:color w:val="auto"/>
                <w:sz w:val="24"/>
                <w:szCs w:val="32"/>
                <w:u w:val="single" w:color="auto"/>
                <w:lang w:eastAsia="zh-CN"/>
              </w:rPr>
              <w:t>废金属边角料</w:t>
            </w:r>
          </w:p>
          <w:p>
            <w:pPr>
              <w:pStyle w:val="34"/>
              <w:spacing w:line="360" w:lineRule="auto"/>
              <w:ind w:left="0" w:leftChars="0" w:firstLine="462" w:firstLineChars="200"/>
              <w:jc w:val="left"/>
              <w:rPr>
                <w:rFonts w:hint="default" w:ascii="Times New Roman" w:hAnsi="Times New Roman" w:cs="Times New Roman"/>
                <w:color w:val="auto"/>
                <w:sz w:val="24"/>
                <w:szCs w:val="32"/>
                <w:u w:val="single" w:color="auto"/>
              </w:rPr>
            </w:pPr>
            <w:r>
              <w:rPr>
                <w:rFonts w:hint="eastAsia" w:cs="Times New Roman"/>
                <w:color w:val="auto"/>
                <w:sz w:val="24"/>
                <w:szCs w:val="32"/>
                <w:u w:val="single" w:color="auto"/>
                <w:lang w:eastAsia="zh-CN"/>
              </w:rPr>
              <w:t>本项目在生产加工过程中会产生少量边角料</w:t>
            </w:r>
            <w:r>
              <w:rPr>
                <w:rFonts w:hint="default" w:ascii="Times New Roman" w:hAnsi="Times New Roman" w:cs="Times New Roman"/>
                <w:color w:val="auto"/>
                <w:sz w:val="24"/>
                <w:szCs w:val="32"/>
                <w:u w:val="single" w:color="auto"/>
              </w:rPr>
              <w:t>，根据</w:t>
            </w:r>
            <w:r>
              <w:rPr>
                <w:rFonts w:hint="eastAsia" w:cs="Times New Roman"/>
                <w:color w:val="auto"/>
                <w:sz w:val="24"/>
                <w:szCs w:val="32"/>
                <w:u w:val="single" w:color="auto"/>
                <w:lang w:eastAsia="zh-CN"/>
              </w:rPr>
              <w:t>同类项目</w:t>
            </w:r>
            <w:r>
              <w:rPr>
                <w:rFonts w:hint="default" w:ascii="Times New Roman" w:hAnsi="Times New Roman" w:cs="Times New Roman"/>
                <w:color w:val="auto"/>
                <w:sz w:val="24"/>
                <w:szCs w:val="32"/>
                <w:u w:val="single" w:color="auto"/>
              </w:rPr>
              <w:t>分析，</w:t>
            </w:r>
            <w:r>
              <w:rPr>
                <w:rFonts w:hint="eastAsia" w:cs="Times New Roman"/>
                <w:color w:val="auto"/>
                <w:sz w:val="24"/>
                <w:szCs w:val="32"/>
                <w:u w:val="single" w:color="auto"/>
                <w:lang w:eastAsia="zh-CN"/>
              </w:rPr>
              <w:t>废边角料产生量为原材料的</w:t>
            </w:r>
            <w:r>
              <w:rPr>
                <w:rFonts w:hint="eastAsia" w:cs="Times New Roman"/>
                <w:color w:val="auto"/>
                <w:sz w:val="24"/>
                <w:szCs w:val="32"/>
                <w:u w:val="single" w:color="auto"/>
                <w:lang w:val="en-US" w:eastAsia="zh-CN"/>
              </w:rPr>
              <w:t>0.3%</w:t>
            </w:r>
            <w:r>
              <w:rPr>
                <w:rFonts w:hint="eastAsia" w:cs="Times New Roman"/>
                <w:color w:val="auto"/>
                <w:sz w:val="24"/>
                <w:szCs w:val="32"/>
                <w:u w:val="single" w:color="auto"/>
                <w:lang w:eastAsia="zh-CN"/>
              </w:rPr>
              <w:t>，故</w:t>
            </w:r>
            <w:r>
              <w:rPr>
                <w:rFonts w:hint="default" w:ascii="Times New Roman" w:hAnsi="Times New Roman" w:cs="Times New Roman"/>
                <w:color w:val="auto"/>
                <w:sz w:val="24"/>
                <w:szCs w:val="32"/>
                <w:u w:val="single" w:color="auto"/>
              </w:rPr>
              <w:t>其产生量约为</w:t>
            </w:r>
            <w:r>
              <w:rPr>
                <w:rFonts w:hint="eastAsia" w:cs="Times New Roman"/>
                <w:color w:val="auto"/>
                <w:sz w:val="24"/>
                <w:szCs w:val="32"/>
                <w:u w:val="single" w:color="auto"/>
                <w:lang w:val="en-US" w:eastAsia="zh-CN"/>
              </w:rPr>
              <w:t>2.49</w:t>
            </w:r>
            <w:r>
              <w:rPr>
                <w:rFonts w:hint="default" w:ascii="Times New Roman" w:hAnsi="Times New Roman" w:cs="Times New Roman"/>
                <w:color w:val="auto"/>
                <w:sz w:val="24"/>
                <w:u w:val="single" w:color="auto"/>
              </w:rPr>
              <w:t>t/a</w:t>
            </w:r>
            <w:r>
              <w:rPr>
                <w:rFonts w:hint="default" w:ascii="Times New Roman" w:hAnsi="Times New Roman" w:cs="Times New Roman"/>
                <w:color w:val="auto"/>
                <w:sz w:val="24"/>
                <w:szCs w:val="32"/>
                <w:u w:val="single" w:color="auto"/>
              </w:rPr>
              <w:t>，</w:t>
            </w:r>
            <w:r>
              <w:rPr>
                <w:rFonts w:hint="default" w:ascii="Times New Roman" w:hAnsi="Times New Roman" w:cs="Times New Roman"/>
                <w:color w:val="auto"/>
                <w:sz w:val="24"/>
                <w:u w:val="single" w:color="auto"/>
              </w:rPr>
              <w:t>收集后均外售</w:t>
            </w:r>
            <w:r>
              <w:rPr>
                <w:rFonts w:hint="eastAsia" w:cs="Times New Roman"/>
                <w:color w:val="auto"/>
                <w:sz w:val="24"/>
                <w:u w:val="single" w:color="auto"/>
                <w:lang w:eastAsia="zh-CN"/>
              </w:rPr>
              <w:t>物资回收公司回收利用</w:t>
            </w:r>
            <w:r>
              <w:rPr>
                <w:rFonts w:hint="default" w:ascii="Times New Roman" w:hAnsi="Times New Roman" w:cs="Times New Roman"/>
                <w:color w:val="auto"/>
                <w:sz w:val="24"/>
                <w:u w:val="single" w:color="auto"/>
              </w:rPr>
              <w:t>。</w:t>
            </w:r>
          </w:p>
          <w:p>
            <w:pPr>
              <w:pStyle w:val="34"/>
              <w:spacing w:line="360" w:lineRule="auto"/>
              <w:ind w:left="0" w:leftChars="0" w:firstLine="462" w:firstLineChars="200"/>
              <w:jc w:val="left"/>
              <w:rPr>
                <w:rFonts w:hint="default" w:ascii="Times New Roman" w:hAnsi="Times New Roman" w:cs="Times New Roman"/>
                <w:color w:val="auto"/>
                <w:sz w:val="24"/>
                <w:u w:val="single" w:color="auto"/>
              </w:rPr>
            </w:pPr>
            <w:r>
              <w:rPr>
                <w:rFonts w:hint="default" w:ascii="Times New Roman" w:hAnsi="Times New Roman" w:cs="Times New Roman"/>
                <w:color w:val="auto"/>
                <w:sz w:val="24"/>
                <w:u w:val="single" w:color="auto"/>
              </w:rPr>
              <w:t>（2）生活垃圾</w:t>
            </w:r>
          </w:p>
          <w:p>
            <w:pPr>
              <w:spacing w:line="360" w:lineRule="auto"/>
              <w:ind w:firstLine="462" w:firstLineChars="200"/>
              <w:jc w:val="left"/>
              <w:rPr>
                <w:rFonts w:hint="default" w:ascii="Times New Roman" w:hAnsi="Times New Roman" w:cs="Times New Roman"/>
                <w:color w:val="auto"/>
                <w:sz w:val="24"/>
                <w:szCs w:val="24"/>
                <w:u w:val="single" w:color="auto"/>
              </w:rPr>
            </w:pPr>
            <w:r>
              <w:rPr>
                <w:color w:val="auto"/>
                <w:sz w:val="24"/>
                <w:szCs w:val="24"/>
                <w:u w:val="single" w:color="auto"/>
              </w:rPr>
              <w:t>本项目生活垃圾按</w:t>
            </w:r>
            <w:r>
              <w:rPr>
                <w:rFonts w:hint="default" w:ascii="Times New Roman" w:hAnsi="Times New Roman" w:cs="Times New Roman"/>
                <w:color w:val="auto"/>
                <w:sz w:val="24"/>
                <w:szCs w:val="24"/>
                <w:u w:val="single" w:color="auto"/>
              </w:rPr>
              <w:t>0.5kg/d计算，该项目工作人员</w:t>
            </w:r>
            <w:r>
              <w:rPr>
                <w:rFonts w:hint="eastAsia" w:cs="Times New Roman"/>
                <w:color w:val="auto"/>
                <w:sz w:val="24"/>
                <w:szCs w:val="24"/>
                <w:u w:val="single" w:color="auto"/>
                <w:lang w:val="en-US" w:eastAsia="zh-CN"/>
              </w:rPr>
              <w:t>100</w:t>
            </w:r>
            <w:r>
              <w:rPr>
                <w:rFonts w:hint="default" w:ascii="Times New Roman" w:hAnsi="Times New Roman" w:cs="Times New Roman"/>
                <w:color w:val="auto"/>
                <w:sz w:val="24"/>
                <w:szCs w:val="24"/>
                <w:u w:val="single" w:color="auto"/>
              </w:rPr>
              <w:t>人，年工作300天，生活垃圾产生量为</w:t>
            </w:r>
            <w:r>
              <w:rPr>
                <w:rFonts w:hint="eastAsia" w:cs="Times New Roman"/>
                <w:color w:val="auto"/>
                <w:sz w:val="24"/>
                <w:szCs w:val="24"/>
                <w:u w:val="single" w:color="auto"/>
                <w:lang w:val="en-US" w:eastAsia="zh-CN"/>
              </w:rPr>
              <w:t>0.05</w:t>
            </w:r>
            <w:r>
              <w:rPr>
                <w:rFonts w:hint="default" w:ascii="Times New Roman" w:hAnsi="Times New Roman" w:cs="Times New Roman"/>
                <w:color w:val="auto"/>
                <w:sz w:val="24"/>
                <w:szCs w:val="24"/>
                <w:u w:val="single" w:color="auto"/>
              </w:rPr>
              <w:t>t/d（</w:t>
            </w:r>
            <w:r>
              <w:rPr>
                <w:rFonts w:hint="eastAsia" w:cs="Times New Roman"/>
                <w:color w:val="auto"/>
                <w:sz w:val="24"/>
                <w:szCs w:val="24"/>
                <w:u w:val="single" w:color="auto"/>
                <w:lang w:val="en-US" w:eastAsia="zh-CN"/>
              </w:rPr>
              <w:t>15</w:t>
            </w:r>
            <w:r>
              <w:rPr>
                <w:rFonts w:hint="default" w:ascii="Times New Roman" w:hAnsi="Times New Roman" w:cs="Times New Roman"/>
                <w:color w:val="auto"/>
                <w:sz w:val="24"/>
                <w:szCs w:val="24"/>
                <w:u w:val="single" w:color="auto"/>
              </w:rPr>
              <w:t>t/a），生活垃圾集中收集后交环卫部门统一清运处理。</w:t>
            </w:r>
          </w:p>
          <w:p>
            <w:pPr>
              <w:pStyle w:val="34"/>
              <w:spacing w:line="360" w:lineRule="auto"/>
              <w:ind w:leftChars="0"/>
              <w:rPr>
                <w:rFonts w:hint="default" w:ascii="Times New Roman" w:hAnsi="Times New Roman" w:eastAsia="宋体" w:cs="Times New Roman"/>
                <w:color w:val="auto"/>
                <w:sz w:val="24"/>
                <w:u w:val="single" w:color="auto"/>
                <w:lang w:val="en-US" w:eastAsia="zh-CN"/>
              </w:rPr>
            </w:pPr>
            <w:r>
              <w:rPr>
                <w:rFonts w:hint="default" w:ascii="Times New Roman" w:hAnsi="Times New Roman" w:cs="Times New Roman"/>
                <w:color w:val="auto"/>
                <w:sz w:val="24"/>
                <w:u w:val="single" w:color="auto"/>
                <w:lang w:eastAsia="zh-CN"/>
              </w:rPr>
              <w:t>（</w:t>
            </w:r>
            <w:r>
              <w:rPr>
                <w:rFonts w:hint="default" w:ascii="Times New Roman" w:hAnsi="Times New Roman" w:cs="Times New Roman"/>
                <w:color w:val="auto"/>
                <w:sz w:val="24"/>
                <w:u w:val="single" w:color="auto"/>
                <w:lang w:val="en-US" w:eastAsia="zh-CN"/>
              </w:rPr>
              <w:t>3</w:t>
            </w:r>
            <w:r>
              <w:rPr>
                <w:rFonts w:hint="default" w:ascii="Times New Roman" w:hAnsi="Times New Roman" w:cs="Times New Roman"/>
                <w:color w:val="auto"/>
                <w:sz w:val="24"/>
                <w:u w:val="single" w:color="auto"/>
                <w:lang w:eastAsia="zh-CN"/>
              </w:rPr>
              <w:t>）</w:t>
            </w:r>
            <w:r>
              <w:rPr>
                <w:rFonts w:hint="eastAsia" w:ascii="宋体" w:hAnsi="宋体"/>
                <w:color w:val="auto"/>
                <w:sz w:val="24"/>
                <w:szCs w:val="32"/>
                <w:u w:val="single" w:color="auto"/>
                <w:lang w:eastAsia="zh-CN"/>
              </w:rPr>
              <w:t>喷塑过程中收集的粉尘</w:t>
            </w:r>
          </w:p>
          <w:p>
            <w:pPr>
              <w:pStyle w:val="34"/>
              <w:spacing w:line="360" w:lineRule="auto"/>
              <w:ind w:left="0" w:leftChars="0" w:firstLine="462" w:firstLineChars="200"/>
              <w:rPr>
                <w:rFonts w:hint="default" w:ascii="Times New Roman" w:hAnsi="Times New Roman" w:eastAsia="宋体" w:cs="Times New Roman"/>
                <w:color w:val="auto"/>
                <w:sz w:val="24"/>
                <w:szCs w:val="24"/>
                <w:u w:val="single" w:color="auto"/>
                <w:lang w:val="en-US" w:eastAsia="zh-CN"/>
              </w:rPr>
            </w:pPr>
            <w:r>
              <w:rPr>
                <w:rFonts w:hint="default" w:ascii="Times New Roman" w:hAnsi="Times New Roman" w:cs="Times New Roman"/>
                <w:color w:val="auto"/>
                <w:sz w:val="24"/>
                <w:szCs w:val="24"/>
                <w:u w:val="single" w:color="auto"/>
                <w:lang w:eastAsia="zh-CN"/>
              </w:rPr>
              <w:t>本项目</w:t>
            </w:r>
            <w:r>
              <w:rPr>
                <w:rFonts w:hint="eastAsia" w:cs="Times New Roman"/>
                <w:color w:val="auto"/>
                <w:sz w:val="24"/>
                <w:szCs w:val="24"/>
                <w:u w:val="single" w:color="auto"/>
                <w:lang w:eastAsia="zh-CN"/>
              </w:rPr>
              <w:t>在喷塑过程中产生的粉尘经自带的粉末回收系统处理后外排，根据工程分析，项目收集的粉尘量为</w:t>
            </w:r>
            <w:r>
              <w:rPr>
                <w:rFonts w:hint="eastAsia" w:cs="Times New Roman"/>
                <w:color w:val="auto"/>
                <w:sz w:val="24"/>
                <w:szCs w:val="24"/>
                <w:u w:val="single" w:color="auto"/>
                <w:lang w:val="en-US" w:eastAsia="zh-CN"/>
              </w:rPr>
              <w:t>0.475t/a</w:t>
            </w:r>
            <w:r>
              <w:rPr>
                <w:rFonts w:hint="default" w:ascii="Times New Roman" w:hAnsi="Times New Roman" w:cs="Times New Roman"/>
                <w:color w:val="auto"/>
                <w:sz w:val="24"/>
                <w:szCs w:val="24"/>
                <w:u w:val="single" w:color="auto"/>
                <w:lang w:val="en-US" w:eastAsia="zh-CN"/>
              </w:rPr>
              <w:t>，收集后</w:t>
            </w:r>
            <w:r>
              <w:rPr>
                <w:rFonts w:hint="eastAsia" w:cs="Times New Roman"/>
                <w:color w:val="auto"/>
                <w:sz w:val="24"/>
                <w:szCs w:val="24"/>
                <w:u w:val="single" w:color="auto"/>
                <w:lang w:val="en-US" w:eastAsia="zh-CN"/>
              </w:rPr>
              <w:t>回用于生产</w:t>
            </w:r>
            <w:r>
              <w:rPr>
                <w:rFonts w:hint="default" w:ascii="Times New Roman" w:hAnsi="Times New Roman" w:cs="Times New Roman"/>
                <w:color w:val="auto"/>
                <w:sz w:val="24"/>
                <w:szCs w:val="24"/>
                <w:u w:val="single" w:color="auto"/>
                <w:lang w:val="en-US" w:eastAsia="zh-CN"/>
              </w:rPr>
              <w:t>。</w:t>
            </w:r>
          </w:p>
          <w:p>
            <w:pPr>
              <w:pStyle w:val="34"/>
              <w:spacing w:line="360" w:lineRule="auto"/>
              <w:ind w:leftChars="0"/>
              <w:rPr>
                <w:rFonts w:hint="eastAsia" w:ascii="Times New Roman" w:hAnsi="Times New Roman" w:eastAsia="宋体" w:cs="Times New Roman"/>
                <w:color w:val="auto"/>
                <w:sz w:val="24"/>
                <w:u w:val="single" w:color="auto"/>
                <w:lang w:eastAsia="zh-CN"/>
              </w:rPr>
            </w:pPr>
            <w:r>
              <w:rPr>
                <w:rFonts w:hint="default" w:ascii="Times New Roman" w:hAnsi="Times New Roman" w:cs="Times New Roman"/>
                <w:color w:val="auto"/>
                <w:sz w:val="24"/>
                <w:szCs w:val="32"/>
                <w:u w:val="single" w:color="auto"/>
                <w:lang w:eastAsia="zh-CN"/>
              </w:rPr>
              <w:t>（</w:t>
            </w:r>
            <w:r>
              <w:rPr>
                <w:rFonts w:hint="default" w:ascii="Times New Roman" w:hAnsi="Times New Roman" w:cs="Times New Roman"/>
                <w:color w:val="auto"/>
                <w:sz w:val="24"/>
                <w:szCs w:val="32"/>
                <w:u w:val="single" w:color="auto"/>
                <w:lang w:val="en-US" w:eastAsia="zh-CN"/>
              </w:rPr>
              <w:t>4</w:t>
            </w:r>
            <w:r>
              <w:rPr>
                <w:rFonts w:hint="default" w:ascii="Times New Roman" w:hAnsi="Times New Roman" w:cs="Times New Roman"/>
                <w:color w:val="auto"/>
                <w:sz w:val="24"/>
                <w:szCs w:val="32"/>
                <w:u w:val="single" w:color="auto"/>
                <w:lang w:eastAsia="zh-CN"/>
              </w:rPr>
              <w:t>）</w:t>
            </w:r>
            <w:r>
              <w:rPr>
                <w:rFonts w:hint="default" w:ascii="Times New Roman" w:hAnsi="Times New Roman" w:cs="Times New Roman"/>
                <w:color w:val="auto"/>
                <w:sz w:val="24"/>
                <w:szCs w:val="32"/>
                <w:u w:val="single" w:color="auto"/>
              </w:rPr>
              <w:t>废</w:t>
            </w:r>
            <w:r>
              <w:rPr>
                <w:rFonts w:hint="default" w:ascii="Times New Roman" w:hAnsi="Times New Roman" w:cs="Times New Roman"/>
                <w:color w:val="auto"/>
                <w:sz w:val="24"/>
                <w:szCs w:val="32"/>
                <w:u w:val="single" w:color="auto"/>
                <w:lang w:eastAsia="zh-CN"/>
              </w:rPr>
              <w:t>水性</w:t>
            </w:r>
            <w:r>
              <w:rPr>
                <w:rFonts w:hint="default" w:ascii="Times New Roman" w:hAnsi="Times New Roman" w:cs="Times New Roman"/>
                <w:color w:val="auto"/>
                <w:sz w:val="24"/>
                <w:szCs w:val="32"/>
                <w:u w:val="single" w:color="auto"/>
              </w:rPr>
              <w:t>漆</w:t>
            </w:r>
            <w:r>
              <w:rPr>
                <w:rFonts w:hint="default" w:ascii="Times New Roman" w:hAnsi="Times New Roman" w:cs="Times New Roman"/>
                <w:color w:val="auto"/>
                <w:sz w:val="24"/>
                <w:szCs w:val="32"/>
                <w:u w:val="single" w:color="auto"/>
                <w:lang w:eastAsia="zh-CN"/>
              </w:rPr>
              <w:t>包装物</w:t>
            </w:r>
          </w:p>
          <w:p>
            <w:pPr>
              <w:pStyle w:val="34"/>
              <w:spacing w:line="360" w:lineRule="auto"/>
              <w:ind w:left="0" w:leftChars="0" w:firstLine="462" w:firstLineChars="200"/>
              <w:rPr>
                <w:rFonts w:hint="eastAsia"/>
                <w:color w:val="auto"/>
                <w:sz w:val="24"/>
                <w:szCs w:val="24"/>
                <w:u w:val="single" w:color="auto"/>
                <w:lang w:eastAsia="zh-CN"/>
              </w:rPr>
            </w:pPr>
            <w:r>
              <w:rPr>
                <w:rFonts w:hint="default" w:ascii="Times New Roman" w:hAnsi="Times New Roman" w:cs="Times New Roman"/>
                <w:color w:val="auto"/>
                <w:sz w:val="24"/>
                <w:szCs w:val="24"/>
                <w:u w:val="single" w:color="auto"/>
                <w:lang w:eastAsia="zh-CN"/>
              </w:rPr>
              <w:t>根据《国家危险废物名录》中判定</w:t>
            </w:r>
            <w:r>
              <w:rPr>
                <w:rFonts w:hint="default" w:ascii="Times New Roman" w:hAnsi="Times New Roman" w:cs="Times New Roman"/>
                <w:color w:val="auto"/>
                <w:sz w:val="24"/>
                <w:szCs w:val="32"/>
                <w:u w:val="single" w:color="auto"/>
              </w:rPr>
              <w:t>废</w:t>
            </w:r>
            <w:r>
              <w:rPr>
                <w:rFonts w:hint="default" w:ascii="Times New Roman" w:hAnsi="Times New Roman" w:cs="Times New Roman"/>
                <w:color w:val="auto"/>
                <w:sz w:val="24"/>
                <w:szCs w:val="32"/>
                <w:u w:val="single" w:color="auto"/>
                <w:lang w:eastAsia="zh-CN"/>
              </w:rPr>
              <w:t>水性</w:t>
            </w:r>
            <w:r>
              <w:rPr>
                <w:rFonts w:hint="default" w:ascii="Times New Roman" w:hAnsi="Times New Roman" w:cs="Times New Roman"/>
                <w:color w:val="auto"/>
                <w:sz w:val="24"/>
                <w:szCs w:val="32"/>
                <w:u w:val="single" w:color="auto"/>
              </w:rPr>
              <w:t>漆</w:t>
            </w:r>
            <w:r>
              <w:rPr>
                <w:rFonts w:hint="default" w:ascii="Times New Roman" w:hAnsi="Times New Roman" w:cs="Times New Roman"/>
                <w:color w:val="auto"/>
                <w:sz w:val="24"/>
                <w:szCs w:val="32"/>
                <w:u w:val="single" w:color="auto"/>
                <w:lang w:eastAsia="zh-CN"/>
              </w:rPr>
              <w:t>包装物不属于危险废物，为一般固废，其中</w:t>
            </w:r>
            <w:r>
              <w:rPr>
                <w:rFonts w:hint="default" w:ascii="Times New Roman" w:hAnsi="Times New Roman" w:cs="Times New Roman"/>
                <w:color w:val="auto"/>
                <w:sz w:val="24"/>
                <w:szCs w:val="24"/>
                <w:u w:val="single" w:color="auto"/>
              </w:rPr>
              <w:t>根据</w:t>
            </w:r>
            <w:r>
              <w:rPr>
                <w:rFonts w:hint="default" w:ascii="Times New Roman" w:hAnsi="Times New Roman" w:cs="Times New Roman"/>
                <w:color w:val="auto"/>
                <w:sz w:val="24"/>
                <w:szCs w:val="24"/>
                <w:u w:val="single" w:color="auto"/>
                <w:lang w:eastAsia="zh-CN"/>
              </w:rPr>
              <w:t>水性漆</w:t>
            </w:r>
            <w:r>
              <w:rPr>
                <w:rFonts w:hint="default" w:ascii="Times New Roman" w:hAnsi="Times New Roman" w:cs="Times New Roman"/>
                <w:color w:val="auto"/>
                <w:sz w:val="24"/>
                <w:szCs w:val="24"/>
                <w:u w:val="single" w:color="auto"/>
              </w:rPr>
              <w:t>的用量估算，本项目</w:t>
            </w:r>
            <w:r>
              <w:rPr>
                <w:rFonts w:hint="default" w:ascii="Times New Roman" w:hAnsi="Times New Roman" w:cs="Times New Roman"/>
                <w:color w:val="auto"/>
                <w:sz w:val="24"/>
                <w:szCs w:val="24"/>
                <w:u w:val="single" w:color="auto"/>
                <w:lang w:eastAsia="zh-CN"/>
              </w:rPr>
              <w:t>废水性漆包装物</w:t>
            </w:r>
            <w:r>
              <w:rPr>
                <w:rFonts w:hint="default" w:ascii="Times New Roman" w:hAnsi="Times New Roman" w:cs="Times New Roman"/>
                <w:color w:val="auto"/>
                <w:sz w:val="24"/>
                <w:szCs w:val="24"/>
                <w:u w:val="single" w:color="auto"/>
              </w:rPr>
              <w:t>产生量约0.</w:t>
            </w:r>
            <w:r>
              <w:rPr>
                <w:rFonts w:hint="eastAsia" w:cs="Times New Roman"/>
                <w:color w:val="auto"/>
                <w:sz w:val="24"/>
                <w:szCs w:val="24"/>
                <w:u w:val="single" w:color="auto"/>
                <w:lang w:val="en-US" w:eastAsia="zh-CN"/>
              </w:rPr>
              <w:t>01</w:t>
            </w:r>
            <w:r>
              <w:rPr>
                <w:rFonts w:hint="default" w:ascii="Times New Roman" w:hAnsi="Times New Roman" w:cs="Times New Roman"/>
                <w:color w:val="auto"/>
                <w:sz w:val="24"/>
                <w:szCs w:val="24"/>
                <w:u w:val="single" w:color="auto"/>
              </w:rPr>
              <w:t>t/a</w:t>
            </w:r>
            <w:r>
              <w:rPr>
                <w:rFonts w:hint="default" w:ascii="Times New Roman" w:hAnsi="Times New Roman" w:cs="Times New Roman"/>
                <w:color w:val="auto"/>
                <w:sz w:val="24"/>
                <w:szCs w:val="24"/>
                <w:u w:val="single" w:color="auto"/>
                <w:lang w:eastAsia="zh-CN"/>
              </w:rPr>
              <w:t>；</w:t>
            </w:r>
            <w:r>
              <w:rPr>
                <w:rFonts w:hint="eastAsia"/>
                <w:color w:val="auto"/>
                <w:sz w:val="24"/>
                <w:szCs w:val="24"/>
                <w:u w:val="single" w:color="auto"/>
                <w:lang w:val="en-US" w:eastAsia="zh-CN"/>
              </w:rPr>
              <w:t>均收集后交由环卫部门进行处理</w:t>
            </w:r>
            <w:r>
              <w:rPr>
                <w:rFonts w:hint="eastAsia" w:cs="Times New Roman"/>
                <w:color w:val="auto"/>
                <w:sz w:val="24"/>
                <w:highlight w:val="none"/>
                <w:u w:val="single" w:color="auto"/>
                <w:lang w:eastAsia="zh-CN"/>
              </w:rPr>
              <w:t>。</w:t>
            </w:r>
          </w:p>
          <w:p>
            <w:pPr>
              <w:spacing w:line="360" w:lineRule="auto"/>
              <w:ind w:firstLine="462" w:firstLineChars="200"/>
              <w:jc w:val="left"/>
              <w:rPr>
                <w:color w:val="auto"/>
                <w:sz w:val="24"/>
                <w:szCs w:val="24"/>
                <w:u w:val="single" w:color="auto"/>
              </w:rPr>
            </w:pPr>
            <w:r>
              <w:rPr>
                <w:rFonts w:hint="eastAsia"/>
                <w:color w:val="auto"/>
                <w:sz w:val="24"/>
                <w:szCs w:val="24"/>
                <w:u w:val="single" w:color="auto"/>
                <w:lang w:eastAsia="zh-CN"/>
              </w:rPr>
              <w:t>（</w:t>
            </w:r>
            <w:r>
              <w:rPr>
                <w:rFonts w:hint="eastAsia"/>
                <w:color w:val="auto"/>
                <w:sz w:val="24"/>
                <w:szCs w:val="24"/>
                <w:u w:val="single" w:color="auto"/>
                <w:lang w:val="en-US" w:eastAsia="zh-CN"/>
              </w:rPr>
              <w:t>5</w:t>
            </w:r>
            <w:r>
              <w:rPr>
                <w:rFonts w:hint="eastAsia"/>
                <w:color w:val="auto"/>
                <w:sz w:val="24"/>
                <w:szCs w:val="24"/>
                <w:u w:val="single" w:color="auto"/>
                <w:lang w:eastAsia="zh-CN"/>
              </w:rPr>
              <w:t>）含油抹布、手套</w:t>
            </w:r>
          </w:p>
          <w:p>
            <w:pPr>
              <w:snapToGrid w:val="0"/>
              <w:spacing w:line="360" w:lineRule="auto"/>
              <w:ind w:firstLine="462" w:firstLineChars="200"/>
              <w:rPr>
                <w:rFonts w:hint="eastAsia" w:hAnsi="宋体" w:eastAsia="宋体"/>
                <w:color w:val="auto"/>
                <w:sz w:val="24"/>
                <w:u w:val="single" w:color="auto"/>
                <w:lang w:eastAsia="zh-CN"/>
              </w:rPr>
            </w:pPr>
            <w:r>
              <w:rPr>
                <w:rFonts w:hint="eastAsia" w:hAnsi="宋体"/>
                <w:color w:val="auto"/>
                <w:sz w:val="24"/>
                <w:u w:val="single" w:color="auto"/>
                <w:lang w:eastAsia="zh-CN"/>
              </w:rPr>
              <w:t>项目生产过程中主要有机加工，故生产过程中会产生含油抹布手套，根据相关资料可知，含油抹布手套产生量约为</w:t>
            </w:r>
            <w:r>
              <w:rPr>
                <w:rFonts w:hint="eastAsia" w:hAnsi="宋体"/>
                <w:color w:val="auto"/>
                <w:sz w:val="24"/>
                <w:u w:val="single" w:color="auto"/>
                <w:lang w:val="en-US" w:eastAsia="zh-CN"/>
              </w:rPr>
              <w:t>0.004t/a，根据《国家危险废物名录》可知，项目</w:t>
            </w:r>
            <w:r>
              <w:rPr>
                <w:rFonts w:hint="eastAsia" w:hAnsi="宋体"/>
                <w:color w:val="auto"/>
                <w:sz w:val="24"/>
                <w:u w:val="single" w:color="auto"/>
                <w:lang w:eastAsia="zh-CN"/>
              </w:rPr>
              <w:t>含油抹布、手套</w:t>
            </w:r>
            <w:r>
              <w:rPr>
                <w:rFonts w:hint="eastAsia" w:hAnsi="宋体"/>
                <w:color w:val="auto"/>
                <w:sz w:val="24"/>
                <w:u w:val="single" w:color="auto"/>
                <w:lang w:val="en-US" w:eastAsia="zh-CN"/>
              </w:rPr>
              <w:t>属于危险废物，需收集于危险废物储存间，再交由有资质单位进行处理</w:t>
            </w:r>
            <w:r>
              <w:rPr>
                <w:rFonts w:hint="eastAsia" w:hAnsi="宋体"/>
                <w:bCs/>
                <w:sz w:val="24"/>
                <w:u w:val="single" w:color="auto"/>
                <w:lang w:eastAsia="zh-CN"/>
              </w:rPr>
              <w:t>。</w:t>
            </w:r>
          </w:p>
          <w:p>
            <w:pPr>
              <w:snapToGrid w:val="0"/>
              <w:spacing w:line="360" w:lineRule="auto"/>
              <w:ind w:firstLine="462" w:firstLineChars="200"/>
              <w:rPr>
                <w:rFonts w:hint="eastAsia" w:hAnsi="宋体" w:eastAsia="宋体"/>
                <w:color w:val="auto"/>
                <w:sz w:val="24"/>
                <w:u w:val="single" w:color="auto"/>
                <w:lang w:eastAsia="zh-CN"/>
              </w:rPr>
            </w:pPr>
            <w:r>
              <w:rPr>
                <w:rFonts w:hint="eastAsia" w:hAnsi="宋体"/>
                <w:color w:val="auto"/>
                <w:sz w:val="24"/>
                <w:u w:val="single" w:color="auto"/>
                <w:lang w:eastAsia="zh-CN"/>
              </w:rPr>
              <w:t>（</w:t>
            </w:r>
            <w:r>
              <w:rPr>
                <w:rFonts w:hint="eastAsia" w:hAnsi="宋体"/>
                <w:color w:val="auto"/>
                <w:sz w:val="24"/>
                <w:u w:val="single" w:color="auto"/>
                <w:lang w:val="en-US" w:eastAsia="zh-CN"/>
              </w:rPr>
              <w:t>6</w:t>
            </w:r>
            <w:r>
              <w:rPr>
                <w:rFonts w:hint="eastAsia" w:hAnsi="宋体"/>
                <w:color w:val="auto"/>
                <w:sz w:val="24"/>
                <w:u w:val="single" w:color="auto"/>
                <w:lang w:eastAsia="zh-CN"/>
              </w:rPr>
              <w:t>）漆渣</w:t>
            </w:r>
          </w:p>
          <w:p>
            <w:pPr>
              <w:pStyle w:val="172"/>
              <w:keepNext w:val="0"/>
              <w:keepLines w:val="0"/>
              <w:pageBreakBefore w:val="0"/>
              <w:kinsoku/>
              <w:wordWrap/>
              <w:overflowPunct/>
              <w:topLinePunct w:val="0"/>
              <w:autoSpaceDE/>
              <w:autoSpaceDN/>
              <w:bidi w:val="0"/>
              <w:adjustRightInd/>
              <w:spacing w:line="360" w:lineRule="auto"/>
              <w:textAlignment w:val="auto"/>
              <w:rPr>
                <w:rFonts w:hint="default" w:ascii="Times New Roman" w:hAnsi="宋体" w:eastAsia="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 xml:space="preserve">    </w:t>
            </w:r>
            <w:r>
              <w:rPr>
                <w:rFonts w:hint="default" w:ascii="Times New Roman" w:hAnsi="Times New Roman" w:cs="Times New Roman"/>
                <w:color w:val="auto"/>
                <w:sz w:val="24"/>
                <w:szCs w:val="24"/>
                <w:u w:val="single" w:color="auto"/>
                <w:lang w:eastAsia="zh-CN"/>
              </w:rPr>
              <w:t>漆渣主要是在喷漆过程中产生的固体颗粒物，项目漆渣产生量为</w:t>
            </w:r>
            <w:r>
              <w:rPr>
                <w:rFonts w:hint="default" w:ascii="Times New Roman" w:hAnsi="Times New Roman" w:cs="Times New Roman"/>
                <w:color w:val="auto"/>
                <w:sz w:val="24"/>
                <w:szCs w:val="24"/>
                <w:u w:val="single" w:color="auto"/>
                <w:lang w:val="en-US" w:eastAsia="zh-CN"/>
              </w:rPr>
              <w:t>0.004t/a</w:t>
            </w:r>
            <w:r>
              <w:rPr>
                <w:rFonts w:hint="eastAsia" w:cs="Times New Roman"/>
                <w:color w:val="auto"/>
                <w:sz w:val="24"/>
                <w:szCs w:val="24"/>
                <w:u w:val="single" w:color="auto"/>
                <w:lang w:val="en-US" w:eastAsia="zh-CN"/>
              </w:rPr>
              <w:t>，</w:t>
            </w:r>
            <w:r>
              <w:rPr>
                <w:rFonts w:hint="default" w:ascii="Times New Roman" w:hAnsi="宋体" w:eastAsia="宋体" w:cs="Times New Roman"/>
                <w:color w:val="auto"/>
                <w:kern w:val="2"/>
                <w:sz w:val="24"/>
                <w:szCs w:val="22"/>
                <w:u w:val="single" w:color="auto"/>
                <w:lang w:val="en-US" w:eastAsia="zh-CN" w:bidi="ar-SA"/>
              </w:rPr>
              <w:t>，按《国家危险废物名录》（2016年），</w:t>
            </w:r>
            <w:r>
              <w:rPr>
                <w:rFonts w:hint="eastAsia" w:hAnsi="宋体" w:cs="Times New Roman"/>
                <w:color w:val="auto"/>
                <w:kern w:val="2"/>
                <w:sz w:val="24"/>
                <w:szCs w:val="22"/>
                <w:u w:val="single" w:color="auto"/>
                <w:lang w:val="en-US" w:eastAsia="zh-CN" w:bidi="ar-SA"/>
              </w:rPr>
              <w:t>该固废为危险废物</w:t>
            </w:r>
            <w:r>
              <w:rPr>
                <w:rFonts w:hint="default" w:ascii="Times New Roman" w:hAnsi="宋体" w:eastAsia="宋体" w:cs="Times New Roman"/>
                <w:color w:val="auto"/>
                <w:kern w:val="2"/>
                <w:sz w:val="24"/>
                <w:szCs w:val="22"/>
                <w:u w:val="single" w:color="auto"/>
                <w:lang w:val="en-US" w:eastAsia="zh-CN" w:bidi="ar-SA"/>
              </w:rPr>
              <w:t>。这部分危废由建设方委托有</w:t>
            </w:r>
            <w:r>
              <w:rPr>
                <w:rFonts w:hint="eastAsia" w:hAnsi="宋体" w:eastAsia="宋体" w:cs="Times New Roman"/>
                <w:color w:val="auto"/>
                <w:kern w:val="2"/>
                <w:sz w:val="24"/>
                <w:szCs w:val="22"/>
                <w:u w:val="single" w:color="auto"/>
                <w:lang w:val="en-US" w:eastAsia="zh-CN" w:bidi="ar-SA"/>
              </w:rPr>
              <w:t>资质的</w:t>
            </w:r>
            <w:r>
              <w:rPr>
                <w:rFonts w:hint="default" w:ascii="Times New Roman" w:hAnsi="宋体" w:eastAsia="宋体" w:cs="Times New Roman"/>
                <w:color w:val="auto"/>
                <w:kern w:val="2"/>
                <w:sz w:val="24"/>
                <w:szCs w:val="22"/>
                <w:u w:val="single" w:color="auto"/>
                <w:lang w:val="en-US" w:eastAsia="zh-CN" w:bidi="ar-SA"/>
              </w:rPr>
              <w:t>单位进行处理。</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w:t>
            </w:r>
            <w:r>
              <w:rPr>
                <w:rFonts w:hint="eastAsia" w:hAnsi="宋体" w:cs="Times New Roman"/>
                <w:color w:val="auto"/>
                <w:kern w:val="2"/>
                <w:sz w:val="24"/>
                <w:szCs w:val="22"/>
                <w:u w:val="single" w:color="auto"/>
                <w:lang w:val="en-US" w:eastAsia="zh-CN" w:bidi="ar-SA"/>
              </w:rPr>
              <w:t>7</w:t>
            </w:r>
            <w:r>
              <w:rPr>
                <w:rFonts w:hint="eastAsia"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废活性炭</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ascii="Times New Roman" w:hAnsi="宋体" w:eastAsia="宋体" w:cs="Times New Roman"/>
                <w:color w:val="auto"/>
                <w:kern w:val="2"/>
                <w:sz w:val="24"/>
                <w:szCs w:val="22"/>
                <w:u w:val="single" w:color="auto"/>
                <w:lang w:val="en-US" w:eastAsia="zh-CN" w:bidi="ar-SA"/>
              </w:rPr>
              <w:t>项目活性炭每1个月更换一次（具体可根据生产中实际废气处理饱和度情况及时更换，以免影响处理效率）。</w:t>
            </w:r>
            <w:r>
              <w:rPr>
                <w:rFonts w:hint="eastAsia" w:hAnsi="宋体" w:cs="Times New Roman"/>
                <w:color w:val="auto"/>
                <w:kern w:val="2"/>
                <w:sz w:val="24"/>
                <w:szCs w:val="22"/>
                <w:u w:val="single" w:color="auto"/>
                <w:lang w:val="en-US" w:eastAsia="zh-CN" w:bidi="ar-SA"/>
              </w:rPr>
              <w:t>每次更换量为0.1t，故年产生量为1.2</w:t>
            </w:r>
            <w:r>
              <w:rPr>
                <w:rFonts w:hint="eastAsia" w:ascii="Times New Roman" w:hAnsi="宋体" w:eastAsia="宋体" w:cs="Times New Roman"/>
                <w:color w:val="auto"/>
                <w:kern w:val="2"/>
                <w:sz w:val="24"/>
                <w:szCs w:val="22"/>
                <w:u w:val="single" w:color="auto"/>
                <w:lang w:val="en-US" w:eastAsia="zh-CN" w:bidi="ar-SA"/>
              </w:rPr>
              <w:t>t/a，这部分废物属于危险固废的范围，按《国家危险废物名录》，分类编号为HW49，</w:t>
            </w:r>
            <w:r>
              <w:rPr>
                <w:rFonts w:hint="default" w:ascii="Times New Roman" w:hAnsi="宋体" w:eastAsia="宋体" w:cs="Times New Roman"/>
                <w:color w:val="auto"/>
                <w:kern w:val="2"/>
                <w:sz w:val="24"/>
                <w:szCs w:val="22"/>
                <w:u w:val="single" w:color="auto"/>
                <w:lang w:val="en-US" w:eastAsia="zh-CN" w:bidi="ar-SA"/>
              </w:rPr>
              <w:t>代码为900-</w:t>
            </w:r>
            <w:r>
              <w:rPr>
                <w:rFonts w:hint="eastAsia" w:ascii="Times New Roman" w:hAnsi="宋体" w:eastAsia="宋体" w:cs="Times New Roman"/>
                <w:color w:val="auto"/>
                <w:kern w:val="2"/>
                <w:sz w:val="24"/>
                <w:szCs w:val="22"/>
                <w:u w:val="single" w:color="auto"/>
                <w:lang w:val="en-US" w:eastAsia="zh-CN" w:bidi="ar-SA"/>
              </w:rPr>
              <w:t>039</w:t>
            </w:r>
            <w:r>
              <w:rPr>
                <w:rFonts w:hint="default" w:ascii="Times New Roman"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49。</w:t>
            </w:r>
            <w:r>
              <w:rPr>
                <w:rFonts w:hint="default" w:ascii="Times New Roman" w:hAnsi="宋体" w:eastAsia="宋体" w:cs="Times New Roman"/>
                <w:color w:val="auto"/>
                <w:kern w:val="2"/>
                <w:sz w:val="24"/>
                <w:szCs w:val="22"/>
                <w:u w:val="single" w:color="auto"/>
                <w:lang w:val="en-US" w:eastAsia="zh-CN" w:bidi="ar-SA"/>
              </w:rPr>
              <w:t>这部分危废由建设方委托有</w:t>
            </w:r>
            <w:r>
              <w:rPr>
                <w:rFonts w:hint="eastAsia" w:ascii="Times New Roman" w:hAnsi="宋体" w:eastAsia="宋体" w:cs="Times New Roman"/>
                <w:color w:val="auto"/>
                <w:kern w:val="2"/>
                <w:sz w:val="24"/>
                <w:szCs w:val="22"/>
                <w:u w:val="single" w:color="auto"/>
                <w:lang w:val="en-US" w:eastAsia="zh-CN" w:bidi="ar-SA"/>
              </w:rPr>
              <w:t>资质</w:t>
            </w:r>
            <w:r>
              <w:rPr>
                <w:rFonts w:hint="default" w:ascii="Times New Roman" w:hAnsi="宋体" w:eastAsia="宋体" w:cs="Times New Roman"/>
                <w:color w:val="auto"/>
                <w:kern w:val="2"/>
                <w:sz w:val="24"/>
                <w:szCs w:val="22"/>
                <w:u w:val="single" w:color="auto"/>
                <w:lang w:val="en-US" w:eastAsia="zh-CN" w:bidi="ar-SA"/>
              </w:rPr>
              <w:t>的单位进行处理</w:t>
            </w:r>
            <w:r>
              <w:rPr>
                <w:rFonts w:hint="eastAsia" w:ascii="Times New Roman" w:hAnsi="宋体" w:eastAsia="宋体" w:cs="Times New Roman"/>
                <w:color w:val="auto"/>
                <w:kern w:val="2"/>
                <w:sz w:val="24"/>
                <w:szCs w:val="22"/>
                <w:u w:val="single" w:color="auto"/>
                <w:lang w:val="en-US" w:eastAsia="zh-CN" w:bidi="ar-SA"/>
              </w:rPr>
              <w:t>。</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w:t>
            </w:r>
            <w:r>
              <w:rPr>
                <w:rFonts w:hint="eastAsia" w:hAnsi="宋体" w:cs="Times New Roman"/>
                <w:color w:val="auto"/>
                <w:kern w:val="2"/>
                <w:sz w:val="24"/>
                <w:szCs w:val="22"/>
                <w:u w:val="single" w:color="auto"/>
                <w:lang w:val="en-US" w:eastAsia="zh-CN" w:bidi="ar-SA"/>
              </w:rPr>
              <w:t>8</w:t>
            </w:r>
            <w:r>
              <w:rPr>
                <w:rFonts w:hint="eastAsia" w:hAnsi="宋体" w:eastAsia="宋体" w:cs="Times New Roman"/>
                <w:color w:val="auto"/>
                <w:kern w:val="2"/>
                <w:sz w:val="24"/>
                <w:szCs w:val="22"/>
                <w:u w:val="single" w:color="auto"/>
                <w:lang w:val="en-US" w:eastAsia="zh-CN" w:bidi="ar-SA"/>
              </w:rPr>
              <w:t>）</w:t>
            </w:r>
            <w:r>
              <w:rPr>
                <w:rFonts w:hint="eastAsia" w:ascii="Times New Roman" w:hAnsi="宋体" w:eastAsia="宋体" w:cs="Times New Roman"/>
                <w:color w:val="auto"/>
                <w:kern w:val="2"/>
                <w:sz w:val="24"/>
                <w:szCs w:val="22"/>
                <w:u w:val="single" w:color="auto"/>
                <w:lang w:val="en-US" w:eastAsia="zh-CN" w:bidi="ar-SA"/>
              </w:rPr>
              <w:t>收集的加工粉尘</w:t>
            </w:r>
          </w:p>
          <w:p>
            <w:pPr>
              <w:keepNext w:val="0"/>
              <w:keepLines w:val="0"/>
              <w:pageBreakBefore w:val="0"/>
              <w:kinsoku/>
              <w:wordWrap/>
              <w:overflowPunct/>
              <w:topLinePunct w:val="0"/>
              <w:autoSpaceDE/>
              <w:autoSpaceDN/>
              <w:bidi w:val="0"/>
              <w:adjustRightInd/>
              <w:snapToGrid w:val="0"/>
              <w:spacing w:line="360" w:lineRule="auto"/>
              <w:ind w:firstLine="462" w:firstLineChars="200"/>
              <w:textAlignment w:val="auto"/>
              <w:rPr>
                <w:rFonts w:hint="eastAsia" w:hAnsi="宋体" w:cs="Times New Roman"/>
                <w:color w:val="auto"/>
                <w:kern w:val="2"/>
                <w:sz w:val="24"/>
                <w:szCs w:val="22"/>
                <w:u w:val="single" w:color="auto"/>
                <w:lang w:val="en-US" w:eastAsia="zh-CN" w:bidi="ar-SA"/>
              </w:rPr>
            </w:pPr>
            <w:r>
              <w:rPr>
                <w:rFonts w:hint="eastAsia" w:hAnsi="宋体" w:eastAsia="宋体" w:cs="Times New Roman"/>
                <w:color w:val="auto"/>
                <w:kern w:val="2"/>
                <w:sz w:val="24"/>
                <w:szCs w:val="22"/>
                <w:u w:val="single" w:color="auto"/>
                <w:lang w:val="en-US" w:eastAsia="zh-CN" w:bidi="ar-SA"/>
              </w:rPr>
              <w:t>项目生产过程中经移动式烟尘净化器收集的粉尘</w:t>
            </w:r>
            <w:r>
              <w:rPr>
                <w:rFonts w:hint="eastAsia" w:ascii="Times New Roman" w:hAnsi="宋体" w:eastAsia="宋体" w:cs="Times New Roman"/>
                <w:color w:val="auto"/>
                <w:kern w:val="2"/>
                <w:sz w:val="24"/>
                <w:szCs w:val="22"/>
                <w:u w:val="single" w:color="auto"/>
                <w:lang w:val="en-US" w:eastAsia="zh-CN" w:bidi="ar-SA"/>
              </w:rPr>
              <w:t>，其产生量约为</w:t>
            </w:r>
            <w:r>
              <w:rPr>
                <w:rFonts w:hint="eastAsia" w:hAnsi="宋体" w:cs="Times New Roman"/>
                <w:color w:val="auto"/>
                <w:kern w:val="2"/>
                <w:sz w:val="24"/>
                <w:szCs w:val="22"/>
                <w:u w:val="single" w:color="auto"/>
                <w:lang w:val="en-US" w:eastAsia="zh-CN" w:bidi="ar-SA"/>
              </w:rPr>
              <w:t>0.00648</w:t>
            </w:r>
            <w:r>
              <w:rPr>
                <w:rFonts w:hint="eastAsia" w:ascii="Times New Roman" w:hAnsi="宋体" w:eastAsia="宋体" w:cs="Times New Roman"/>
                <w:color w:val="auto"/>
                <w:kern w:val="2"/>
                <w:sz w:val="24"/>
                <w:szCs w:val="22"/>
                <w:u w:val="single" w:color="auto"/>
                <w:lang w:val="en-US" w:eastAsia="zh-CN" w:bidi="ar-SA"/>
              </w:rPr>
              <w:t>t/a。属于一般固废。该部分固废收集后</w:t>
            </w:r>
            <w:r>
              <w:rPr>
                <w:rFonts w:hint="eastAsia" w:hAnsi="宋体" w:cs="Times New Roman"/>
                <w:color w:val="auto"/>
                <w:kern w:val="2"/>
                <w:sz w:val="24"/>
                <w:szCs w:val="22"/>
                <w:u w:val="single" w:color="auto"/>
                <w:lang w:val="en-US" w:eastAsia="zh-CN" w:bidi="ar-SA"/>
              </w:rPr>
              <w:t>交由环卫部门进行处理。</w:t>
            </w:r>
          </w:p>
          <w:p>
            <w:pPr>
              <w:keepNext w:val="0"/>
              <w:keepLines w:val="0"/>
              <w:pageBreakBefore w:val="0"/>
              <w:numPr>
                <w:ilvl w:val="0"/>
                <w:numId w:val="0"/>
              </w:numPr>
              <w:kinsoku/>
              <w:wordWrap/>
              <w:overflowPunct/>
              <w:topLinePunct w:val="0"/>
              <w:autoSpaceDE/>
              <w:autoSpaceDN/>
              <w:bidi w:val="0"/>
              <w:adjustRightInd/>
              <w:snapToGrid w:val="0"/>
              <w:spacing w:line="360" w:lineRule="auto"/>
              <w:ind w:firstLine="462" w:firstLineChars="200"/>
              <w:textAlignment w:val="auto"/>
              <w:rPr>
                <w:rFonts w:hint="eastAsia" w:ascii="Times New Roman" w:hAnsi="宋体" w:eastAsia="宋体" w:cs="Times New Roman"/>
                <w:color w:val="auto"/>
                <w:kern w:val="2"/>
                <w:sz w:val="24"/>
                <w:szCs w:val="22"/>
                <w:u w:val="single" w:color="auto"/>
                <w:lang w:val="en-US" w:eastAsia="zh-CN" w:bidi="ar-SA"/>
              </w:rPr>
            </w:pPr>
          </w:p>
          <w:p>
            <w:pPr>
              <w:widowControl/>
              <w:rPr>
                <w:rFonts w:hint="eastAsia"/>
                <w:color w:val="auto"/>
                <w:u w:val="none" w:color="auto"/>
              </w:rPr>
            </w:pPr>
          </w:p>
        </w:tc>
      </w:tr>
    </w:tbl>
    <w:p>
      <w:pPr>
        <w:snapToGrid w:val="0"/>
        <w:outlineLvl w:val="0"/>
        <w:rPr>
          <w:rFonts w:ascii="黑体" w:hAnsi="黑体" w:eastAsia="黑体"/>
          <w:color w:val="auto"/>
          <w:sz w:val="32"/>
          <w:szCs w:val="32"/>
          <w:u w:val="none" w:color="auto"/>
        </w:rPr>
      </w:pPr>
      <w:r>
        <w:rPr>
          <w:color w:val="auto"/>
          <w:u w:val="none" w:color="auto"/>
        </w:rPr>
        <w:br w:type="page"/>
      </w:r>
      <w:bookmarkStart w:id="6" w:name="_Toc8822"/>
      <w:r>
        <w:rPr>
          <w:rFonts w:hint="eastAsia" w:ascii="黑体" w:hAnsi="黑体" w:eastAsia="黑体"/>
          <w:color w:val="auto"/>
          <w:sz w:val="32"/>
          <w:szCs w:val="32"/>
          <w:u w:val="none" w:color="auto"/>
        </w:rPr>
        <w:t>六、</w:t>
      </w:r>
      <w:r>
        <w:rPr>
          <w:rFonts w:ascii="黑体" w:hAnsi="黑体" w:eastAsia="黑体"/>
          <w:color w:val="auto"/>
          <w:sz w:val="32"/>
          <w:szCs w:val="32"/>
          <w:u w:val="none" w:color="auto"/>
        </w:rPr>
        <w:t>项目主要污染物产生及预计排放情况</w:t>
      </w:r>
      <w:bookmarkEnd w:id="6"/>
    </w:p>
    <w:tbl>
      <w:tblPr>
        <w:tblStyle w:val="40"/>
        <w:tblW w:w="92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80"/>
        <w:gridCol w:w="477"/>
        <w:gridCol w:w="1460"/>
        <w:gridCol w:w="1680"/>
        <w:gridCol w:w="2125"/>
        <w:gridCol w:w="30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2" w:hRule="atLeast"/>
          <w:jc w:val="center"/>
        </w:trPr>
        <w:tc>
          <w:tcPr>
            <w:tcW w:w="480" w:type="dxa"/>
            <w:tcBorders>
              <w:tl2br w:val="nil"/>
              <w:tr2bl w:val="nil"/>
            </w:tcBorders>
          </w:tcPr>
          <w:p>
            <w:pPr>
              <w:spacing w:line="360" w:lineRule="auto"/>
              <w:rPr>
                <w:b/>
                <w:bCs/>
                <w:color w:val="auto"/>
                <w:szCs w:val="21"/>
                <w:u w:val="none" w:color="auto"/>
              </w:rPr>
            </w:pPr>
          </w:p>
        </w:tc>
        <w:tc>
          <w:tcPr>
            <w:tcW w:w="1937" w:type="dxa"/>
            <w:gridSpan w:val="2"/>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排放源</w:t>
            </w:r>
          </w:p>
          <w:p>
            <w:pPr>
              <w:spacing w:line="360" w:lineRule="auto"/>
              <w:ind w:firstLine="402" w:firstLineChars="200"/>
              <w:jc w:val="center"/>
              <w:rPr>
                <w:b/>
                <w:bCs/>
                <w:color w:val="auto"/>
                <w:szCs w:val="21"/>
                <w:u w:val="none" w:color="auto"/>
              </w:rPr>
            </w:pPr>
            <w:r>
              <w:rPr>
                <w:b/>
                <w:bCs/>
                <w:color w:val="auto"/>
                <w:szCs w:val="21"/>
                <w:u w:val="none" w:color="auto"/>
              </w:rPr>
              <w:t>（编号）</w:t>
            </w:r>
          </w:p>
        </w:tc>
        <w:tc>
          <w:tcPr>
            <w:tcW w:w="16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污染物</w:t>
            </w:r>
          </w:p>
          <w:p>
            <w:pPr>
              <w:spacing w:line="360" w:lineRule="auto"/>
              <w:jc w:val="center"/>
              <w:rPr>
                <w:b/>
                <w:bCs/>
                <w:color w:val="auto"/>
                <w:szCs w:val="21"/>
                <w:u w:val="none" w:color="auto"/>
              </w:rPr>
            </w:pPr>
            <w:r>
              <w:rPr>
                <w:b/>
                <w:bCs/>
                <w:color w:val="auto"/>
                <w:szCs w:val="21"/>
                <w:u w:val="none" w:color="auto"/>
              </w:rPr>
              <w:t>名称</w:t>
            </w:r>
          </w:p>
        </w:tc>
        <w:tc>
          <w:tcPr>
            <w:tcW w:w="2125"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处理前产生浓度及产生量（单位）</w:t>
            </w:r>
          </w:p>
        </w:tc>
        <w:tc>
          <w:tcPr>
            <w:tcW w:w="3075" w:type="dxa"/>
            <w:tcBorders>
              <w:tl2br w:val="nil"/>
              <w:tr2bl w:val="nil"/>
            </w:tcBorders>
            <w:vAlign w:val="center"/>
          </w:tcPr>
          <w:p>
            <w:pPr>
              <w:spacing w:line="360" w:lineRule="auto"/>
              <w:ind w:firstLine="402" w:firstLineChars="200"/>
              <w:jc w:val="center"/>
              <w:rPr>
                <w:b/>
                <w:bCs/>
                <w:color w:val="auto"/>
                <w:szCs w:val="21"/>
                <w:u w:val="none" w:color="auto"/>
              </w:rPr>
            </w:pPr>
            <w:r>
              <w:rPr>
                <w:b/>
                <w:bCs/>
                <w:color w:val="auto"/>
                <w:szCs w:val="21"/>
                <w:u w:val="none" w:color="auto"/>
              </w:rPr>
              <w:t>排放浓度</w:t>
            </w:r>
          </w:p>
          <w:p>
            <w:pPr>
              <w:spacing w:line="360" w:lineRule="auto"/>
              <w:ind w:firstLine="402" w:firstLineChars="200"/>
              <w:jc w:val="center"/>
              <w:rPr>
                <w:b/>
                <w:bCs/>
                <w:color w:val="auto"/>
                <w:szCs w:val="21"/>
                <w:u w:val="none" w:color="auto"/>
              </w:rPr>
            </w:pPr>
            <w:r>
              <w:rPr>
                <w:b/>
                <w:bCs/>
                <w:color w:val="auto"/>
                <w:szCs w:val="21"/>
                <w:u w:val="none" w:color="auto"/>
              </w:rPr>
              <w:t>及排放量（单位）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rFonts w:hint="eastAsia"/>
                <w:b/>
                <w:bCs/>
                <w:color w:val="auto"/>
                <w:szCs w:val="21"/>
                <w:u w:val="none" w:color="auto"/>
              </w:rPr>
              <w:t>大气污染物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运营期</w:t>
            </w:r>
          </w:p>
        </w:tc>
        <w:tc>
          <w:tcPr>
            <w:tcW w:w="146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焊接烟尘</w:t>
            </w:r>
          </w:p>
        </w:tc>
        <w:tc>
          <w:tcPr>
            <w:tcW w:w="168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颗粒物</w:t>
            </w:r>
          </w:p>
        </w:tc>
        <w:tc>
          <w:tcPr>
            <w:tcW w:w="2125" w:type="dxa"/>
            <w:tcBorders>
              <w:tl2br w:val="nil"/>
              <w:tr2bl w:val="nil"/>
            </w:tcBorders>
            <w:vAlign w:val="center"/>
          </w:tcPr>
          <w:p>
            <w:pPr>
              <w:spacing w:line="360" w:lineRule="auto"/>
              <w:jc w:val="center"/>
              <w:rPr>
                <w:color w:val="auto"/>
                <w:szCs w:val="21"/>
                <w:u w:val="none" w:color="auto"/>
              </w:rPr>
            </w:pPr>
            <w:r>
              <w:rPr>
                <w:color w:val="auto"/>
                <w:szCs w:val="21"/>
                <w:u w:val="none" w:color="auto"/>
              </w:rPr>
              <w:t>0.</w:t>
            </w:r>
            <w:r>
              <w:rPr>
                <w:rFonts w:hint="eastAsia"/>
                <w:color w:val="auto"/>
                <w:szCs w:val="21"/>
                <w:u w:val="none" w:color="auto"/>
                <w:lang w:val="en-US" w:eastAsia="zh-CN"/>
              </w:rPr>
              <w:t>008</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0.0</w:t>
            </w:r>
            <w:r>
              <w:rPr>
                <w:rFonts w:hint="eastAsia"/>
                <w:color w:val="auto"/>
                <w:szCs w:val="21"/>
                <w:u w:val="none" w:color="auto"/>
                <w:lang w:val="en-US" w:eastAsia="zh-CN"/>
              </w:rPr>
              <w:t>0152</w:t>
            </w:r>
            <w:r>
              <w:rPr>
                <w:color w:val="auto"/>
                <w:szCs w:val="21"/>
                <w:u w:val="none" w:color="auto"/>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480" w:type="dxa"/>
            <w:vMerge w:val="continue"/>
            <w:tcBorders>
              <w:tl2br w:val="nil"/>
              <w:tr2bl w:val="nil"/>
            </w:tcBorders>
            <w:vAlign w:val="center"/>
          </w:tcPr>
          <w:p>
            <w:pPr>
              <w:spacing w:line="360" w:lineRule="auto"/>
              <w:jc w:val="center"/>
              <w:rPr>
                <w:rFonts w:hint="eastAsia"/>
                <w:b/>
                <w:bCs/>
                <w:color w:val="auto"/>
                <w:szCs w:val="21"/>
                <w:u w:val="none" w:color="auto"/>
              </w:rPr>
            </w:pPr>
          </w:p>
        </w:tc>
        <w:tc>
          <w:tcPr>
            <w:tcW w:w="477" w:type="dxa"/>
            <w:vMerge w:val="continue"/>
            <w:tcBorders>
              <w:tl2br w:val="nil"/>
              <w:tr2bl w:val="nil"/>
            </w:tcBorders>
            <w:vAlign w:val="center"/>
          </w:tcPr>
          <w:p>
            <w:pPr>
              <w:spacing w:line="360" w:lineRule="auto"/>
              <w:jc w:val="center"/>
              <w:rPr>
                <w:rFonts w:hint="eastAsia"/>
                <w:color w:val="auto"/>
                <w:szCs w:val="21"/>
                <w:u w:val="none" w:color="auto"/>
              </w:rPr>
            </w:pPr>
          </w:p>
        </w:tc>
        <w:tc>
          <w:tcPr>
            <w:tcW w:w="1460" w:type="dxa"/>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喷塑粉尘</w:t>
            </w:r>
          </w:p>
        </w:tc>
        <w:tc>
          <w:tcPr>
            <w:tcW w:w="1680" w:type="dxa"/>
            <w:tcBorders>
              <w:tl2br w:val="nil"/>
              <w:tr2bl w:val="nil"/>
            </w:tcBorders>
            <w:vAlign w:val="center"/>
          </w:tcPr>
          <w:p>
            <w:pPr>
              <w:spacing w:line="360" w:lineRule="auto"/>
              <w:jc w:val="center"/>
              <w:rPr>
                <w:rFonts w:hint="eastAsia"/>
                <w:color w:val="auto"/>
                <w:szCs w:val="21"/>
                <w:u w:val="none" w:color="auto"/>
              </w:rPr>
            </w:pPr>
            <w:r>
              <w:rPr>
                <w:rFonts w:hint="eastAsia"/>
                <w:color w:val="auto"/>
                <w:szCs w:val="21"/>
                <w:u w:val="none" w:color="auto"/>
              </w:rPr>
              <w:t>颗粒物</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0.5</w:t>
            </w:r>
            <w:r>
              <w:rPr>
                <w:color w:val="auto"/>
                <w:szCs w:val="21"/>
                <w:u w:val="none" w:color="auto"/>
              </w:rPr>
              <w:t>kg/h</w:t>
            </w:r>
          </w:p>
        </w:tc>
        <w:tc>
          <w:tcPr>
            <w:tcW w:w="3075" w:type="dxa"/>
            <w:tcBorders>
              <w:tl2br w:val="nil"/>
              <w:tr2bl w:val="nil"/>
            </w:tcBorders>
            <w:vAlign w:val="center"/>
          </w:tcPr>
          <w:p>
            <w:pPr>
              <w:bidi w:val="0"/>
              <w:spacing w:line="360" w:lineRule="auto"/>
              <w:rPr>
                <w:color w:val="auto"/>
                <w:u w:val="none" w:color="auto"/>
              </w:rPr>
            </w:pPr>
            <w:r>
              <w:rPr>
                <w:rFonts w:hint="eastAsia"/>
                <w:color w:val="auto"/>
                <w:szCs w:val="21"/>
                <w:u w:val="none" w:color="auto"/>
                <w:lang w:val="en-US" w:eastAsia="zh-CN"/>
              </w:rPr>
              <w:t>0.025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8.33</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restart"/>
            <w:tcBorders>
              <w:tl2br w:val="nil"/>
              <w:tr2bl w:val="nil"/>
            </w:tcBorders>
            <w:vAlign w:val="center"/>
          </w:tcPr>
          <w:p>
            <w:pPr>
              <w:spacing w:line="360" w:lineRule="auto"/>
              <w:jc w:val="center"/>
              <w:rPr>
                <w:rFonts w:hint="default" w:eastAsia="宋体"/>
                <w:color w:val="auto"/>
                <w:szCs w:val="21"/>
                <w:u w:val="none" w:color="auto"/>
                <w:lang w:val="en-US" w:eastAsia="zh-CN"/>
              </w:rPr>
            </w:pPr>
            <w:r>
              <w:rPr>
                <w:rFonts w:hint="eastAsia"/>
                <w:color w:val="auto"/>
                <w:szCs w:val="21"/>
                <w:u w:val="none" w:color="auto"/>
                <w:lang w:eastAsia="zh-CN"/>
              </w:rPr>
              <w:t>喷漆、喷塑后烘干固化</w:t>
            </w:r>
          </w:p>
        </w:tc>
        <w:tc>
          <w:tcPr>
            <w:tcW w:w="1680"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喷漆漆雾</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0.083</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0.00475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1.58</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continue"/>
            <w:tcBorders>
              <w:tl2br w:val="nil"/>
              <w:tr2bl w:val="nil"/>
            </w:tcBorders>
            <w:vAlign w:val="center"/>
          </w:tcPr>
          <w:p>
            <w:pPr>
              <w:spacing w:line="360" w:lineRule="auto"/>
              <w:jc w:val="center"/>
              <w:rPr>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0.0025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0.00417</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restart"/>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rPr>
              <w:t>V</w:t>
            </w:r>
            <w:r>
              <w:rPr>
                <w:color w:val="auto"/>
                <w:szCs w:val="21"/>
                <w:u w:val="none" w:color="auto"/>
              </w:rPr>
              <w:t>OCs</w:t>
            </w:r>
          </w:p>
        </w:tc>
        <w:tc>
          <w:tcPr>
            <w:tcW w:w="2125"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0.575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0.479</w:t>
            </w:r>
            <w:r>
              <w:rPr>
                <w:color w:val="auto"/>
                <w:szCs w:val="21"/>
                <w:u w:val="none" w:color="auto"/>
              </w:rPr>
              <w:t>kg/h</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0.1143</w:t>
            </w:r>
            <w:r>
              <w:rPr>
                <w:color w:val="auto"/>
                <w:szCs w:val="21"/>
                <w:u w:val="none" w:color="auto"/>
              </w:rPr>
              <w:t xml:space="preserve"> t/a</w:t>
            </w:r>
            <w:r>
              <w:rPr>
                <w:rFonts w:hint="eastAsia"/>
                <w:color w:val="auto"/>
                <w:szCs w:val="21"/>
                <w:u w:val="none" w:color="auto"/>
              </w:rPr>
              <w:t>，</w:t>
            </w:r>
            <w:r>
              <w:rPr>
                <w:rFonts w:hint="eastAsia"/>
                <w:color w:val="auto"/>
                <w:szCs w:val="21"/>
                <w:u w:val="none" w:color="auto"/>
                <w:lang w:val="en-US" w:eastAsia="zh-CN"/>
              </w:rPr>
              <w:t>24</w:t>
            </w:r>
            <w:r>
              <w:rPr>
                <w:color w:val="auto"/>
                <w:szCs w:val="21"/>
                <w:u w:val="none" w:color="auto"/>
              </w:rPr>
              <w:t>mg/m</w:t>
            </w:r>
            <w:r>
              <w:rPr>
                <w:color w:val="auto"/>
                <w:szCs w:val="21"/>
                <w:u w:val="none" w:color="auto"/>
                <w:vertAlign w:val="superscript"/>
              </w:rPr>
              <w:t>3</w:t>
            </w:r>
            <w:r>
              <w:rPr>
                <w:rFonts w:hint="eastAsia"/>
                <w:color w:val="auto"/>
                <w:szCs w:val="21"/>
                <w:u w:val="none" w:color="auto"/>
                <w:lang w:eastAsia="zh-CN"/>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vMerge w:val="continue"/>
            <w:tcBorders>
              <w:tl2br w:val="nil"/>
              <w:tr2bl w:val="nil"/>
            </w:tcBorders>
            <w:vAlign w:val="center"/>
          </w:tcPr>
          <w:p>
            <w:pPr>
              <w:spacing w:line="360" w:lineRule="auto"/>
              <w:jc w:val="center"/>
              <w:rPr>
                <w:color w:val="auto"/>
                <w:szCs w:val="21"/>
                <w:u w:val="none" w:color="auto"/>
              </w:rPr>
            </w:pPr>
          </w:p>
        </w:tc>
        <w:tc>
          <w:tcPr>
            <w:tcW w:w="2125" w:type="dxa"/>
            <w:vMerge w:val="continue"/>
            <w:tcBorders>
              <w:tl2br w:val="nil"/>
              <w:tr2bl w:val="nil"/>
            </w:tcBorders>
            <w:vAlign w:val="center"/>
          </w:tcPr>
          <w:p>
            <w:pPr>
              <w:spacing w:line="360" w:lineRule="auto"/>
              <w:jc w:val="center"/>
              <w:rPr>
                <w:color w:val="auto"/>
                <w:szCs w:val="21"/>
                <w:u w:val="none" w:color="auto"/>
              </w:rPr>
            </w:pP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0.00375</w:t>
            </w:r>
            <w:r>
              <w:rPr>
                <w:color w:val="auto"/>
                <w:szCs w:val="21"/>
                <w:u w:val="none" w:color="auto"/>
              </w:rPr>
              <w:t>t/a</w:t>
            </w:r>
            <w:r>
              <w:rPr>
                <w:rFonts w:hint="eastAsia"/>
                <w:color w:val="auto"/>
                <w:szCs w:val="21"/>
                <w:u w:val="none" w:color="auto"/>
              </w:rPr>
              <w:t>，</w:t>
            </w:r>
            <w:r>
              <w:rPr>
                <w:rFonts w:hint="eastAsia"/>
                <w:color w:val="auto"/>
                <w:szCs w:val="21"/>
                <w:u w:val="none" w:color="auto"/>
                <w:lang w:val="en-US" w:eastAsia="zh-CN"/>
              </w:rPr>
              <w:t>0..00625</w:t>
            </w:r>
            <w:r>
              <w:rPr>
                <w:color w:val="auto"/>
                <w:szCs w:val="21"/>
                <w:u w:val="none" w:color="auto"/>
              </w:rPr>
              <w:t>kg/h</w:t>
            </w:r>
            <w:r>
              <w:rPr>
                <w:rFonts w:hint="eastAsia"/>
                <w:color w:val="auto"/>
                <w:szCs w:val="21"/>
                <w:u w:val="none" w:color="auto"/>
                <w:lang w:eastAsia="zh-CN"/>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水污</w:t>
            </w:r>
          </w:p>
          <w:p>
            <w:pPr>
              <w:spacing w:line="360" w:lineRule="auto"/>
              <w:jc w:val="center"/>
              <w:rPr>
                <w:b/>
                <w:bCs/>
                <w:color w:val="auto"/>
                <w:szCs w:val="21"/>
                <w:u w:val="none" w:color="auto"/>
              </w:rPr>
            </w:pPr>
            <w:r>
              <w:rPr>
                <w:b/>
                <w:bCs/>
                <w:color w:val="auto"/>
                <w:szCs w:val="21"/>
                <w:u w:val="none" w:color="auto"/>
              </w:rPr>
              <w:t>染物</w:t>
            </w:r>
          </w:p>
        </w:tc>
        <w:tc>
          <w:tcPr>
            <w:tcW w:w="477"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营</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运</w:t>
            </w:r>
          </w:p>
          <w:p>
            <w:pPr>
              <w:tabs>
                <w:tab w:val="left" w:pos="4425"/>
              </w:tabs>
              <w:adjustRightInd w:val="0"/>
              <w:snapToGrid w:val="0"/>
              <w:spacing w:line="360" w:lineRule="auto"/>
              <w:jc w:val="center"/>
              <w:rPr>
                <w:color w:val="auto"/>
                <w:szCs w:val="21"/>
                <w:u w:val="none" w:color="auto"/>
              </w:rPr>
            </w:pPr>
            <w:r>
              <w:rPr>
                <w:rFonts w:hint="eastAsia"/>
                <w:color w:val="auto"/>
                <w:szCs w:val="21"/>
                <w:u w:val="none" w:color="auto"/>
              </w:rPr>
              <w:t>期</w:t>
            </w:r>
          </w:p>
        </w:tc>
        <w:tc>
          <w:tcPr>
            <w:tcW w:w="1460" w:type="dxa"/>
            <w:vMerge w:val="restart"/>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生活污</w:t>
            </w:r>
            <w:r>
              <w:rPr>
                <w:rFonts w:hint="eastAsia"/>
                <w:color w:val="auto"/>
                <w:szCs w:val="21"/>
                <w:u w:val="none" w:color="auto"/>
              </w:rPr>
              <w:t>水</w:t>
            </w:r>
            <w:r>
              <w:rPr>
                <w:rFonts w:hint="eastAsia"/>
                <w:color w:val="auto"/>
                <w:szCs w:val="21"/>
                <w:u w:val="none" w:color="auto"/>
                <w:lang w:val="en-US" w:eastAsia="zh-CN"/>
              </w:rPr>
              <w:t>1200</w:t>
            </w:r>
            <w:r>
              <w:rPr>
                <w:color w:val="auto"/>
                <w:szCs w:val="21"/>
                <w:u w:val="none" w:color="auto"/>
              </w:rPr>
              <w:t>m</w:t>
            </w:r>
            <w:r>
              <w:rPr>
                <w:color w:val="auto"/>
                <w:szCs w:val="21"/>
                <w:u w:val="none" w:color="auto"/>
                <w:vertAlign w:val="superscript"/>
              </w:rPr>
              <w:t>3</w:t>
            </w:r>
            <w:r>
              <w:rPr>
                <w:color w:val="auto"/>
                <w:szCs w:val="21"/>
                <w:u w:val="none" w:color="auto"/>
              </w:rPr>
              <w:t>/a</w:t>
            </w:r>
          </w:p>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COD</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300mg/L，</w:t>
            </w:r>
            <w:r>
              <w:rPr>
                <w:rFonts w:hint="eastAsia"/>
                <w:color w:val="auto"/>
                <w:szCs w:val="21"/>
                <w:u w:val="none" w:color="auto"/>
                <w:lang w:val="en-US" w:eastAsia="zh-CN"/>
              </w:rPr>
              <w:t>0.36</w:t>
            </w:r>
            <w:r>
              <w:rPr>
                <w:color w:val="auto"/>
                <w:szCs w:val="21"/>
                <w:u w:val="none" w:color="auto"/>
              </w:rPr>
              <w:t>t/a</w:t>
            </w:r>
          </w:p>
        </w:tc>
        <w:tc>
          <w:tcPr>
            <w:tcW w:w="3075" w:type="dxa"/>
            <w:vMerge w:val="restart"/>
            <w:tcBorders>
              <w:tl2br w:val="nil"/>
              <w:tr2bl w:val="nil"/>
            </w:tcBorders>
            <w:vAlign w:val="center"/>
          </w:tcPr>
          <w:p>
            <w:pPr>
              <w:adjustRightInd w:val="0"/>
              <w:snapToGrid w:val="0"/>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经化粪池处理后排入园区污水管网进入湘阴县第二污水处理厂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BOD</w:t>
            </w:r>
            <w:r>
              <w:rPr>
                <w:color w:val="auto"/>
                <w:szCs w:val="21"/>
                <w:u w:val="none" w:color="auto"/>
                <w:vertAlign w:val="subscript"/>
              </w:rPr>
              <w:t>5</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200mg/L，</w:t>
            </w:r>
            <w:r>
              <w:rPr>
                <w:rFonts w:hint="eastAsia"/>
                <w:color w:val="auto"/>
                <w:szCs w:val="21"/>
                <w:u w:val="none" w:color="auto"/>
                <w:lang w:val="en-US" w:eastAsia="zh-CN"/>
              </w:rPr>
              <w:t>0.24</w:t>
            </w:r>
            <w:r>
              <w:rPr>
                <w:color w:val="auto"/>
                <w:szCs w:val="21"/>
                <w:u w:val="none" w:color="auto"/>
              </w:rPr>
              <w:t xml:space="preserve"> 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SS</w:t>
            </w:r>
          </w:p>
        </w:tc>
        <w:tc>
          <w:tcPr>
            <w:tcW w:w="2125" w:type="dxa"/>
            <w:tcBorders>
              <w:tl2br w:val="nil"/>
              <w:tr2bl w:val="nil"/>
            </w:tcBorders>
            <w:vAlign w:val="center"/>
          </w:tcPr>
          <w:p>
            <w:pPr>
              <w:adjustRightInd w:val="0"/>
              <w:snapToGrid w:val="0"/>
              <w:spacing w:line="360" w:lineRule="auto"/>
              <w:jc w:val="center"/>
              <w:rPr>
                <w:color w:val="auto"/>
                <w:szCs w:val="21"/>
                <w:u w:val="none" w:color="auto"/>
              </w:rPr>
            </w:pPr>
            <w:r>
              <w:rPr>
                <w:color w:val="auto"/>
                <w:szCs w:val="21"/>
                <w:u w:val="none" w:color="auto"/>
              </w:rPr>
              <w:t>250mg/L，</w:t>
            </w:r>
            <w:r>
              <w:rPr>
                <w:rFonts w:hint="eastAsia"/>
                <w:color w:val="auto"/>
                <w:szCs w:val="21"/>
                <w:u w:val="none" w:color="auto"/>
                <w:lang w:val="en-US" w:eastAsia="zh-CN"/>
              </w:rPr>
              <w:t>0.30</w:t>
            </w:r>
            <w:r>
              <w:rPr>
                <w:color w:val="auto"/>
                <w:szCs w:val="21"/>
                <w:u w:val="none" w:color="auto"/>
              </w:rPr>
              <w:t>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tabs>
                <w:tab w:val="left" w:pos="4425"/>
              </w:tabs>
              <w:adjustRightInd w:val="0"/>
              <w:snapToGrid w:val="0"/>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tabs>
                <w:tab w:val="left" w:pos="4425"/>
              </w:tabs>
              <w:adjustRightInd w:val="0"/>
              <w:snapToGrid w:val="0"/>
              <w:spacing w:line="360" w:lineRule="auto"/>
              <w:jc w:val="center"/>
              <w:rPr>
                <w:color w:val="auto"/>
                <w:szCs w:val="21"/>
                <w:u w:val="none" w:color="auto"/>
              </w:rPr>
            </w:pPr>
            <w:r>
              <w:rPr>
                <w:color w:val="auto"/>
                <w:szCs w:val="21"/>
                <w:u w:val="none" w:color="auto"/>
              </w:rPr>
              <w:t>NH</w:t>
            </w:r>
            <w:r>
              <w:rPr>
                <w:color w:val="auto"/>
                <w:szCs w:val="21"/>
                <w:u w:val="none" w:color="auto"/>
                <w:vertAlign w:val="subscript"/>
              </w:rPr>
              <w:t>3</w:t>
            </w:r>
            <w:r>
              <w:rPr>
                <w:color w:val="auto"/>
                <w:szCs w:val="21"/>
                <w:u w:val="none" w:color="auto"/>
              </w:rPr>
              <w:t>-N</w:t>
            </w:r>
          </w:p>
        </w:tc>
        <w:tc>
          <w:tcPr>
            <w:tcW w:w="2125" w:type="dxa"/>
            <w:tcBorders>
              <w:tl2br w:val="nil"/>
              <w:tr2bl w:val="nil"/>
            </w:tcBorders>
            <w:vAlign w:val="center"/>
          </w:tcPr>
          <w:p>
            <w:pPr>
              <w:spacing w:line="360" w:lineRule="auto"/>
              <w:jc w:val="center"/>
              <w:rPr>
                <w:color w:val="auto"/>
                <w:szCs w:val="21"/>
                <w:u w:val="none" w:color="auto"/>
              </w:rPr>
            </w:pPr>
            <w:r>
              <w:rPr>
                <w:color w:val="auto"/>
                <w:szCs w:val="21"/>
                <w:u w:val="none" w:color="auto"/>
              </w:rPr>
              <w:t>30mg/L，</w:t>
            </w:r>
            <w:r>
              <w:rPr>
                <w:rFonts w:hint="eastAsia"/>
                <w:color w:val="auto"/>
                <w:szCs w:val="21"/>
                <w:u w:val="none" w:color="auto"/>
                <w:lang w:val="en-US" w:eastAsia="zh-CN"/>
              </w:rPr>
              <w:t>0.036</w:t>
            </w:r>
            <w:r>
              <w:rPr>
                <w:color w:val="auto"/>
                <w:szCs w:val="21"/>
                <w:u w:val="none" w:color="auto"/>
              </w:rPr>
              <w:t>t/a</w:t>
            </w:r>
          </w:p>
        </w:tc>
        <w:tc>
          <w:tcPr>
            <w:tcW w:w="3075" w:type="dxa"/>
            <w:vMerge w:val="continue"/>
            <w:tcBorders>
              <w:tl2br w:val="nil"/>
              <w:tr2bl w:val="nil"/>
            </w:tcBorders>
            <w:vAlign w:val="center"/>
          </w:tcPr>
          <w:p>
            <w:pPr>
              <w:adjustRightInd w:val="0"/>
              <w:snapToGrid w:val="0"/>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480" w:type="dxa"/>
            <w:vMerge w:val="restart"/>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固体</w:t>
            </w:r>
          </w:p>
          <w:p>
            <w:pPr>
              <w:spacing w:line="360" w:lineRule="auto"/>
              <w:jc w:val="center"/>
              <w:rPr>
                <w:b/>
                <w:bCs/>
                <w:color w:val="auto"/>
                <w:szCs w:val="21"/>
                <w:u w:val="none" w:color="auto"/>
              </w:rPr>
            </w:pPr>
            <w:r>
              <w:rPr>
                <w:b/>
                <w:bCs/>
                <w:color w:val="auto"/>
                <w:szCs w:val="21"/>
                <w:u w:val="none" w:color="auto"/>
              </w:rPr>
              <w:t>废物</w:t>
            </w:r>
          </w:p>
        </w:tc>
        <w:tc>
          <w:tcPr>
            <w:tcW w:w="477" w:type="dxa"/>
            <w:vMerge w:val="restart"/>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60" w:type="dxa"/>
            <w:vMerge w:val="restart"/>
            <w:tcBorders>
              <w:tl2br w:val="nil"/>
              <w:tr2bl w:val="nil"/>
            </w:tcBorders>
            <w:vAlign w:val="center"/>
          </w:tcPr>
          <w:p>
            <w:pPr>
              <w:spacing w:line="360" w:lineRule="auto"/>
              <w:ind w:firstLine="201" w:firstLineChars="100"/>
              <w:rPr>
                <w:rFonts w:hint="eastAsia" w:eastAsia="宋体"/>
                <w:color w:val="auto"/>
                <w:szCs w:val="21"/>
                <w:u w:val="none" w:color="auto"/>
                <w:lang w:eastAsia="zh-CN"/>
              </w:rPr>
            </w:pPr>
            <w:r>
              <w:rPr>
                <w:rFonts w:hint="eastAsia"/>
                <w:color w:val="auto"/>
                <w:szCs w:val="21"/>
                <w:u w:val="none" w:color="auto"/>
                <w:lang w:eastAsia="zh-CN"/>
              </w:rPr>
              <w:t>生产过程</w:t>
            </w: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废金属边角料</w:t>
            </w:r>
          </w:p>
        </w:tc>
        <w:tc>
          <w:tcPr>
            <w:tcW w:w="212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val="en-US" w:eastAsia="zh-CN"/>
              </w:rPr>
              <w:t>2.49</w:t>
            </w:r>
            <w:r>
              <w:rPr>
                <w:rFonts w:hint="eastAsia"/>
                <w:color w:val="auto"/>
                <w:szCs w:val="21"/>
                <w:u w:val="none" w:color="auto"/>
                <w:lang w:eastAsia="zh-CN"/>
              </w:rPr>
              <w:t xml:space="preserve"> t /a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收集后外售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喷塑过程中收集的粉尘</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0.475</w:t>
            </w:r>
            <w:r>
              <w:rPr>
                <w:color w:val="auto"/>
                <w:szCs w:val="21"/>
                <w:u w:val="none" w:color="auto"/>
              </w:rPr>
              <w:t>t/a</w:t>
            </w:r>
          </w:p>
        </w:tc>
        <w:tc>
          <w:tcPr>
            <w:tcW w:w="3075" w:type="dxa"/>
            <w:tcBorders>
              <w:tl2br w:val="nil"/>
              <w:tr2bl w:val="nil"/>
            </w:tcBorders>
            <w:vAlign w:val="center"/>
          </w:tcPr>
          <w:p>
            <w:pPr>
              <w:spacing w:line="360" w:lineRule="auto"/>
              <w:jc w:val="center"/>
              <w:rPr>
                <w:rFonts w:hint="eastAsia" w:eastAsia="宋体"/>
                <w:color w:val="auto"/>
                <w:szCs w:val="21"/>
                <w:u w:val="none" w:color="auto"/>
                <w:lang w:eastAsia="zh-CN"/>
              </w:rPr>
            </w:pPr>
            <w:r>
              <w:rPr>
                <w:rFonts w:hint="eastAsia"/>
                <w:color w:val="auto"/>
                <w:szCs w:val="21"/>
                <w:u w:val="none" w:color="auto"/>
                <w:lang w:eastAsia="zh-CN"/>
              </w:rPr>
              <w:t>回用于生产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除尘器收集</w:t>
            </w:r>
          </w:p>
          <w:p>
            <w:pPr>
              <w:spacing w:line="360" w:lineRule="auto"/>
              <w:jc w:val="center"/>
              <w:rPr>
                <w:rFonts w:hint="eastAsia"/>
                <w:color w:val="auto"/>
                <w:szCs w:val="21"/>
                <w:u w:val="none" w:color="auto"/>
                <w:lang w:eastAsia="zh-CN"/>
              </w:rPr>
            </w:pPr>
            <w:r>
              <w:rPr>
                <w:rFonts w:hint="eastAsia"/>
                <w:color w:val="auto"/>
                <w:szCs w:val="21"/>
                <w:u w:val="none" w:color="auto"/>
                <w:lang w:eastAsia="zh-CN"/>
              </w:rPr>
              <w:t>的粉尘</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0.00648</w:t>
            </w:r>
            <w:r>
              <w:rPr>
                <w:color w:val="auto"/>
                <w:szCs w:val="21"/>
                <w:u w:val="none" w:color="auto"/>
              </w:rPr>
              <w:t>t/a</w:t>
            </w:r>
          </w:p>
        </w:tc>
        <w:tc>
          <w:tcPr>
            <w:tcW w:w="3075"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废活性炭</w:t>
            </w:r>
          </w:p>
        </w:tc>
        <w:tc>
          <w:tcPr>
            <w:tcW w:w="2125" w:type="dxa"/>
            <w:tcBorders>
              <w:tl2br w:val="nil"/>
              <w:tr2bl w:val="nil"/>
            </w:tcBorders>
            <w:vAlign w:val="center"/>
          </w:tcPr>
          <w:p>
            <w:pPr>
              <w:spacing w:line="360" w:lineRule="auto"/>
              <w:jc w:val="center"/>
              <w:rPr>
                <w:rFonts w:hint="eastAsia"/>
                <w:color w:val="auto"/>
                <w:szCs w:val="21"/>
                <w:u w:val="none" w:color="auto"/>
                <w:lang w:val="en-US" w:eastAsia="zh-CN"/>
              </w:rPr>
            </w:pPr>
            <w:r>
              <w:rPr>
                <w:rFonts w:hint="eastAsia"/>
                <w:color w:val="auto"/>
                <w:szCs w:val="21"/>
                <w:u w:val="none" w:color="auto"/>
                <w:lang w:val="en-US" w:eastAsia="zh-CN"/>
              </w:rPr>
              <w:t>1.2</w:t>
            </w:r>
            <w:r>
              <w:rPr>
                <w:color w:val="auto"/>
                <w:szCs w:val="21"/>
                <w:u w:val="none" w:color="auto"/>
              </w:rPr>
              <w:t>t/a</w:t>
            </w:r>
          </w:p>
        </w:tc>
        <w:tc>
          <w:tcPr>
            <w:tcW w:w="3075" w:type="dxa"/>
            <w:vMerge w:val="restart"/>
            <w:tcBorders>
              <w:tl2br w:val="nil"/>
              <w:tr2bl w:val="nil"/>
            </w:tcBorders>
            <w:vAlign w:val="center"/>
          </w:tcPr>
          <w:p>
            <w:pPr>
              <w:spacing w:line="360" w:lineRule="auto"/>
              <w:jc w:val="center"/>
              <w:rPr>
                <w:color w:val="auto"/>
                <w:szCs w:val="21"/>
                <w:u w:val="none" w:color="auto"/>
              </w:rPr>
            </w:pPr>
            <w:r>
              <w:rPr>
                <w:color w:val="auto"/>
                <w:szCs w:val="21"/>
                <w:u w:val="none" w:color="auto"/>
              </w:rPr>
              <w:t>暂存危废暂存间，定期交由</w:t>
            </w:r>
            <w:r>
              <w:rPr>
                <w:rFonts w:hint="eastAsia"/>
                <w:color w:val="auto"/>
                <w:szCs w:val="21"/>
                <w:u w:val="none" w:color="auto"/>
                <w:lang w:eastAsia="zh-CN"/>
              </w:rPr>
              <w:t>有资质单位回收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lang w:eastAsia="zh-CN"/>
              </w:rPr>
              <w:t>含油抹布、手套</w:t>
            </w:r>
          </w:p>
        </w:tc>
        <w:tc>
          <w:tcPr>
            <w:tcW w:w="2125" w:type="dxa"/>
            <w:tcBorders>
              <w:tl2br w:val="nil"/>
              <w:tr2bl w:val="nil"/>
            </w:tcBorders>
            <w:vAlign w:val="center"/>
          </w:tcPr>
          <w:p>
            <w:pPr>
              <w:spacing w:line="360" w:lineRule="auto"/>
              <w:jc w:val="center"/>
              <w:rPr>
                <w:rFonts w:hint="default"/>
                <w:color w:val="auto"/>
                <w:szCs w:val="21"/>
                <w:u w:val="none" w:color="auto"/>
                <w:lang w:val="en-US" w:eastAsia="zh-CN"/>
              </w:rPr>
            </w:pPr>
            <w:r>
              <w:rPr>
                <w:rFonts w:hint="eastAsia"/>
                <w:color w:val="auto"/>
                <w:szCs w:val="21"/>
                <w:u w:val="none" w:color="auto"/>
                <w:lang w:val="en-US" w:eastAsia="zh-CN"/>
              </w:rPr>
              <w:t>0.004t/a</w:t>
            </w:r>
          </w:p>
        </w:tc>
        <w:tc>
          <w:tcPr>
            <w:tcW w:w="3075" w:type="dxa"/>
            <w:vMerge w:val="continue"/>
            <w:tcBorders>
              <w:tl2br w:val="nil"/>
              <w:tr2bl w:val="nil"/>
            </w:tcBorders>
            <w:vAlign w:val="center"/>
          </w:tcPr>
          <w:p>
            <w:pPr>
              <w:spacing w:line="360" w:lineRule="auto"/>
              <w:jc w:val="center"/>
              <w:rPr>
                <w:color w:val="auto"/>
                <w:szCs w:val="21"/>
                <w:u w:val="none" w:color="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1"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rFonts w:hint="eastAsia"/>
                <w:color w:val="auto"/>
                <w:szCs w:val="21"/>
                <w:u w:val="none" w:color="auto"/>
                <w:lang w:eastAsia="zh-CN"/>
              </w:rPr>
            </w:pPr>
            <w:r>
              <w:rPr>
                <w:rFonts w:hint="eastAsia"/>
                <w:color w:val="auto"/>
                <w:szCs w:val="21"/>
                <w:u w:val="none" w:color="auto"/>
              </w:rPr>
              <w:t>漆渣</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0.004</w:t>
            </w:r>
            <w:r>
              <w:rPr>
                <w:color w:val="auto"/>
                <w:szCs w:val="21"/>
                <w:u w:val="none" w:color="auto"/>
              </w:rPr>
              <w:t>t/a</w:t>
            </w:r>
          </w:p>
        </w:tc>
        <w:tc>
          <w:tcPr>
            <w:tcW w:w="3075" w:type="dxa"/>
            <w:vMerge w:val="continue"/>
            <w:tcBorders>
              <w:tl2br w:val="nil"/>
              <w:tr2bl w:val="nil"/>
            </w:tcBorders>
            <w:vAlign w:val="center"/>
          </w:tcPr>
          <w:p>
            <w:pPr>
              <w:spacing w:line="360" w:lineRule="auto"/>
              <w:jc w:val="center"/>
              <w:rPr>
                <w:rFonts w:hint="eastAsia" w:eastAsia="宋体"/>
                <w:color w:val="auto"/>
                <w:szCs w:val="21"/>
                <w:u w:val="none" w:color="auto"/>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vMerge w:val="continue"/>
            <w:tcBorders>
              <w:tl2br w:val="nil"/>
              <w:tr2bl w:val="nil"/>
            </w:tcBorders>
            <w:vAlign w:val="center"/>
          </w:tcPr>
          <w:p>
            <w:pPr>
              <w:spacing w:line="360" w:lineRule="auto"/>
              <w:jc w:val="center"/>
              <w:rPr>
                <w:color w:val="auto"/>
                <w:szCs w:val="21"/>
                <w:u w:val="none" w:color="auto"/>
              </w:rPr>
            </w:pPr>
          </w:p>
        </w:tc>
        <w:tc>
          <w:tcPr>
            <w:tcW w:w="168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eastAsia="zh-CN"/>
              </w:rPr>
              <w:t>废水性漆包装物</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0.01</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eastAsia="zh-CN"/>
              </w:rPr>
              <w:t>收集后交由环卫部门进行处理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480" w:type="dxa"/>
            <w:vMerge w:val="continue"/>
            <w:tcBorders>
              <w:tl2br w:val="nil"/>
              <w:tr2bl w:val="nil"/>
            </w:tcBorders>
            <w:vAlign w:val="center"/>
          </w:tcPr>
          <w:p>
            <w:pPr>
              <w:spacing w:line="360" w:lineRule="auto"/>
              <w:jc w:val="center"/>
              <w:rPr>
                <w:b/>
                <w:bCs/>
                <w:color w:val="auto"/>
                <w:szCs w:val="21"/>
                <w:u w:val="none" w:color="auto"/>
              </w:rPr>
            </w:pPr>
          </w:p>
        </w:tc>
        <w:tc>
          <w:tcPr>
            <w:tcW w:w="477" w:type="dxa"/>
            <w:vMerge w:val="continue"/>
            <w:tcBorders>
              <w:tl2br w:val="nil"/>
              <w:tr2bl w:val="nil"/>
            </w:tcBorders>
            <w:vAlign w:val="center"/>
          </w:tcPr>
          <w:p>
            <w:pPr>
              <w:spacing w:line="360" w:lineRule="auto"/>
              <w:jc w:val="center"/>
              <w:rPr>
                <w:b/>
                <w:bCs/>
                <w:color w:val="auto"/>
                <w:szCs w:val="21"/>
                <w:u w:val="none" w:color="auto"/>
              </w:rPr>
            </w:pPr>
          </w:p>
        </w:tc>
        <w:tc>
          <w:tcPr>
            <w:tcW w:w="146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职工</w:t>
            </w:r>
          </w:p>
        </w:tc>
        <w:tc>
          <w:tcPr>
            <w:tcW w:w="1680" w:type="dxa"/>
            <w:tcBorders>
              <w:tl2br w:val="nil"/>
              <w:tr2bl w:val="nil"/>
            </w:tcBorders>
            <w:vAlign w:val="center"/>
          </w:tcPr>
          <w:p>
            <w:pPr>
              <w:spacing w:line="360" w:lineRule="auto"/>
              <w:jc w:val="center"/>
              <w:rPr>
                <w:color w:val="auto"/>
                <w:szCs w:val="21"/>
                <w:u w:val="none" w:color="auto"/>
              </w:rPr>
            </w:pPr>
            <w:r>
              <w:rPr>
                <w:color w:val="auto"/>
                <w:szCs w:val="21"/>
                <w:u w:val="none" w:color="auto"/>
              </w:rPr>
              <w:t>生活垃圾</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15</w:t>
            </w:r>
            <w:r>
              <w:rPr>
                <w:color w:val="auto"/>
                <w:szCs w:val="21"/>
                <w:u w:val="none" w:color="auto"/>
              </w:rPr>
              <w:t>t/a</w:t>
            </w:r>
          </w:p>
        </w:tc>
        <w:tc>
          <w:tcPr>
            <w:tcW w:w="3075" w:type="dxa"/>
            <w:tcBorders>
              <w:tl2br w:val="nil"/>
              <w:tr2bl w:val="nil"/>
            </w:tcBorders>
            <w:vAlign w:val="center"/>
          </w:tcPr>
          <w:p>
            <w:pPr>
              <w:spacing w:line="360" w:lineRule="auto"/>
              <w:jc w:val="center"/>
              <w:rPr>
                <w:color w:val="auto"/>
                <w:szCs w:val="21"/>
                <w:u w:val="none" w:color="auto"/>
              </w:rPr>
            </w:pPr>
            <w:r>
              <w:rPr>
                <w:color w:val="auto"/>
                <w:szCs w:val="21"/>
                <w:u w:val="none" w:color="auto"/>
              </w:rPr>
              <w:t>收集后交环卫部门统一清运处理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80" w:type="dxa"/>
            <w:tcBorders>
              <w:tl2br w:val="nil"/>
              <w:tr2bl w:val="nil"/>
            </w:tcBorders>
            <w:vAlign w:val="center"/>
          </w:tcPr>
          <w:p>
            <w:pPr>
              <w:spacing w:line="360" w:lineRule="auto"/>
              <w:jc w:val="center"/>
              <w:rPr>
                <w:b/>
                <w:bCs/>
                <w:color w:val="auto"/>
                <w:szCs w:val="21"/>
                <w:u w:val="none" w:color="auto"/>
              </w:rPr>
            </w:pPr>
            <w:r>
              <w:rPr>
                <w:b/>
                <w:bCs/>
                <w:color w:val="auto"/>
                <w:szCs w:val="21"/>
                <w:u w:val="none" w:color="auto"/>
              </w:rPr>
              <w:t>噪声</w:t>
            </w:r>
          </w:p>
        </w:tc>
        <w:tc>
          <w:tcPr>
            <w:tcW w:w="477"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营运期</w:t>
            </w:r>
          </w:p>
        </w:tc>
        <w:tc>
          <w:tcPr>
            <w:tcW w:w="1460"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rPr>
              <w:t>运营噪声</w:t>
            </w:r>
          </w:p>
        </w:tc>
        <w:tc>
          <w:tcPr>
            <w:tcW w:w="1680" w:type="dxa"/>
            <w:tcBorders>
              <w:tl2br w:val="nil"/>
              <w:tr2bl w:val="nil"/>
            </w:tcBorders>
            <w:vAlign w:val="center"/>
          </w:tcPr>
          <w:p>
            <w:pPr>
              <w:spacing w:line="360" w:lineRule="auto"/>
              <w:ind w:firstLine="402" w:firstLineChars="200"/>
              <w:rPr>
                <w:color w:val="auto"/>
                <w:szCs w:val="21"/>
                <w:u w:val="none" w:color="auto"/>
              </w:rPr>
            </w:pPr>
            <w:r>
              <w:rPr>
                <w:color w:val="auto"/>
                <w:szCs w:val="21"/>
                <w:u w:val="none" w:color="auto"/>
              </w:rPr>
              <w:t>设备噪声</w:t>
            </w:r>
          </w:p>
        </w:tc>
        <w:tc>
          <w:tcPr>
            <w:tcW w:w="2125" w:type="dxa"/>
            <w:tcBorders>
              <w:tl2br w:val="nil"/>
              <w:tr2bl w:val="nil"/>
            </w:tcBorders>
            <w:vAlign w:val="center"/>
          </w:tcPr>
          <w:p>
            <w:pPr>
              <w:spacing w:line="360" w:lineRule="auto"/>
              <w:jc w:val="center"/>
              <w:rPr>
                <w:color w:val="auto"/>
                <w:szCs w:val="21"/>
                <w:u w:val="none" w:color="auto"/>
              </w:rPr>
            </w:pPr>
            <w:r>
              <w:rPr>
                <w:rFonts w:hint="eastAsia"/>
                <w:color w:val="auto"/>
                <w:szCs w:val="21"/>
                <w:u w:val="none" w:color="auto"/>
                <w:lang w:val="en-US" w:eastAsia="zh-CN"/>
              </w:rPr>
              <w:t>80</w:t>
            </w:r>
            <w:r>
              <w:rPr>
                <w:color w:val="auto"/>
                <w:szCs w:val="21"/>
                <w:u w:val="none" w:color="auto"/>
              </w:rPr>
              <w:t>-</w:t>
            </w:r>
            <w:r>
              <w:rPr>
                <w:rFonts w:hint="eastAsia"/>
                <w:color w:val="auto"/>
                <w:szCs w:val="21"/>
                <w:u w:val="none" w:color="auto"/>
                <w:lang w:val="en-US" w:eastAsia="zh-CN"/>
              </w:rPr>
              <w:t>90</w:t>
            </w:r>
            <w:r>
              <w:rPr>
                <w:color w:val="auto"/>
                <w:szCs w:val="21"/>
                <w:u w:val="none" w:color="auto"/>
              </w:rPr>
              <w:t>dB(A)</w:t>
            </w:r>
          </w:p>
        </w:tc>
        <w:tc>
          <w:tcPr>
            <w:tcW w:w="3075" w:type="dxa"/>
            <w:tcBorders>
              <w:tl2br w:val="nil"/>
              <w:tr2bl w:val="nil"/>
            </w:tcBorders>
            <w:vAlign w:val="center"/>
          </w:tcPr>
          <w:p>
            <w:pPr>
              <w:spacing w:line="360" w:lineRule="auto"/>
              <w:ind w:firstLine="402" w:firstLineChars="200"/>
              <w:jc w:val="center"/>
              <w:rPr>
                <w:color w:val="auto"/>
                <w:szCs w:val="21"/>
                <w:u w:val="none" w:color="auto"/>
              </w:rPr>
            </w:pPr>
            <w:r>
              <w:rPr>
                <w:color w:val="auto"/>
                <w:szCs w:val="21"/>
                <w:u w:val="none" w:color="auto"/>
              </w:rPr>
              <w:t>昼间≤6</w:t>
            </w:r>
            <w:r>
              <w:rPr>
                <w:rFonts w:hint="eastAsia"/>
                <w:color w:val="auto"/>
                <w:szCs w:val="21"/>
                <w:u w:val="none" w:color="auto"/>
                <w:lang w:val="en-US" w:eastAsia="zh-CN"/>
              </w:rPr>
              <w:t>5</w:t>
            </w:r>
            <w:r>
              <w:rPr>
                <w:color w:val="auto"/>
                <w:szCs w:val="21"/>
                <w:u w:val="none" w:color="auto"/>
              </w:rPr>
              <w:t>dB(A)</w:t>
            </w:r>
          </w:p>
          <w:p>
            <w:pPr>
              <w:spacing w:line="360" w:lineRule="auto"/>
              <w:ind w:firstLine="402" w:firstLineChars="200"/>
              <w:jc w:val="center"/>
              <w:rPr>
                <w:color w:val="auto"/>
                <w:szCs w:val="21"/>
                <w:u w:val="none" w:color="auto"/>
              </w:rPr>
            </w:pPr>
            <w:r>
              <w:rPr>
                <w:color w:val="auto"/>
                <w:szCs w:val="21"/>
                <w:u w:val="none" w:color="auto"/>
              </w:rPr>
              <w:t>夜间≤5</w:t>
            </w:r>
            <w:r>
              <w:rPr>
                <w:rFonts w:hint="eastAsia"/>
                <w:color w:val="auto"/>
                <w:szCs w:val="21"/>
                <w:u w:val="none" w:color="auto"/>
                <w:lang w:val="en-US" w:eastAsia="zh-CN"/>
              </w:rPr>
              <w:t>5</w:t>
            </w:r>
            <w:r>
              <w:rPr>
                <w:color w:val="auto"/>
                <w:szCs w:val="21"/>
                <w:u w:val="none" w:color="auto"/>
              </w:rPr>
              <w:t>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9297" w:type="dxa"/>
            <w:gridSpan w:val="6"/>
            <w:tcBorders>
              <w:tl2br w:val="nil"/>
              <w:tr2bl w:val="nil"/>
            </w:tcBorders>
          </w:tcPr>
          <w:p>
            <w:pPr>
              <w:spacing w:line="360" w:lineRule="auto"/>
              <w:ind w:firstLine="494" w:firstLineChars="200"/>
              <w:rPr>
                <w:b/>
                <w:bCs/>
                <w:color w:val="auto"/>
                <w:spacing w:val="8"/>
                <w:sz w:val="24"/>
                <w:szCs w:val="24"/>
                <w:u w:val="none" w:color="auto"/>
              </w:rPr>
            </w:pPr>
            <w:r>
              <w:rPr>
                <w:b/>
                <w:bCs/>
                <w:color w:val="auto"/>
                <w:spacing w:val="8"/>
                <w:sz w:val="24"/>
                <w:szCs w:val="24"/>
                <w:u w:val="none" w:color="auto"/>
              </w:rPr>
              <w:t>主要生态影响</w:t>
            </w:r>
          </w:p>
          <w:p>
            <w:pPr>
              <w:adjustRightInd w:val="0"/>
              <w:snapToGrid w:val="0"/>
              <w:spacing w:line="360" w:lineRule="auto"/>
              <w:ind w:firstLine="462" w:firstLineChars="200"/>
              <w:rPr>
                <w:color w:val="auto"/>
                <w:szCs w:val="21"/>
                <w:u w:val="none" w:color="auto"/>
              </w:rPr>
            </w:pPr>
            <w:r>
              <w:rPr>
                <w:rFonts w:hint="eastAsia"/>
                <w:color w:val="auto"/>
                <w:sz w:val="24"/>
                <w:szCs w:val="24"/>
                <w:u w:val="none" w:color="auto"/>
              </w:rPr>
              <w:t>本项目所在地周边均为企业，周围无大面积自然植被群落及珍稀动植物资源等，营运期产生的“三废”经适当治理后，对周边生态环境影响较小。</w:t>
            </w:r>
          </w:p>
        </w:tc>
      </w:tr>
    </w:tbl>
    <w:p>
      <w:pPr>
        <w:snapToGrid w:val="0"/>
        <w:outlineLvl w:val="0"/>
        <w:rPr>
          <w:rFonts w:eastAsia="黑体"/>
          <w:color w:val="auto"/>
          <w:sz w:val="32"/>
          <w:u w:val="none" w:color="auto"/>
        </w:rPr>
      </w:pPr>
      <w:r>
        <w:rPr>
          <w:rFonts w:ascii="宋体" w:hAnsi="宋体"/>
          <w:color w:val="auto"/>
          <w:sz w:val="24"/>
          <w:szCs w:val="24"/>
          <w:u w:val="none" w:color="auto"/>
        </w:rPr>
        <w:br w:type="page"/>
      </w:r>
      <w:bookmarkStart w:id="7" w:name="_Toc2458"/>
      <w:r>
        <w:rPr>
          <w:rFonts w:hint="eastAsia" w:ascii="黑体" w:hAnsi="黑体" w:eastAsia="黑体"/>
          <w:color w:val="auto"/>
          <w:sz w:val="32"/>
          <w:szCs w:val="32"/>
          <w:u w:val="none" w:color="auto"/>
        </w:rPr>
        <w:t>七、环</w:t>
      </w:r>
      <w:r>
        <w:rPr>
          <w:rFonts w:ascii="黑体" w:hAnsi="黑体" w:eastAsia="黑体"/>
          <w:color w:val="auto"/>
          <w:sz w:val="32"/>
          <w:szCs w:val="32"/>
          <w:u w:val="none" w:color="auto"/>
        </w:rPr>
        <w:t>境影响分析</w:t>
      </w:r>
      <w:bookmarkEnd w:id="7"/>
    </w:p>
    <w:tbl>
      <w:tblPr>
        <w:tblStyle w:val="40"/>
        <w:tblW w:w="926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9368"/>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176" w:hRule="atLeast"/>
          <w:jc w:val="center"/>
        </w:trPr>
        <w:tc>
          <w:tcPr>
            <w:tcW w:w="9268" w:type="dxa"/>
          </w:tcPr>
          <w:p>
            <w:pPr>
              <w:adjustRightInd w:val="0"/>
              <w:snapToGrid w:val="0"/>
              <w:spacing w:line="360" w:lineRule="auto"/>
              <w:jc w:val="left"/>
              <w:rPr>
                <w:b/>
                <w:color w:val="auto"/>
                <w:sz w:val="24"/>
                <w:u w:val="none" w:color="auto"/>
              </w:rPr>
            </w:pPr>
            <w:r>
              <w:rPr>
                <w:b/>
                <w:color w:val="auto"/>
                <w:sz w:val="24"/>
                <w:u w:val="none" w:color="auto"/>
              </w:rPr>
              <w:t>一：施工期的环境影响分析：</w:t>
            </w:r>
          </w:p>
          <w:p>
            <w:pPr>
              <w:spacing w:line="360" w:lineRule="auto"/>
              <w:ind w:firstLine="462" w:firstLineChars="200"/>
              <w:rPr>
                <w:color w:val="auto"/>
                <w:sz w:val="24"/>
                <w:u w:val="none" w:color="auto"/>
              </w:rPr>
            </w:pPr>
            <w:r>
              <w:rPr>
                <w:color w:val="auto"/>
                <w:sz w:val="24"/>
                <w:u w:val="none" w:color="auto"/>
              </w:rPr>
              <w:t>本项目为新建项目，建设施工期的主要污染因素有施工扬尘、冲洗废水、水土流失、机械施工噪声、建筑垃圾、生活垃圾及生态破坏等。</w:t>
            </w:r>
          </w:p>
          <w:p>
            <w:pPr>
              <w:spacing w:line="360" w:lineRule="auto"/>
              <w:rPr>
                <w:b/>
                <w:color w:val="auto"/>
                <w:sz w:val="24"/>
                <w:u w:val="none" w:color="auto"/>
              </w:rPr>
            </w:pPr>
            <w:r>
              <w:rPr>
                <w:b/>
                <w:color w:val="auto"/>
                <w:sz w:val="24"/>
                <w:u w:val="none" w:color="auto"/>
              </w:rPr>
              <w:t>1、施工期对环境空气的影响及防治措施</w:t>
            </w:r>
          </w:p>
          <w:p>
            <w:pPr>
              <w:spacing w:line="360" w:lineRule="auto"/>
              <w:ind w:firstLine="462" w:firstLineChars="200"/>
              <w:rPr>
                <w:color w:val="auto"/>
                <w:sz w:val="24"/>
                <w:u w:val="none" w:color="auto"/>
              </w:rPr>
            </w:pPr>
            <w:r>
              <w:rPr>
                <w:color w:val="auto"/>
                <w:sz w:val="24"/>
                <w:u w:val="none" w:color="auto"/>
              </w:rPr>
              <w:t>（1）扬尘对周围环境的影响</w:t>
            </w:r>
          </w:p>
          <w:p>
            <w:pPr>
              <w:spacing w:line="360" w:lineRule="auto"/>
              <w:ind w:firstLine="462" w:firstLineChars="200"/>
              <w:rPr>
                <w:color w:val="auto"/>
                <w:sz w:val="24"/>
                <w:u w:val="none" w:color="auto"/>
              </w:rPr>
            </w:pPr>
            <w:r>
              <w:rPr>
                <w:color w:val="auto"/>
                <w:sz w:val="24"/>
                <w:u w:val="none" w:color="auto"/>
              </w:rPr>
              <w:t>施工过程中，由于土地开挖与平整、基建材料的运输等将产生大量扬尘，从而使局部环境空气受到不利影响，特别是干燥大风天气更为突出。因此在基建施工过程中应注意文明施工，材料运输严格管理，防止洒、漏而污染环境。对施工场地较大的扬尘源，可通过洒水或喷雾减少扬尘，并对场地中主要的扬尘源适时覆盖，对运输渣土车辆进行统一管理，出场必须清洗轮胎，并确保渣土不外泄。通过采取以上措施，加强施工管理，可使地面扬尘减少50%左右，建筑物高空扬尘减少70%左右，大大减少施工扬尘的产生。随着施工的结束，该影响也会自行消失。</w:t>
            </w:r>
          </w:p>
          <w:p>
            <w:pPr>
              <w:spacing w:line="360" w:lineRule="auto"/>
              <w:ind w:firstLine="462" w:firstLineChars="200"/>
              <w:rPr>
                <w:color w:val="auto"/>
                <w:kern w:val="0"/>
                <w:sz w:val="24"/>
                <w:u w:val="none" w:color="auto"/>
              </w:rPr>
            </w:pPr>
            <w:r>
              <w:rPr>
                <w:color w:val="auto"/>
                <w:kern w:val="0"/>
                <w:sz w:val="24"/>
                <w:u w:val="none" w:color="auto"/>
              </w:rPr>
              <w:t>（2）运输车辆及作业机械尾气对周围环境的影响</w:t>
            </w:r>
          </w:p>
          <w:p>
            <w:pPr>
              <w:spacing w:line="360" w:lineRule="auto"/>
              <w:ind w:firstLine="462" w:firstLineChars="200"/>
              <w:rPr>
                <w:color w:val="auto"/>
                <w:kern w:val="0"/>
                <w:sz w:val="24"/>
                <w:u w:val="none" w:color="auto"/>
              </w:rPr>
            </w:pPr>
            <w:r>
              <w:rPr>
                <w:color w:val="auto"/>
                <w:kern w:val="0"/>
                <w:sz w:val="24"/>
                <w:u w:val="none" w:color="auto"/>
              </w:rPr>
              <w:t>施工场地内的施工机械主要包括挖掘机、装载机等，施工机械运行时将产生燃油尾气。施工机械和汽车运输时所排放的尾气，主要对场区周围和运输路线两侧局部范围产生一定影响。燃油施工机械设备使用的油料主要为柴油，燃油机械尾气排放属于低点源无组织排放，在进行施工建设时，由于工程施工高峰期污染物排放强度较低且排放量不大，因此，工程施工建设时对施工区及沿线周围居民区的空气环境影响较小，不会对当地环境空气质量造成不良影响。</w:t>
            </w:r>
          </w:p>
          <w:p>
            <w:pPr>
              <w:spacing w:line="360" w:lineRule="auto"/>
              <w:ind w:left="96" w:leftChars="48" w:right="-14" w:rightChars="-7" w:firstLine="462" w:firstLineChars="200"/>
              <w:textAlignment w:val="baseline"/>
              <w:rPr>
                <w:color w:val="auto"/>
                <w:sz w:val="24"/>
                <w:u w:val="none" w:color="auto"/>
              </w:rPr>
            </w:pPr>
            <w:r>
              <w:rPr>
                <w:color w:val="auto"/>
                <w:sz w:val="24"/>
                <w:u w:val="none" w:color="auto"/>
              </w:rPr>
              <w:t>（3）污染防治措施</w:t>
            </w:r>
          </w:p>
          <w:p>
            <w:pPr>
              <w:spacing w:line="360" w:lineRule="auto"/>
              <w:ind w:left="96" w:leftChars="48" w:right="-14" w:rightChars="-7" w:firstLine="462" w:firstLineChars="200"/>
              <w:textAlignment w:val="baseline"/>
              <w:rPr>
                <w:color w:val="auto"/>
                <w:sz w:val="24"/>
                <w:u w:val="none" w:color="auto"/>
              </w:rPr>
            </w:pPr>
            <w:r>
              <w:rPr>
                <w:color w:val="auto"/>
                <w:sz w:val="24"/>
                <w:u w:val="none" w:color="auto"/>
              </w:rPr>
              <w:t>在施工、基建材料运输的过程中产生大量扬尘，这些扬尘使得项目范围的环境空气受到较大污染，特别是干燥大风天气时这种现象更为突出。项目地处城市繁华地带，周围敏感目标较多，建议采取以下措施：</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①</w:t>
            </w:r>
            <w:r>
              <w:rPr>
                <w:bCs/>
                <w:color w:val="auto"/>
                <w:sz w:val="24"/>
                <w:u w:val="none" w:color="auto"/>
              </w:rPr>
              <w:t>文明施工，严格管理。按岳阳市及</w:t>
            </w:r>
            <w:r>
              <w:rPr>
                <w:rFonts w:hint="eastAsia"/>
                <w:bCs/>
                <w:color w:val="auto"/>
                <w:sz w:val="24"/>
                <w:u w:val="none" w:color="auto"/>
              </w:rPr>
              <w:t>湘阴县</w:t>
            </w:r>
            <w:r>
              <w:rPr>
                <w:bCs/>
                <w:color w:val="auto"/>
                <w:sz w:val="24"/>
                <w:u w:val="none" w:color="auto"/>
              </w:rPr>
              <w:t>渣土管理相关规定，使用封闭式渣土运输车。渣土车要严格限制装载量，尽量避免沿途撒漏。渣土车及其它车辆均要搞好外部清洁，应及时清洗车辆。</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②</w:t>
            </w:r>
            <w:r>
              <w:rPr>
                <w:bCs/>
                <w:color w:val="auto"/>
                <w:sz w:val="24"/>
                <w:u w:val="none" w:color="auto"/>
              </w:rPr>
              <w:t>定时喷洒水，对重点扬尘点（例如：卸灰、拌和、化灰等）进行局部降尘。</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③</w:t>
            </w:r>
            <w:r>
              <w:rPr>
                <w:bCs/>
                <w:color w:val="auto"/>
                <w:sz w:val="24"/>
                <w:u w:val="none" w:color="auto"/>
              </w:rPr>
              <w:t>要围档作业，及时压实填方，干燥多风季节施工时，对水泥、石灰等容易飞散的物料可采取加盖彩条膜等方法，控制扬尘污染。</w:t>
            </w:r>
          </w:p>
          <w:p>
            <w:pPr>
              <w:spacing w:line="360" w:lineRule="auto"/>
              <w:ind w:firstLine="462" w:firstLineChars="200"/>
              <w:rPr>
                <w:bCs/>
                <w:color w:val="auto"/>
                <w:sz w:val="24"/>
                <w:u w:val="none" w:color="auto"/>
              </w:rPr>
            </w:pPr>
            <w:r>
              <w:rPr>
                <w:rFonts w:hint="eastAsia" w:ascii="宋体" w:hAnsi="宋体" w:cs="宋体"/>
                <w:bCs/>
                <w:color w:val="auto"/>
                <w:sz w:val="24"/>
                <w:u w:val="none" w:color="auto"/>
              </w:rPr>
              <w:t>④</w:t>
            </w:r>
            <w:r>
              <w:rPr>
                <w:bCs/>
                <w:color w:val="auto"/>
                <w:sz w:val="24"/>
                <w:u w:val="none" w:color="auto"/>
              </w:rPr>
              <w:t>大风天气下停止施工。</w:t>
            </w:r>
          </w:p>
          <w:p>
            <w:pPr>
              <w:spacing w:line="360" w:lineRule="auto"/>
              <w:ind w:firstLine="462" w:firstLineChars="200"/>
              <w:rPr>
                <w:bCs/>
                <w:color w:val="auto"/>
                <w:sz w:val="24"/>
                <w:u w:val="none" w:color="auto"/>
              </w:rPr>
            </w:pPr>
            <w:r>
              <w:rPr>
                <w:bCs/>
                <w:color w:val="auto"/>
                <w:sz w:val="24"/>
                <w:u w:val="none" w:color="auto"/>
              </w:rPr>
              <w:t>通过采取以上措施，加强施工管理，可大大减少施工扬尘的产生</w:t>
            </w:r>
            <w:r>
              <w:rPr>
                <w:color w:val="auto"/>
                <w:sz w:val="24"/>
                <w:u w:val="none" w:color="auto"/>
              </w:rPr>
              <w:t>，不会对周围环境空气敏感点（周边居民点）造成较大的污染影响。</w:t>
            </w:r>
          </w:p>
          <w:p>
            <w:pPr>
              <w:spacing w:line="360" w:lineRule="auto"/>
              <w:rPr>
                <w:b/>
                <w:color w:val="auto"/>
                <w:sz w:val="24"/>
                <w:u w:val="none" w:color="auto"/>
              </w:rPr>
            </w:pPr>
            <w:r>
              <w:rPr>
                <w:b/>
                <w:color w:val="auto"/>
                <w:sz w:val="24"/>
                <w:u w:val="none" w:color="auto"/>
              </w:rPr>
              <w:t>2、施工期对水环境的影响及防治措施</w:t>
            </w:r>
          </w:p>
          <w:p>
            <w:pPr>
              <w:spacing w:line="360" w:lineRule="auto"/>
              <w:ind w:firstLine="462" w:firstLineChars="200"/>
              <w:rPr>
                <w:color w:val="auto"/>
                <w:sz w:val="24"/>
                <w:u w:val="none" w:color="auto"/>
              </w:rPr>
            </w:pPr>
            <w:r>
              <w:rPr>
                <w:color w:val="auto"/>
                <w:sz w:val="24"/>
                <w:u w:val="none" w:color="auto"/>
              </w:rPr>
              <w:t>施工期废水主要有施工人员的生活污水和施工废水。施工人员产生的生活污水主要污染因子为COD</w:t>
            </w:r>
            <w:r>
              <w:rPr>
                <w:color w:val="auto"/>
                <w:sz w:val="24"/>
                <w:u w:val="none" w:color="auto"/>
                <w:vertAlign w:val="subscript"/>
              </w:rPr>
              <w:t>Cr</w:t>
            </w:r>
            <w:r>
              <w:rPr>
                <w:color w:val="auto"/>
                <w:sz w:val="24"/>
                <w:u w:val="none" w:color="auto"/>
              </w:rPr>
              <w:t>、BOD</w:t>
            </w:r>
            <w:r>
              <w:rPr>
                <w:color w:val="auto"/>
                <w:sz w:val="24"/>
                <w:u w:val="none" w:color="auto"/>
                <w:vertAlign w:val="subscript"/>
              </w:rPr>
              <w:t>5</w:t>
            </w:r>
            <w:r>
              <w:rPr>
                <w:color w:val="auto"/>
                <w:sz w:val="24"/>
                <w:u w:val="none" w:color="auto"/>
              </w:rPr>
              <w:t>和SS等；施工砼浇筑废水、基坑废水主要污染物为悬浮物；施工车辆冲洗废水主要污染因子为COD、石油类、SS。此外，施工期场地植被破坏，造成土壤的裸露，在降雨时可能造成水土流失，特别是暴雨径流时水土流失更明显，可能造成地表水中悬浮物的增加，应引起重视。</w:t>
            </w:r>
          </w:p>
          <w:p>
            <w:pPr>
              <w:spacing w:line="360" w:lineRule="auto"/>
              <w:ind w:firstLine="462" w:firstLineChars="200"/>
              <w:rPr>
                <w:color w:val="auto"/>
                <w:sz w:val="24"/>
                <w:u w:val="none" w:color="auto"/>
              </w:rPr>
            </w:pPr>
            <w:r>
              <w:rPr>
                <w:color w:val="auto"/>
                <w:sz w:val="24"/>
                <w:u w:val="none" w:color="auto"/>
              </w:rPr>
              <w:t>为减小施工废水对区域地表水体的影响，应采取如下措施：</w:t>
            </w:r>
          </w:p>
          <w:p>
            <w:pPr>
              <w:numPr>
                <w:ilvl w:val="0"/>
                <w:numId w:val="10"/>
              </w:numPr>
              <w:spacing w:line="360" w:lineRule="auto"/>
              <w:ind w:firstLine="231" w:firstLineChars="100"/>
              <w:rPr>
                <w:color w:val="auto"/>
                <w:sz w:val="24"/>
                <w:u w:val="none" w:color="auto"/>
              </w:rPr>
            </w:pPr>
            <w:r>
              <w:rPr>
                <w:color w:val="auto"/>
                <w:sz w:val="24"/>
                <w:u w:val="none" w:color="auto"/>
              </w:rPr>
              <w:t>施工人员生活污水利用临时化粪池处理后</w:t>
            </w:r>
            <w:r>
              <w:rPr>
                <w:rFonts w:hint="eastAsia"/>
                <w:color w:val="auto"/>
                <w:sz w:val="24"/>
                <w:u w:val="none" w:color="auto"/>
                <w:lang w:eastAsia="zh-CN"/>
              </w:rPr>
              <w:t>排入园区污水管网进入湘阴县第二污水处理厂</w:t>
            </w:r>
            <w:r>
              <w:rPr>
                <w:color w:val="auto"/>
                <w:sz w:val="24"/>
                <w:u w:val="none" w:color="auto"/>
              </w:rPr>
              <w:t>；</w:t>
            </w:r>
          </w:p>
          <w:p>
            <w:pPr>
              <w:spacing w:line="360" w:lineRule="auto"/>
              <w:ind w:firstLine="462" w:firstLineChars="200"/>
              <w:rPr>
                <w:rFonts w:hint="eastAsia" w:eastAsia="宋体"/>
                <w:color w:val="auto"/>
                <w:sz w:val="24"/>
                <w:u w:val="none" w:color="auto"/>
                <w:lang w:eastAsia="zh-CN"/>
              </w:rPr>
            </w:pPr>
            <w:r>
              <w:rPr>
                <w:color w:val="auto"/>
                <w:sz w:val="24"/>
                <w:u w:val="none" w:color="auto"/>
              </w:rPr>
              <w:t>（2）施工场地修建临时隔油沉淀池，车辆冲洗废水经隔油沉淀处理后</w:t>
            </w:r>
            <w:r>
              <w:rPr>
                <w:rFonts w:hint="eastAsia"/>
                <w:color w:val="auto"/>
                <w:sz w:val="24"/>
                <w:u w:val="none" w:color="auto"/>
                <w:lang w:eastAsia="zh-CN"/>
              </w:rPr>
              <w:t>排入园区污水管网进入湘阴县第二污水处理厂；</w:t>
            </w:r>
          </w:p>
          <w:p>
            <w:pPr>
              <w:spacing w:line="360" w:lineRule="auto"/>
              <w:ind w:firstLine="462" w:firstLineChars="200"/>
              <w:rPr>
                <w:rFonts w:hint="eastAsia" w:eastAsia="宋体"/>
                <w:color w:val="auto"/>
                <w:sz w:val="24"/>
                <w:u w:val="none" w:color="auto"/>
                <w:lang w:eastAsia="zh-CN"/>
              </w:rPr>
            </w:pPr>
            <w:r>
              <w:rPr>
                <w:color w:val="auto"/>
                <w:sz w:val="24"/>
                <w:u w:val="none" w:color="auto"/>
              </w:rPr>
              <w:t>（3）项目基坑废水、砼浇筑废水应设置三级沉淀池充分沉淀后</w:t>
            </w:r>
            <w:r>
              <w:rPr>
                <w:rFonts w:hint="eastAsia"/>
                <w:color w:val="auto"/>
                <w:sz w:val="24"/>
                <w:u w:val="none" w:color="auto"/>
                <w:lang w:eastAsia="zh-CN"/>
              </w:rPr>
              <w:t>排入园区污水管网进入湘阴县第二污水处理厂；</w:t>
            </w:r>
          </w:p>
          <w:p>
            <w:pPr>
              <w:spacing w:line="360" w:lineRule="auto"/>
              <w:ind w:firstLine="231" w:firstLineChars="100"/>
              <w:rPr>
                <w:rFonts w:hint="eastAsia" w:eastAsia="宋体"/>
                <w:color w:val="auto"/>
                <w:sz w:val="24"/>
                <w:u w:val="none" w:color="auto"/>
                <w:lang w:eastAsia="zh-CN"/>
              </w:rPr>
            </w:pPr>
            <w:r>
              <w:rPr>
                <w:color w:val="auto"/>
                <w:sz w:val="24"/>
                <w:u w:val="none" w:color="auto"/>
              </w:rPr>
              <w:t>（4）施工场地局部应进行硬化处理，避免施工期水土流失造成区域水环境污染</w:t>
            </w:r>
            <w:r>
              <w:rPr>
                <w:rFonts w:hint="eastAsia"/>
                <w:color w:val="auto"/>
                <w:sz w:val="24"/>
                <w:u w:val="none" w:color="auto"/>
                <w:lang w:eastAsia="zh-CN"/>
              </w:rPr>
              <w:t>；</w:t>
            </w:r>
          </w:p>
          <w:p>
            <w:pPr>
              <w:spacing w:line="360" w:lineRule="auto"/>
              <w:ind w:firstLine="231" w:firstLineChars="100"/>
              <w:rPr>
                <w:color w:val="auto"/>
                <w:sz w:val="24"/>
                <w:u w:val="none" w:color="auto"/>
              </w:rPr>
            </w:pPr>
            <w:r>
              <w:rPr>
                <w:color w:val="auto"/>
                <w:sz w:val="24"/>
                <w:u w:val="none" w:color="auto"/>
              </w:rPr>
              <w:t>（5）基建完工后，及时恢复区域绿化和场地硬化，杜绝土壤裸露和水土流失。</w:t>
            </w:r>
          </w:p>
          <w:p>
            <w:pPr>
              <w:spacing w:line="360" w:lineRule="auto"/>
              <w:ind w:firstLine="462" w:firstLineChars="200"/>
              <w:rPr>
                <w:color w:val="auto"/>
                <w:sz w:val="24"/>
                <w:u w:val="none" w:color="auto"/>
              </w:rPr>
            </w:pPr>
            <w:r>
              <w:rPr>
                <w:color w:val="auto"/>
                <w:sz w:val="24"/>
                <w:u w:val="none" w:color="auto"/>
              </w:rPr>
              <w:t>采取上述措施后，项目施工期废水对周围地表水环境基本无影响小。</w:t>
            </w:r>
          </w:p>
          <w:p>
            <w:pPr>
              <w:spacing w:line="360" w:lineRule="auto"/>
              <w:rPr>
                <w:b/>
                <w:color w:val="auto"/>
                <w:sz w:val="24"/>
                <w:u w:val="none" w:color="auto"/>
              </w:rPr>
            </w:pPr>
            <w:r>
              <w:rPr>
                <w:b/>
                <w:color w:val="auto"/>
                <w:sz w:val="24"/>
                <w:u w:val="none" w:color="auto"/>
              </w:rPr>
              <w:t>3、施工期噪声对环境的影响及防治措施</w:t>
            </w:r>
          </w:p>
          <w:p>
            <w:pPr>
              <w:spacing w:line="360" w:lineRule="auto"/>
              <w:ind w:firstLine="462" w:firstLineChars="200"/>
              <w:rPr>
                <w:color w:val="auto"/>
                <w:sz w:val="24"/>
                <w:u w:val="none" w:color="auto"/>
              </w:rPr>
            </w:pPr>
            <w:r>
              <w:rPr>
                <w:color w:val="auto"/>
                <w:sz w:val="24"/>
                <w:u w:val="none" w:color="auto"/>
              </w:rPr>
              <w:t>施工期的噪声主要有搅拌机、振捣泵、电锯、吊车、升降机及运输车辆等，噪声源声压级一般在85dBA 左右（距源10米处），建筑施工噪声较大，必需按《建筑施工场界环境噪声排放标准》（GB12523-2011）的要求。经预测计算得出，在不采取任何措施的前提下，施工噪声在不同距离处的声级，详见表7-1。</w:t>
            </w:r>
          </w:p>
          <w:p>
            <w:pPr>
              <w:ind w:firstLine="462" w:firstLineChars="200"/>
              <w:jc w:val="center"/>
              <w:rPr>
                <w:b/>
                <w:color w:val="auto"/>
                <w:sz w:val="24"/>
                <w:u w:val="none" w:color="auto"/>
              </w:rPr>
            </w:pPr>
            <w:r>
              <w:rPr>
                <w:b/>
                <w:color w:val="auto"/>
                <w:sz w:val="24"/>
                <w:u w:val="none" w:color="auto"/>
              </w:rPr>
              <w:t>表7-1   施工机械噪声在不同距离处的声级    dB(A)</w:t>
            </w:r>
          </w:p>
          <w:tbl>
            <w:tblPr>
              <w:tblStyle w:val="40"/>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78"/>
              <w:gridCol w:w="1289"/>
              <w:gridCol w:w="1287"/>
              <w:gridCol w:w="1288"/>
              <w:gridCol w:w="1296"/>
              <w:gridCol w:w="1288"/>
              <w:gridCol w:w="12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46" w:hRule="atLeast"/>
                <w:jc w:val="center"/>
              </w:trPr>
              <w:tc>
                <w:tcPr>
                  <w:tcW w:w="1278" w:type="dxa"/>
                  <w:noWrap w:val="0"/>
                  <w:vAlign w:val="center"/>
                </w:tcPr>
                <w:p>
                  <w:pPr>
                    <w:pStyle w:val="189"/>
                    <w:spacing w:line="360" w:lineRule="auto"/>
                    <w:rPr>
                      <w:color w:val="auto"/>
                      <w:sz w:val="22"/>
                      <w:szCs w:val="22"/>
                      <w:u w:val="none" w:color="auto"/>
                    </w:rPr>
                  </w:pPr>
                  <w:r>
                    <w:rPr>
                      <w:color w:val="auto"/>
                      <w:kern w:val="0"/>
                      <w:sz w:val="22"/>
                      <w:szCs w:val="22"/>
                      <w:u w:val="none" w:color="auto"/>
                    </w:rPr>
                    <w:t>声源</w:t>
                  </w:r>
                </w:p>
              </w:tc>
              <w:tc>
                <w:tcPr>
                  <w:tcW w:w="1289" w:type="dxa"/>
                  <w:noWrap w:val="0"/>
                  <w:vAlign w:val="center"/>
                </w:tcPr>
                <w:p>
                  <w:pPr>
                    <w:pStyle w:val="189"/>
                    <w:spacing w:line="360" w:lineRule="auto"/>
                    <w:rPr>
                      <w:color w:val="auto"/>
                      <w:sz w:val="22"/>
                      <w:szCs w:val="22"/>
                      <w:u w:val="none" w:color="auto"/>
                    </w:rPr>
                  </w:pPr>
                  <w:r>
                    <w:rPr>
                      <w:color w:val="auto"/>
                      <w:kern w:val="0"/>
                      <w:sz w:val="22"/>
                      <w:szCs w:val="22"/>
                      <w:u w:val="none" w:color="auto"/>
                    </w:rPr>
                    <w:t>10m</w:t>
                  </w:r>
                </w:p>
              </w:tc>
              <w:tc>
                <w:tcPr>
                  <w:tcW w:w="1287" w:type="dxa"/>
                  <w:noWrap w:val="0"/>
                  <w:vAlign w:val="center"/>
                </w:tcPr>
                <w:p>
                  <w:pPr>
                    <w:pStyle w:val="189"/>
                    <w:spacing w:line="360" w:lineRule="auto"/>
                    <w:jc w:val="center"/>
                    <w:rPr>
                      <w:color w:val="auto"/>
                      <w:kern w:val="0"/>
                      <w:sz w:val="22"/>
                      <w:szCs w:val="22"/>
                      <w:u w:val="none" w:color="auto"/>
                    </w:rPr>
                  </w:pPr>
                  <w:r>
                    <w:rPr>
                      <w:color w:val="auto"/>
                      <w:kern w:val="0"/>
                      <w:sz w:val="22"/>
                      <w:szCs w:val="22"/>
                      <w:u w:val="none" w:color="auto"/>
                    </w:rPr>
                    <w:t>30m</w:t>
                  </w:r>
                </w:p>
              </w:tc>
              <w:tc>
                <w:tcPr>
                  <w:tcW w:w="1288" w:type="dxa"/>
                  <w:noWrap w:val="0"/>
                  <w:vAlign w:val="center"/>
                </w:tcPr>
                <w:p>
                  <w:pPr>
                    <w:pStyle w:val="189"/>
                    <w:spacing w:line="360" w:lineRule="auto"/>
                    <w:rPr>
                      <w:color w:val="auto"/>
                      <w:sz w:val="22"/>
                      <w:szCs w:val="22"/>
                      <w:u w:val="none" w:color="auto"/>
                    </w:rPr>
                  </w:pPr>
                  <w:r>
                    <w:rPr>
                      <w:color w:val="auto"/>
                      <w:kern w:val="0"/>
                      <w:sz w:val="22"/>
                      <w:szCs w:val="22"/>
                      <w:u w:val="none" w:color="auto"/>
                    </w:rPr>
                    <w:t xml:space="preserve">50m </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100m</w:t>
                  </w:r>
                </w:p>
              </w:tc>
              <w:tc>
                <w:tcPr>
                  <w:tcW w:w="1288" w:type="dxa"/>
                  <w:noWrap w:val="0"/>
                  <w:vAlign w:val="center"/>
                </w:tcPr>
                <w:p>
                  <w:pPr>
                    <w:pStyle w:val="189"/>
                    <w:spacing w:line="360" w:lineRule="auto"/>
                    <w:rPr>
                      <w:color w:val="auto"/>
                      <w:kern w:val="0"/>
                      <w:sz w:val="22"/>
                      <w:szCs w:val="22"/>
                      <w:u w:val="none" w:color="auto"/>
                    </w:rPr>
                  </w:pPr>
                  <w:r>
                    <w:rPr>
                      <w:color w:val="auto"/>
                      <w:kern w:val="0"/>
                      <w:sz w:val="22"/>
                      <w:szCs w:val="22"/>
                      <w:u w:val="none" w:color="auto"/>
                    </w:rPr>
                    <w:t>120 m</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150m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6" w:hRule="atLeast"/>
                <w:jc w:val="center"/>
              </w:trPr>
              <w:tc>
                <w:tcPr>
                  <w:tcW w:w="1278" w:type="dxa"/>
                  <w:noWrap w:val="0"/>
                  <w:vAlign w:val="center"/>
                </w:tcPr>
                <w:p>
                  <w:pPr>
                    <w:pStyle w:val="189"/>
                    <w:spacing w:line="360" w:lineRule="auto"/>
                    <w:rPr>
                      <w:color w:val="auto"/>
                      <w:sz w:val="22"/>
                      <w:szCs w:val="22"/>
                      <w:u w:val="none" w:color="auto"/>
                    </w:rPr>
                  </w:pPr>
                  <w:r>
                    <w:rPr>
                      <w:color w:val="auto"/>
                      <w:kern w:val="0"/>
                      <w:sz w:val="22"/>
                      <w:szCs w:val="22"/>
                      <w:u w:val="none" w:color="auto"/>
                    </w:rPr>
                    <w:t>施工机械</w:t>
                  </w:r>
                </w:p>
              </w:tc>
              <w:tc>
                <w:tcPr>
                  <w:tcW w:w="1289" w:type="dxa"/>
                  <w:noWrap w:val="0"/>
                  <w:vAlign w:val="center"/>
                </w:tcPr>
                <w:p>
                  <w:pPr>
                    <w:pStyle w:val="189"/>
                    <w:spacing w:line="360" w:lineRule="auto"/>
                    <w:rPr>
                      <w:color w:val="auto"/>
                      <w:sz w:val="22"/>
                      <w:szCs w:val="22"/>
                      <w:u w:val="none" w:color="auto"/>
                    </w:rPr>
                  </w:pPr>
                  <w:r>
                    <w:rPr>
                      <w:color w:val="auto"/>
                      <w:kern w:val="0"/>
                      <w:sz w:val="22"/>
                      <w:szCs w:val="22"/>
                      <w:u w:val="none" w:color="auto"/>
                    </w:rPr>
                    <w:t>85.0</w:t>
                  </w:r>
                </w:p>
              </w:tc>
              <w:tc>
                <w:tcPr>
                  <w:tcW w:w="1287" w:type="dxa"/>
                  <w:noWrap w:val="0"/>
                  <w:vAlign w:val="top"/>
                </w:tcPr>
                <w:p>
                  <w:pPr>
                    <w:pStyle w:val="189"/>
                    <w:spacing w:line="360" w:lineRule="auto"/>
                    <w:rPr>
                      <w:color w:val="auto"/>
                      <w:kern w:val="0"/>
                      <w:sz w:val="22"/>
                      <w:szCs w:val="22"/>
                      <w:u w:val="none" w:color="auto"/>
                    </w:rPr>
                  </w:pPr>
                  <w:r>
                    <w:rPr>
                      <w:color w:val="auto"/>
                      <w:kern w:val="0"/>
                      <w:sz w:val="22"/>
                      <w:szCs w:val="22"/>
                      <w:u w:val="none" w:color="auto"/>
                    </w:rPr>
                    <w:t>75.5</w:t>
                  </w:r>
                </w:p>
              </w:tc>
              <w:tc>
                <w:tcPr>
                  <w:tcW w:w="1288" w:type="dxa"/>
                  <w:noWrap w:val="0"/>
                  <w:vAlign w:val="center"/>
                </w:tcPr>
                <w:p>
                  <w:pPr>
                    <w:pStyle w:val="189"/>
                    <w:spacing w:line="360" w:lineRule="auto"/>
                    <w:rPr>
                      <w:color w:val="auto"/>
                      <w:sz w:val="22"/>
                      <w:szCs w:val="22"/>
                      <w:u w:val="none" w:color="auto"/>
                    </w:rPr>
                  </w:pPr>
                  <w:r>
                    <w:rPr>
                      <w:color w:val="auto"/>
                      <w:kern w:val="0"/>
                      <w:sz w:val="22"/>
                      <w:szCs w:val="22"/>
                      <w:u w:val="none" w:color="auto"/>
                    </w:rPr>
                    <w:t>71.0</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65.0</w:t>
                  </w:r>
                </w:p>
              </w:tc>
              <w:tc>
                <w:tcPr>
                  <w:tcW w:w="1288" w:type="dxa"/>
                  <w:noWrap w:val="0"/>
                  <w:vAlign w:val="center"/>
                </w:tcPr>
                <w:p>
                  <w:pPr>
                    <w:pStyle w:val="189"/>
                    <w:spacing w:line="360" w:lineRule="auto"/>
                    <w:rPr>
                      <w:color w:val="auto"/>
                      <w:kern w:val="0"/>
                      <w:sz w:val="22"/>
                      <w:szCs w:val="22"/>
                      <w:u w:val="none" w:color="auto"/>
                    </w:rPr>
                  </w:pPr>
                  <w:r>
                    <w:rPr>
                      <w:color w:val="auto"/>
                      <w:kern w:val="0"/>
                      <w:sz w:val="22"/>
                      <w:szCs w:val="22"/>
                      <w:u w:val="none" w:color="auto"/>
                    </w:rPr>
                    <w:t>63.4</w:t>
                  </w:r>
                </w:p>
              </w:tc>
              <w:tc>
                <w:tcPr>
                  <w:tcW w:w="1296" w:type="dxa"/>
                  <w:noWrap w:val="0"/>
                  <w:vAlign w:val="center"/>
                </w:tcPr>
                <w:p>
                  <w:pPr>
                    <w:pStyle w:val="189"/>
                    <w:spacing w:line="360" w:lineRule="auto"/>
                    <w:rPr>
                      <w:color w:val="auto"/>
                      <w:sz w:val="22"/>
                      <w:szCs w:val="22"/>
                      <w:u w:val="none" w:color="auto"/>
                    </w:rPr>
                  </w:pPr>
                  <w:r>
                    <w:rPr>
                      <w:color w:val="auto"/>
                      <w:kern w:val="0"/>
                      <w:sz w:val="22"/>
                      <w:szCs w:val="22"/>
                      <w:u w:val="none" w:color="auto"/>
                    </w:rPr>
                    <w:t>61.5</w:t>
                  </w:r>
                </w:p>
              </w:tc>
            </w:tr>
          </w:tbl>
          <w:p>
            <w:pPr>
              <w:pStyle w:val="21"/>
              <w:spacing w:line="360" w:lineRule="auto"/>
              <w:ind w:firstLine="462" w:firstLineChars="200"/>
              <w:rPr>
                <w:rFonts w:ascii="Times New Roman" w:hAnsi="Times New Roman" w:cs="Times New Roman"/>
                <w:color w:val="auto"/>
                <w:spacing w:val="4"/>
                <w:sz w:val="24"/>
                <w:szCs w:val="24"/>
                <w:u w:val="none" w:color="auto"/>
              </w:rPr>
            </w:pPr>
            <w:r>
              <w:rPr>
                <w:rFonts w:ascii="Times New Roman" w:hAnsi="Times New Roman" w:cs="Times New Roman"/>
                <w:color w:val="auto"/>
                <w:sz w:val="24"/>
                <w:szCs w:val="24"/>
                <w:u w:val="none" w:color="auto"/>
              </w:rPr>
              <w:t>根据现场调查，施工期间</w:t>
            </w:r>
            <w:r>
              <w:rPr>
                <w:rFonts w:hint="eastAsia" w:ascii="Times New Roman" w:hAnsi="Times New Roman" w:cs="Times New Roman"/>
                <w:color w:val="auto"/>
                <w:sz w:val="24"/>
                <w:szCs w:val="24"/>
                <w:u w:val="none" w:color="auto"/>
                <w:lang w:eastAsia="zh-CN"/>
              </w:rPr>
              <w:t>对</w:t>
            </w:r>
            <w:r>
              <w:rPr>
                <w:rFonts w:ascii="Times New Roman" w:hAnsi="Times New Roman" w:cs="Times New Roman"/>
                <w:color w:val="auto"/>
                <w:sz w:val="24"/>
                <w:szCs w:val="24"/>
                <w:u w:val="none" w:color="auto"/>
              </w:rPr>
              <w:t>厂界</w:t>
            </w:r>
            <w:r>
              <w:rPr>
                <w:rFonts w:hint="eastAsia" w:ascii="Times New Roman" w:hAnsi="Times New Roman" w:cs="Times New Roman"/>
                <w:color w:val="auto"/>
                <w:sz w:val="24"/>
                <w:szCs w:val="24"/>
                <w:u w:val="none" w:color="auto"/>
                <w:lang w:eastAsia="zh-CN"/>
              </w:rPr>
              <w:t>周边有影响</w:t>
            </w:r>
            <w:r>
              <w:rPr>
                <w:rFonts w:ascii="Times New Roman" w:hAnsi="Times New Roman" w:cs="Times New Roman"/>
                <w:color w:val="auto"/>
                <w:sz w:val="24"/>
                <w:szCs w:val="24"/>
                <w:u w:val="none" w:color="auto"/>
              </w:rPr>
              <w:t>，因此施工期间应加强管理，并采取以下降噪措施</w:t>
            </w:r>
            <w:r>
              <w:rPr>
                <w:rFonts w:ascii="Times New Roman" w:hAnsi="Times New Roman" w:cs="Times New Roman"/>
                <w:color w:val="auto"/>
                <w:spacing w:val="4"/>
                <w:sz w:val="24"/>
                <w:szCs w:val="24"/>
                <w:u w:val="none" w:color="auto"/>
              </w:rPr>
              <w:t>：</w:t>
            </w:r>
          </w:p>
          <w:p>
            <w:pPr>
              <w:pStyle w:val="21"/>
              <w:spacing w:line="360" w:lineRule="auto"/>
              <w:ind w:firstLine="462" w:firstLineChars="200"/>
              <w:rPr>
                <w:rFonts w:ascii="Times New Roman" w:hAnsi="Times New Roman" w:cs="Times New Roman"/>
                <w:color w:val="auto"/>
                <w:sz w:val="24"/>
                <w:szCs w:val="24"/>
                <w:u w:val="none" w:color="auto"/>
              </w:rPr>
            </w:pPr>
            <w:r>
              <w:rPr>
                <w:rFonts w:ascii="Times New Roman" w:hAnsi="Times New Roman" w:cs="Times New Roman"/>
                <w:color w:val="auto"/>
                <w:sz w:val="24"/>
                <w:szCs w:val="24"/>
                <w:u w:val="none" w:color="auto"/>
              </w:rPr>
              <w:t>（1）合理选择施工机械、施工方法、施工场地、施工时间，尽量选用低噪声设备，在施工过程中，应经常对施工设备进行维修保养，避免由于设备性能减退使噪声增大。</w:t>
            </w:r>
          </w:p>
          <w:p>
            <w:pPr>
              <w:pStyle w:val="21"/>
              <w:spacing w:line="360" w:lineRule="auto"/>
              <w:ind w:firstLine="462" w:firstLineChars="200"/>
              <w:rPr>
                <w:rFonts w:ascii="Times New Roman" w:hAnsi="Times New Roman" w:cs="Times New Roman"/>
                <w:color w:val="auto"/>
                <w:sz w:val="24"/>
                <w:szCs w:val="24"/>
                <w:u w:val="none" w:color="auto"/>
              </w:rPr>
            </w:pPr>
            <w:r>
              <w:rPr>
                <w:rFonts w:ascii="Times New Roman" w:hAnsi="Times New Roman" w:cs="Times New Roman"/>
                <w:color w:val="auto"/>
                <w:sz w:val="24"/>
                <w:szCs w:val="24"/>
                <w:u w:val="none" w:color="auto"/>
              </w:rPr>
              <w:t>（2）项目在施工过程中应严格控制各施工机械的施工时间，确保施工噪声能达标排放，减少其对周围敏感点的影响。</w:t>
            </w:r>
          </w:p>
          <w:p>
            <w:pPr>
              <w:pStyle w:val="21"/>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（3）施工单位应加强与施工点周围居民和单位的沟通和联系，讲清项目建设的必要性和重要意义，做好受影响群众的思想工作。</w:t>
            </w:r>
          </w:p>
          <w:p>
            <w:pPr>
              <w:pStyle w:val="21"/>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（4）施工单位要加强对施工人员的教育，提高作业人员的环保意识，坚持科学组织、文明施工。</w:t>
            </w:r>
          </w:p>
          <w:p>
            <w:pPr>
              <w:pStyle w:val="21"/>
              <w:spacing w:line="360" w:lineRule="auto"/>
              <w:ind w:firstLine="462" w:firstLineChars="200"/>
              <w:rPr>
                <w:rFonts w:ascii="Times New Roman" w:hAnsi="Times New Roman" w:cs="Times New Roman"/>
                <w:color w:val="auto"/>
                <w:kern w:val="0"/>
                <w:sz w:val="24"/>
                <w:szCs w:val="24"/>
                <w:u w:val="none" w:color="auto"/>
              </w:rPr>
            </w:pPr>
            <w:r>
              <w:rPr>
                <w:rFonts w:ascii="Times New Roman" w:hAnsi="Times New Roman" w:cs="Times New Roman"/>
                <w:color w:val="auto"/>
                <w:kern w:val="0"/>
                <w:sz w:val="24"/>
                <w:szCs w:val="24"/>
                <w:u w:val="none" w:color="auto"/>
              </w:rPr>
              <w:t>采取上述措施后，尽管施工噪声对</w:t>
            </w:r>
            <w:r>
              <w:rPr>
                <w:rFonts w:hint="eastAsia" w:ascii="Times New Roman" w:hAnsi="Times New Roman" w:cs="Times New Roman"/>
                <w:color w:val="auto"/>
                <w:sz w:val="24"/>
                <w:szCs w:val="24"/>
                <w:u w:val="none" w:color="auto"/>
                <w:lang w:eastAsia="zh-CN"/>
              </w:rPr>
              <w:t>周边</w:t>
            </w:r>
            <w:r>
              <w:rPr>
                <w:rFonts w:ascii="Times New Roman" w:hAnsi="Times New Roman" w:cs="Times New Roman"/>
                <w:color w:val="auto"/>
                <w:kern w:val="0"/>
                <w:sz w:val="24"/>
                <w:szCs w:val="24"/>
                <w:u w:val="none" w:color="auto"/>
              </w:rPr>
              <w:t>有一定的不利影响，但施工期噪声影响是短暂的，一旦施工活动结束，施工噪声影响也就随之结束。</w:t>
            </w:r>
          </w:p>
          <w:p>
            <w:pPr>
              <w:spacing w:line="360" w:lineRule="auto"/>
              <w:rPr>
                <w:b/>
                <w:color w:val="auto"/>
                <w:sz w:val="24"/>
                <w:u w:val="none" w:color="auto"/>
              </w:rPr>
            </w:pPr>
            <w:r>
              <w:rPr>
                <w:b/>
                <w:color w:val="auto"/>
                <w:sz w:val="24"/>
                <w:u w:val="none" w:color="auto"/>
              </w:rPr>
              <w:t>4、施工期固体废物对环境影响及防治措施</w:t>
            </w:r>
          </w:p>
          <w:p>
            <w:pPr>
              <w:spacing w:line="360" w:lineRule="auto"/>
              <w:ind w:firstLine="462" w:firstLineChars="200"/>
              <w:rPr>
                <w:color w:val="auto"/>
                <w:sz w:val="24"/>
                <w:u w:val="none" w:color="auto"/>
              </w:rPr>
            </w:pPr>
            <w:r>
              <w:rPr>
                <w:color w:val="auto"/>
                <w:sz w:val="24"/>
                <w:u w:val="none" w:color="auto"/>
              </w:rPr>
              <w:t>施工期固体废物主要是建筑垃圾和施工人员的生活垃圾，建筑垃圾主要包括废水泥浇注体、碎砖、包装箱、包装袋</w:t>
            </w:r>
            <w:r>
              <w:rPr>
                <w:rFonts w:hint="eastAsia"/>
                <w:color w:val="auto"/>
                <w:sz w:val="24"/>
                <w:u w:val="none" w:color="auto"/>
                <w:lang w:eastAsia="zh-CN"/>
              </w:rPr>
              <w:t>和拆除原有办公楼的建筑垃圾</w:t>
            </w:r>
            <w:r>
              <w:rPr>
                <w:color w:val="auto"/>
                <w:sz w:val="24"/>
                <w:u w:val="none" w:color="auto"/>
              </w:rPr>
              <w:t>等。施工场地土方基本可做到场内平衡，废水泥浇注体、碎砖等做地基填料，包装箱、包装袋等回收利用或销售给废品收购站；生活垃圾收集后及时清运至生活垃圾填埋场填埋</w:t>
            </w:r>
            <w:r>
              <w:rPr>
                <w:rFonts w:hint="eastAsia"/>
                <w:color w:val="auto"/>
                <w:sz w:val="24"/>
                <w:u w:val="none" w:color="auto"/>
                <w:lang w:eastAsia="zh-CN"/>
              </w:rPr>
              <w:t>，拆除后的建筑垃圾收集后综合利用，可外售砖厂制砖</w:t>
            </w:r>
            <w:r>
              <w:rPr>
                <w:color w:val="auto"/>
                <w:sz w:val="24"/>
                <w:u w:val="none" w:color="auto"/>
              </w:rPr>
              <w:t>。</w:t>
            </w:r>
          </w:p>
          <w:p>
            <w:pPr>
              <w:spacing w:line="360" w:lineRule="auto"/>
              <w:ind w:firstLine="462" w:firstLineChars="200"/>
              <w:rPr>
                <w:color w:val="auto"/>
                <w:sz w:val="24"/>
                <w:u w:val="none" w:color="auto"/>
              </w:rPr>
            </w:pPr>
            <w:r>
              <w:rPr>
                <w:color w:val="auto"/>
                <w:sz w:val="24"/>
                <w:u w:val="none" w:color="auto"/>
              </w:rPr>
              <w:t>采取上述措施后，施工期固体废物可得到妥善处置和综合利用，对环境影响较小。</w:t>
            </w:r>
          </w:p>
          <w:p>
            <w:pPr>
              <w:spacing w:line="360" w:lineRule="auto"/>
              <w:rPr>
                <w:b/>
                <w:color w:val="auto"/>
                <w:sz w:val="24"/>
                <w:u w:val="none" w:color="auto"/>
              </w:rPr>
            </w:pPr>
            <w:r>
              <w:rPr>
                <w:b/>
                <w:color w:val="auto"/>
                <w:sz w:val="24"/>
                <w:u w:val="none" w:color="auto"/>
              </w:rPr>
              <w:t>5、施工期对生态环境的影响及防治措施</w:t>
            </w:r>
          </w:p>
          <w:p>
            <w:pPr>
              <w:spacing w:line="360" w:lineRule="auto"/>
              <w:ind w:firstLine="462" w:firstLineChars="200"/>
              <w:rPr>
                <w:color w:val="auto"/>
                <w:sz w:val="24"/>
                <w:u w:val="none" w:color="auto"/>
              </w:rPr>
            </w:pPr>
            <w:r>
              <w:rPr>
                <w:color w:val="auto"/>
                <w:sz w:val="24"/>
                <w:u w:val="none" w:color="auto"/>
              </w:rPr>
              <w:t>项目建设期区域内土地土壤将出现裸露。施工场地局部应及时进行硬化处理，临时堆土场需修建围档护坡，避免施工期因水土流失造成区域水环境污染。加强疏水导流，防止暴雨冲刷造成水土流失。施工期结束后随着绿化率的提高和场地硬化，生态影响也相应地随之消失。</w:t>
            </w:r>
          </w:p>
          <w:p>
            <w:pPr>
              <w:snapToGrid w:val="0"/>
              <w:spacing w:line="360" w:lineRule="auto"/>
              <w:ind w:firstLine="462" w:firstLineChars="200"/>
              <w:rPr>
                <w:rFonts w:hint="default" w:ascii="Times New Roman" w:hAnsi="Times New Roman" w:cs="Times New Roman"/>
                <w:color w:val="auto"/>
                <w:sz w:val="24"/>
                <w:szCs w:val="24"/>
                <w:u w:val="none" w:color="auto"/>
              </w:rPr>
            </w:pPr>
            <w:r>
              <w:rPr>
                <w:color w:val="auto"/>
                <w:sz w:val="24"/>
                <w:u w:val="none" w:color="auto"/>
              </w:rPr>
              <w:t>综上所述，本项目施工期间污染环境的因素，可采取一定的措施避免或减轻其污染，使其达标排放，且这些影响是短期的，随着施工期结束，施工噪声、扬尘和水土流失等问题也会消失</w:t>
            </w:r>
            <w:r>
              <w:rPr>
                <w:rFonts w:hint="default" w:ascii="Times New Roman" w:hAnsi="Times New Roman" w:cs="Times New Roman"/>
                <w:color w:val="auto"/>
                <w:sz w:val="24"/>
                <w:szCs w:val="24"/>
                <w:u w:val="none" w:color="auto"/>
              </w:rPr>
              <w:t>。</w:t>
            </w:r>
          </w:p>
          <w:p>
            <w:pPr>
              <w:adjustRightInd w:val="0"/>
              <w:snapToGrid w:val="0"/>
              <w:spacing w:line="360" w:lineRule="auto"/>
              <w:ind w:firstLine="231" w:firstLineChars="1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二、</w:t>
            </w:r>
            <w:r>
              <w:rPr>
                <w:rFonts w:hint="default" w:ascii="Times New Roman" w:hAnsi="Times New Roman" w:cs="Times New Roman"/>
                <w:b/>
                <w:bCs/>
                <w:color w:val="auto"/>
                <w:sz w:val="24"/>
                <w:szCs w:val="24"/>
                <w:u w:val="none" w:color="auto"/>
              </w:rPr>
              <w:t>营运期环境影响分析</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1、大气环境影响分析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本项目运营过程中产生的废气主要有</w:t>
            </w:r>
            <w:r>
              <w:rPr>
                <w:rFonts w:hint="eastAsia" w:cs="Times New Roman"/>
                <w:color w:val="auto"/>
                <w:sz w:val="24"/>
                <w:szCs w:val="24"/>
                <w:u w:val="none" w:color="auto"/>
                <w:lang w:eastAsia="zh-CN"/>
              </w:rPr>
              <w:t>焊接烟尘、喷塑粉尘、烘干固化废气、喷漆废气</w:t>
            </w:r>
            <w:r>
              <w:rPr>
                <w:rFonts w:hint="default" w:ascii="Times New Roman" w:hAnsi="Times New Roman" w:cs="Times New Roman"/>
                <w:color w:val="auto"/>
                <w:sz w:val="24"/>
                <w:szCs w:val="24"/>
                <w:u w:val="none" w:color="auto"/>
              </w:rPr>
              <w:t>。</w:t>
            </w:r>
          </w:p>
          <w:p>
            <w:pPr>
              <w:pStyle w:val="34"/>
              <w:spacing w:line="360" w:lineRule="auto"/>
              <w:ind w:left="400" w:leftChars="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（1）废气排放源</w:t>
            </w:r>
          </w:p>
          <w:p>
            <w:pPr>
              <w:pStyle w:val="165"/>
              <w:numPr>
                <w:ilvl w:val="1"/>
                <w:numId w:val="11"/>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有组织废气</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有组织废气排放情况表</w:t>
            </w:r>
          </w:p>
          <w:tbl>
            <w:tblPr>
              <w:tblStyle w:val="41"/>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7"/>
              <w:gridCol w:w="1131"/>
              <w:gridCol w:w="1130"/>
              <w:gridCol w:w="1133"/>
              <w:gridCol w:w="992"/>
              <w:gridCol w:w="1206"/>
              <w:gridCol w:w="24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0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编号</w:t>
                  </w:r>
                </w:p>
              </w:tc>
              <w:tc>
                <w:tcPr>
                  <w:tcW w:w="1131"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13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排气筒高度（m）</w:t>
                  </w:r>
                </w:p>
              </w:tc>
              <w:tc>
                <w:tcPr>
                  <w:tcW w:w="113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年排放小时数（h）</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362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污染物排放情况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3" w:hRule="atLeast"/>
              </w:trPr>
              <w:tc>
                <w:tcPr>
                  <w:tcW w:w="1007"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w:t>
                  </w:r>
                </w:p>
              </w:tc>
              <w:tc>
                <w:tcPr>
                  <w:tcW w:w="1131"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喷塑粉尘排气筒</w:t>
                  </w:r>
                </w:p>
              </w:tc>
              <w:tc>
                <w:tcPr>
                  <w:tcW w:w="1130"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tcBorders>
                    <w:tl2br w:val="nil"/>
                    <w:tr2bl w:val="nil"/>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1000</w:t>
                  </w:r>
                </w:p>
              </w:tc>
              <w:tc>
                <w:tcPr>
                  <w:tcW w:w="99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正常</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8.33</w:t>
                  </w:r>
                  <w:r>
                    <w:rPr>
                      <w:rFonts w:hint="default" w:ascii="Times New Roman" w:hAnsi="Times New Roman" w:cs="Times New Roman"/>
                      <w:color w:val="auto"/>
                      <w:sz w:val="22"/>
                      <w:szCs w:val="22"/>
                      <w:u w:val="none" w:color="auto"/>
                    </w:rPr>
                    <w:t xml:space="preserve"> 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0.025t/a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1007"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w:t>
                  </w:r>
                </w:p>
              </w:tc>
              <w:tc>
                <w:tcPr>
                  <w:tcW w:w="1131"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喷漆废气、喷塑后烘干固化废气</w:t>
                  </w:r>
                </w:p>
              </w:tc>
              <w:tc>
                <w:tcPr>
                  <w:tcW w:w="1130"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1133"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992"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正常</w:t>
                  </w:r>
                </w:p>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工况</w:t>
                  </w: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颗粒物</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1.58</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0.00475t/a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1007"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1"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13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133"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992"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06"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2423" w:type="dxa"/>
                  <w:tcBorders>
                    <w:tl2br w:val="nil"/>
                    <w:tr2bl w:val="nil"/>
                  </w:tcBorders>
                  <w:vAlign w:val="center"/>
                </w:tcPr>
                <w:p>
                  <w:pPr>
                    <w:spacing w:line="360" w:lineRule="auto"/>
                    <w:jc w:val="left"/>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24</w:t>
                  </w:r>
                  <w:r>
                    <w:rPr>
                      <w:rFonts w:hint="default" w:ascii="Times New Roman" w:hAnsi="Times New Roman" w:cs="Times New Roman"/>
                      <w:color w:val="auto"/>
                      <w:sz w:val="22"/>
                      <w:szCs w:val="22"/>
                      <w:u w:val="none" w:color="auto"/>
                    </w:rPr>
                    <w:t>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0.1143t/a</w:t>
                  </w:r>
                </w:p>
              </w:tc>
            </w:tr>
          </w:tbl>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②无组织废气</w:t>
            </w:r>
          </w:p>
          <w:p>
            <w:pPr>
              <w:pStyle w:val="34"/>
              <w:spacing w:line="360" w:lineRule="auto"/>
              <w:ind w:left="0" w:leftChars="0"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无组织排放废气污染源参数见表 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w:t>
            </w:r>
          </w:p>
          <w:p>
            <w:pPr>
              <w:snapToGrid w:val="0"/>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 xml:space="preserve">   无组织面源排放参数</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270"/>
              <w:gridCol w:w="1700"/>
              <w:gridCol w:w="1553"/>
              <w:gridCol w:w="1835"/>
              <w:gridCol w:w="15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154" w:type="dxa"/>
                  <w:tcBorders>
                    <w:tl2br w:val="nil"/>
                    <w:tr2bl w:val="nil"/>
                  </w:tcBorders>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位置</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产生量（t/a）</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排放速率（kg/h）</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面源面积（m</w:t>
                  </w:r>
                  <w:r>
                    <w:rPr>
                      <w:rFonts w:hint="default" w:ascii="Times New Roman" w:hAnsi="Times New Roman" w:cs="Times New Roman"/>
                      <w:color w:val="auto"/>
                      <w:sz w:val="22"/>
                      <w:szCs w:val="22"/>
                      <w:u w:val="none" w:color="auto"/>
                      <w:vertAlign w:val="superscript"/>
                    </w:rPr>
                    <w:t>2</w:t>
                  </w:r>
                  <w:r>
                    <w:rPr>
                      <w:rFonts w:hint="default" w:ascii="Times New Roman" w:hAnsi="Times New Roman" w:cs="Times New Roman"/>
                      <w:color w:val="auto"/>
                      <w:sz w:val="22"/>
                      <w:szCs w:val="22"/>
                      <w:u w:val="none" w:color="auto"/>
                    </w:rPr>
                    <w:t>）</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面源高度（m）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焊接烟尘</w:t>
                  </w:r>
                </w:p>
              </w:tc>
              <w:tc>
                <w:tcPr>
                  <w:tcW w:w="127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170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0.00152</w:t>
                  </w:r>
                </w:p>
              </w:tc>
              <w:tc>
                <w:tcPr>
                  <w:tcW w:w="1553"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0.00127</w:t>
                  </w:r>
                </w:p>
              </w:tc>
              <w:tc>
                <w:tcPr>
                  <w:tcW w:w="183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2500</w:t>
                  </w:r>
                  <w:r>
                    <w:rPr>
                      <w:rFonts w:hint="default" w:ascii="Times New Roman" w:hAnsi="Times New Roman" w:cs="Times New Roman"/>
                      <w:color w:val="auto"/>
                      <w:sz w:val="22"/>
                      <w:szCs w:val="22"/>
                      <w:u w:val="none" w:color="auto"/>
                    </w:rPr>
                    <w:t>（</w:t>
                  </w:r>
                  <w:r>
                    <w:rPr>
                      <w:rFonts w:hint="default" w:ascii="Times New Roman" w:hAnsi="Times New Roman" w:cs="Times New Roman"/>
                      <w:color w:val="auto"/>
                      <w:sz w:val="22"/>
                      <w:szCs w:val="22"/>
                      <w:u w:val="none" w:color="auto"/>
                      <w:lang w:val="en-US" w:eastAsia="zh-CN"/>
                    </w:rPr>
                    <w:t>25</w:t>
                  </w:r>
                  <w:r>
                    <w:rPr>
                      <w:rFonts w:hint="default" w:ascii="Times New Roman" w:hAnsi="Times New Roman" w:cs="Times New Roman"/>
                      <w:color w:val="auto"/>
                      <w:sz w:val="22"/>
                      <w:szCs w:val="22"/>
                      <w:u w:val="none" w:color="auto"/>
                    </w:rPr>
                    <w:t>m×</w:t>
                  </w:r>
                  <w:r>
                    <w:rPr>
                      <w:rFonts w:hint="eastAsia" w:cs="Times New Roman"/>
                      <w:color w:val="auto"/>
                      <w:sz w:val="22"/>
                      <w:szCs w:val="22"/>
                      <w:u w:val="none" w:color="auto"/>
                      <w:lang w:val="en-US" w:eastAsia="zh-CN"/>
                    </w:rPr>
                    <w:t>100</w:t>
                  </w:r>
                  <w:r>
                    <w:rPr>
                      <w:rFonts w:hint="default" w:ascii="Times New Roman" w:hAnsi="Times New Roman" w:cs="Times New Roman"/>
                      <w:color w:val="auto"/>
                      <w:sz w:val="22"/>
                      <w:szCs w:val="22"/>
                      <w:u w:val="none" w:color="auto"/>
                    </w:rPr>
                    <w:t>m）</w:t>
                  </w:r>
                </w:p>
              </w:tc>
              <w:tc>
                <w:tcPr>
                  <w:tcW w:w="151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喷漆废气</w:t>
                  </w:r>
                </w:p>
              </w:tc>
              <w:tc>
                <w:tcPr>
                  <w:tcW w:w="1270"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漆雾</w:t>
                  </w:r>
                </w:p>
              </w:tc>
              <w:tc>
                <w:tcPr>
                  <w:tcW w:w="170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0.0025</w:t>
                  </w:r>
                </w:p>
              </w:tc>
              <w:tc>
                <w:tcPr>
                  <w:tcW w:w="1553"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0.00417</w:t>
                  </w:r>
                </w:p>
              </w:tc>
              <w:tc>
                <w:tcPr>
                  <w:tcW w:w="1835"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1200</w:t>
                  </w:r>
                </w:p>
              </w:tc>
              <w:tc>
                <w:tcPr>
                  <w:tcW w:w="1510"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54"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27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VOCS</w:t>
                  </w:r>
                </w:p>
              </w:tc>
              <w:tc>
                <w:tcPr>
                  <w:tcW w:w="170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0.00375</w:t>
                  </w:r>
                </w:p>
              </w:tc>
              <w:tc>
                <w:tcPr>
                  <w:tcW w:w="1553"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0.00625</w:t>
                  </w:r>
                </w:p>
              </w:tc>
              <w:tc>
                <w:tcPr>
                  <w:tcW w:w="183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510"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大气环境影响预测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①评价等级的判定</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根据《环境影响评价技术导则 大气环境》（HJ2.2-2018），采用推荐模式中的估算模型AERSCREEN对污染物的最大地面占标率Pi（第i个污染物）及第i个污染物的地面浓度达标准限值10%时所对应的最远距离D10%进行计算。其中Pi定义如下：</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lang w:val="en-US" w:eastAsia="zh-CN"/>
              </w:rPr>
              <w:drawing>
                <wp:inline distT="0" distB="0" distL="114300" distR="114300">
                  <wp:extent cx="1400175" cy="619125"/>
                  <wp:effectExtent l="0" t="0" r="9525"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9"/>
                          <a:stretch>
                            <a:fillRect/>
                          </a:stretch>
                        </pic:blipFill>
                        <pic:spPr>
                          <a:xfrm>
                            <a:off x="0" y="0"/>
                            <a:ext cx="1400175" cy="619125"/>
                          </a:xfrm>
                          <a:prstGeom prst="rect">
                            <a:avLst/>
                          </a:prstGeom>
                          <a:noFill/>
                          <a:ln>
                            <a:noFill/>
                          </a:ln>
                        </pic:spPr>
                      </pic:pic>
                    </a:graphicData>
                  </a:graphic>
                </wp:inline>
              </w:drawing>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Pi—第i个污染物的最大地面浓度占标率，%；</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Ci—采用估算模式计算出的第i个污染物的最大地面浓度，mg/m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C0i—第i 个污染物的环境空气质量标准，mg/m</w:t>
            </w:r>
            <w:r>
              <w:rPr>
                <w:rFonts w:hint="default" w:ascii="Times New Roman" w:hAnsi="Times New Roman" w:cs="Times New Roman"/>
                <w:color w:val="auto"/>
                <w:sz w:val="24"/>
                <w:szCs w:val="24"/>
                <w:u w:val="none" w:color="auto"/>
                <w:vertAlign w:val="superscript"/>
                <w:lang w:val="en-US" w:eastAsia="zh-CN"/>
              </w:rPr>
              <w:t>3</w:t>
            </w:r>
            <w:r>
              <w:rPr>
                <w:rFonts w:hint="default" w:ascii="Times New Roman" w:hAnsi="Times New Roman" w:cs="Times New Roman"/>
                <w:color w:val="auto"/>
                <w:sz w:val="24"/>
                <w:szCs w:val="24"/>
                <w:u w:val="none" w:color="auto"/>
                <w:lang w:val="en-US" w:eastAsia="zh-CN"/>
              </w:rPr>
              <w:t>。</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val="en-US" w:eastAsia="zh-CN"/>
              </w:rPr>
              <w:t xml:space="preserve">  大气环境评价工作等级分级判据</w:t>
            </w:r>
          </w:p>
          <w:tbl>
            <w:tblPr>
              <w:tblStyle w:val="40"/>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31"/>
              <w:gridCol w:w="59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一级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二级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c>
                <w:tcPr>
                  <w:tcW w:w="5941" w:type="dxa"/>
                  <w:noWrap w:val="0"/>
                  <w:vAlign w:val="center"/>
                </w:tcPr>
                <w:p>
                  <w:pPr>
                    <w:tabs>
                      <w:tab w:val="left" w:pos="103"/>
                    </w:tabs>
                    <w:autoSpaceDE w:val="0"/>
                    <w:autoSpaceDN w:val="0"/>
                    <w:spacing w:line="360" w:lineRule="auto"/>
                    <w:ind w:firstLine="422" w:firstLineChars="20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Pmax＜1%</w:t>
                  </w:r>
                </w:p>
              </w:tc>
            </w:tr>
          </w:tbl>
          <w:p>
            <w:pPr>
              <w:pStyle w:val="180"/>
              <w:spacing w:line="360" w:lineRule="auto"/>
              <w:ind w:firstLine="462"/>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 xml:space="preserve"> 估算模型参数表</w:t>
            </w:r>
          </w:p>
          <w:tbl>
            <w:tblPr>
              <w:tblStyle w:val="40"/>
              <w:tblW w:w="90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08"/>
              <w:gridCol w:w="3008"/>
              <w:gridCol w:w="300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参数</w:t>
                  </w:r>
                </w:p>
              </w:tc>
              <w:tc>
                <w:tcPr>
                  <w:tcW w:w="3006" w:type="dxa"/>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取值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城市/农村选项</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城市/农村</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农村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人口数（城市选项时）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最高环境温度/℃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最低环境温度/℃</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土地利用类型</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落叶林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jc w:val="center"/>
              </w:trPr>
              <w:tc>
                <w:tcPr>
                  <w:tcW w:w="6016" w:type="dxa"/>
                  <w:gridSpan w:val="2"/>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区域湿度条件</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潮湿气候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是否考虑地形</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考虑地形</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地形数据分辨率/m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restart"/>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是否考虑岸线熏烟</w:t>
                  </w: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考虑岸线熏烟</w:t>
                  </w:r>
                </w:p>
              </w:tc>
              <w:tc>
                <w:tcPr>
                  <w:tcW w:w="3006"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sym w:font="Wingdings" w:char="00A8"/>
                  </w:r>
                  <w:r>
                    <w:rPr>
                      <w:rFonts w:hint="default" w:ascii="Times New Roman" w:hAnsi="Times New Roman" w:cs="Times New Roman"/>
                      <w:color w:val="auto"/>
                      <w:sz w:val="22"/>
                      <w:szCs w:val="22"/>
                      <w:u w:val="none" w:color="auto"/>
                    </w:rPr>
                    <w:t xml:space="preserve">是  </w:t>
                  </w:r>
                  <w:r>
                    <w:rPr>
                      <w:rFonts w:hint="default" w:ascii="Times New Roman" w:hAnsi="Times New Roman" w:cs="Times New Roman"/>
                      <w:color w:val="auto"/>
                      <w:sz w:val="22"/>
                      <w:szCs w:val="22"/>
                      <w:u w:val="none" w:color="auto"/>
                    </w:rPr>
                    <w:sym w:font="Wingdings" w:char="00FE"/>
                  </w:r>
                  <w:r>
                    <w:rPr>
                      <w:rFonts w:hint="default" w:ascii="Times New Roman" w:hAnsi="Times New Roman" w:cs="Times New Roman"/>
                      <w:color w:val="auto"/>
                      <w:sz w:val="22"/>
                      <w:szCs w:val="22"/>
                      <w:u w:val="none" w:color="auto"/>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岸线距离/km</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008" w:type="dxa"/>
                  <w:vMerge w:val="continue"/>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p>
              </w:tc>
              <w:tc>
                <w:tcPr>
                  <w:tcW w:w="3008" w:type="dxa"/>
                  <w:vAlign w:val="center"/>
                </w:tcPr>
                <w:p>
                  <w:pPr>
                    <w:pStyle w:val="180"/>
                    <w:spacing w:line="360" w:lineRule="auto"/>
                    <w:ind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岸线方向/°</w:t>
                  </w:r>
                </w:p>
              </w:tc>
              <w:tc>
                <w:tcPr>
                  <w:tcW w:w="3006" w:type="dxa"/>
                  <w:vAlign w:val="center"/>
                </w:tcPr>
                <w:p>
                  <w:pPr>
                    <w:pStyle w:val="180"/>
                    <w:spacing w:line="360" w:lineRule="auto"/>
                    <w:ind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w:t>
                  </w:r>
                </w:p>
              </w:tc>
            </w:tr>
          </w:tbl>
          <w:p>
            <w:pPr>
              <w:tabs>
                <w:tab w:val="left" w:pos="103"/>
              </w:tabs>
              <w:autoSpaceDE w:val="0"/>
              <w:autoSpaceDN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Calibri" w:hAnsi="Calibri" w:cs="Calibri"/>
                <w:color w:val="auto"/>
                <w:sz w:val="24"/>
                <w:szCs w:val="24"/>
                <w:u w:val="none" w:color="auto"/>
                <w:lang w:val="en-US" w:eastAsia="zh-CN"/>
              </w:rPr>
              <w:t>②</w:t>
            </w:r>
            <w:r>
              <w:rPr>
                <w:rFonts w:hint="default" w:ascii="Times New Roman" w:hAnsi="Times New Roman" w:cs="Times New Roman"/>
                <w:color w:val="auto"/>
                <w:sz w:val="24"/>
                <w:szCs w:val="24"/>
                <w:u w:val="none" w:color="auto"/>
                <w:lang w:val="en-US" w:eastAsia="zh-CN"/>
              </w:rPr>
              <w:t>预测结果</w:t>
            </w:r>
          </w:p>
          <w:p>
            <w:pPr>
              <w:tabs>
                <w:tab w:val="left" w:pos="103"/>
              </w:tabs>
              <w:autoSpaceDE w:val="0"/>
              <w:autoSpaceDN w:val="0"/>
              <w:spacing w:line="360" w:lineRule="auto"/>
              <w:ind w:firstLine="462" w:firstLineChars="20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采用《环境影响评价技术导则-大气环境》（HJ2.2-2018）中推荐的估算模式—AERSCREEN进行估算，预测结果见表7-</w:t>
            </w:r>
            <w:r>
              <w:rPr>
                <w:rFonts w:hint="eastAsia" w:cs="Times New Roman"/>
                <w:color w:val="auto"/>
                <w:sz w:val="24"/>
                <w:szCs w:val="24"/>
                <w:u w:val="none" w:color="auto"/>
                <w:lang w:val="en-US" w:eastAsia="zh-CN"/>
              </w:rPr>
              <w:t>6-表7-9。</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val="en-US" w:eastAsia="zh-CN"/>
              </w:rPr>
              <w:t xml:space="preserve">  有组织排放废气预测结果表</w:t>
            </w:r>
            <w:r>
              <w:rPr>
                <w:rFonts w:hint="eastAsia" w:cs="Times New Roman"/>
                <w:color w:val="auto"/>
                <w:sz w:val="24"/>
                <w:szCs w:val="24"/>
                <w:u w:val="none" w:color="auto"/>
                <w:lang w:val="en-US" w:eastAsia="zh-CN"/>
              </w:rPr>
              <w:t>（喷塑废气）</w:t>
            </w:r>
          </w:p>
          <w:tbl>
            <w:tblPr>
              <w:tblStyle w:val="4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44"/>
              <w:gridCol w:w="3606"/>
              <w:gridCol w:w="27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505" w:type="pct"/>
                  <w:vMerge w:val="restar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距离</w:t>
                  </w:r>
                </w:p>
              </w:tc>
              <w:tc>
                <w:tcPr>
                  <w:tcW w:w="3494" w:type="pct"/>
                  <w:gridSpan w:val="2"/>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505" w:type="pct"/>
                  <w:vMerge w:val="continue"/>
                  <w:noWrap w:val="0"/>
                  <w:vAlign w:val="center"/>
                </w:tcPr>
                <w:p>
                  <w:pPr>
                    <w:pStyle w:val="184"/>
                    <w:spacing w:line="360" w:lineRule="auto"/>
                    <w:rPr>
                      <w:rFonts w:hint="default" w:ascii="Times New Roman" w:hAnsi="Times New Roman" w:cs="Times New Roman"/>
                      <w:color w:val="auto"/>
                      <w:sz w:val="22"/>
                      <w:szCs w:val="22"/>
                      <w:u w:val="none" w:color="auto"/>
                    </w:rPr>
                  </w:pPr>
                </w:p>
              </w:tc>
              <w:tc>
                <w:tcPr>
                  <w:tcW w:w="1977" w:type="pc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浓度mg/m</w:t>
                  </w:r>
                  <w:r>
                    <w:rPr>
                      <w:rFonts w:hint="default" w:ascii="Times New Roman" w:hAnsi="Times New Roman" w:cs="Times New Roman"/>
                      <w:color w:val="auto"/>
                      <w:sz w:val="22"/>
                      <w:szCs w:val="22"/>
                      <w:u w:val="none" w:color="auto"/>
                      <w:vertAlign w:val="superscript"/>
                    </w:rPr>
                    <w:t>3</w:t>
                  </w:r>
                </w:p>
              </w:tc>
              <w:tc>
                <w:tcPr>
                  <w:tcW w:w="1517" w:type="pc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0.0094650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0.76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1505" w:type="pct"/>
                  <w:noWrap w:val="0"/>
                  <w:vAlign w:val="center"/>
                </w:tcPr>
                <w:p>
                  <w:pPr>
                    <w:pStyle w:val="184"/>
                    <w:bidi w:val="0"/>
                    <w:spacing w:line="360" w:lineRule="auto"/>
                    <w:rPr>
                      <w:rFonts w:hint="default" w:ascii="Times New Roman" w:hAnsi="Times New Roman" w:cs="Times New Roman"/>
                      <w:b/>
                      <w:bCs/>
                      <w:color w:val="auto"/>
                      <w:sz w:val="22"/>
                      <w:szCs w:val="22"/>
                      <w:u w:val="none" w:color="auto"/>
                      <w:lang w:val="en-US"/>
                    </w:rPr>
                  </w:pPr>
                  <w:r>
                    <w:rPr>
                      <w:rFonts w:hint="default" w:ascii="Times New Roman" w:hAnsi="Times New Roman" w:cs="Times New Roman"/>
                      <w:b/>
                      <w:bCs/>
                      <w:color w:val="auto"/>
                      <w:sz w:val="22"/>
                      <w:szCs w:val="22"/>
                      <w:u w:val="none" w:color="auto"/>
                      <w:lang w:val="en-US" w:eastAsia="zh-CN"/>
                    </w:rPr>
                    <w:t>1</w:t>
                  </w:r>
                  <w:r>
                    <w:rPr>
                      <w:rFonts w:hint="eastAsia" w:cs="Times New Roman"/>
                      <w:b/>
                      <w:bCs/>
                      <w:color w:val="auto"/>
                      <w:sz w:val="22"/>
                      <w:szCs w:val="22"/>
                      <w:u w:val="none" w:color="auto"/>
                      <w:lang w:val="en-US" w:eastAsia="zh-CN"/>
                    </w:rPr>
                    <w:t>29</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0.0107200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0.86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0.0104000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0.83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0.0095400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0.76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0.0085300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0.68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0.0080450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0.64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600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0.0073500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700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0.0072000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800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0.0070800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900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0.0067850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0.0064150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0.51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0.0045875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1505" w:type="pct"/>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197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0.0033615 </w:t>
                  </w:r>
                </w:p>
              </w:tc>
              <w:tc>
                <w:tcPr>
                  <w:tcW w:w="1517"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505" w:type="pc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最大落地浓度</w:t>
                  </w:r>
                </w:p>
              </w:tc>
              <w:tc>
                <w:tcPr>
                  <w:tcW w:w="1977"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0.0107200 </w:t>
                  </w:r>
                </w:p>
              </w:tc>
              <w:tc>
                <w:tcPr>
                  <w:tcW w:w="1517"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i w:val="0"/>
                      <w:color w:val="000000"/>
                      <w:kern w:val="0"/>
                      <w:sz w:val="22"/>
                      <w:szCs w:val="22"/>
                      <w:u w:val="none" w:color="auto"/>
                      <w:lang w:val="en-US" w:eastAsia="zh-CN" w:bidi="ar"/>
                    </w:rPr>
                    <w:t xml:space="preserve">0.86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505" w:type="pc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最大落地距离</w:t>
                  </w:r>
                </w:p>
              </w:tc>
              <w:tc>
                <w:tcPr>
                  <w:tcW w:w="3494" w:type="pct"/>
                  <w:gridSpan w:val="2"/>
                  <w:noWrap w:val="0"/>
                  <w:vAlign w:val="center"/>
                </w:tcPr>
                <w:p>
                  <w:pPr>
                    <w:pStyle w:val="184"/>
                    <w:spacing w:line="360" w:lineRule="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1</w:t>
                  </w:r>
                  <w:r>
                    <w:rPr>
                      <w:rFonts w:hint="eastAsia" w:cs="Times New Roman"/>
                      <w:color w:val="auto"/>
                      <w:sz w:val="22"/>
                      <w:szCs w:val="22"/>
                      <w:u w:val="none" w:color="auto"/>
                      <w:lang w:val="en-US" w:eastAsia="zh-CN"/>
                    </w:rPr>
                    <w:t>29</w:t>
                  </w:r>
                </w:p>
              </w:tc>
            </w:tr>
          </w:tbl>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p>
          <w:p>
            <w:pPr>
              <w:tabs>
                <w:tab w:val="left" w:pos="103"/>
              </w:tabs>
              <w:autoSpaceDE w:val="0"/>
              <w:autoSpaceDN w:val="0"/>
              <w:spacing w:line="360" w:lineRule="auto"/>
              <w:ind w:firstLine="462" w:firstLineChars="200"/>
              <w:jc w:val="center"/>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无组织排放的</w:t>
            </w:r>
            <w:r>
              <w:rPr>
                <w:rFonts w:hint="default" w:ascii="Times New Roman" w:hAnsi="Times New Roman" w:cs="Times New Roman"/>
                <w:color w:val="auto"/>
                <w:sz w:val="24"/>
                <w:szCs w:val="24"/>
                <w:u w:val="none" w:color="auto"/>
                <w:lang w:eastAsia="zh-CN"/>
              </w:rPr>
              <w:t>颗粒物</w:t>
            </w:r>
            <w:r>
              <w:rPr>
                <w:rFonts w:hint="default" w:ascii="Times New Roman" w:hAnsi="Times New Roman" w:cs="Times New Roman"/>
                <w:color w:val="auto"/>
                <w:sz w:val="24"/>
                <w:szCs w:val="24"/>
                <w:u w:val="none" w:color="auto"/>
              </w:rPr>
              <w:t>估算模式式计算结果表</w:t>
            </w:r>
            <w:r>
              <w:rPr>
                <w:rFonts w:hint="eastAsia" w:cs="Times New Roman"/>
                <w:color w:val="auto"/>
                <w:sz w:val="24"/>
                <w:szCs w:val="24"/>
                <w:u w:val="none" w:color="auto"/>
                <w:lang w:eastAsia="zh-CN"/>
              </w:rPr>
              <w:t>（焊接废气）</w:t>
            </w:r>
          </w:p>
          <w:tbl>
            <w:tblPr>
              <w:tblStyle w:val="40"/>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219"/>
              <w:gridCol w:w="2947"/>
              <w:gridCol w:w="29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765" w:type="pct"/>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距源中心下风向距离D/m</w:t>
                  </w:r>
                </w:p>
              </w:tc>
              <w:tc>
                <w:tcPr>
                  <w:tcW w:w="3234" w:type="pct"/>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无组织正常排放的</w:t>
                  </w:r>
                  <w:r>
                    <w:rPr>
                      <w:rFonts w:hint="default" w:ascii="Times New Roman" w:hAnsi="Times New Roman" w:cs="Times New Roman"/>
                      <w:color w:val="auto"/>
                      <w:sz w:val="22"/>
                      <w:szCs w:val="22"/>
                      <w:u w:val="none" w:color="auto"/>
                      <w:lang w:eastAsia="zh-CN"/>
                    </w:rPr>
                    <w:t>喷漆</w:t>
                  </w:r>
                  <w:r>
                    <w:rPr>
                      <w:rFonts w:hint="default" w:ascii="Times New Roman" w:hAnsi="Times New Roman" w:cs="Times New Roman"/>
                      <w:color w:val="auto"/>
                      <w:sz w:val="22"/>
                      <w:szCs w:val="22"/>
                      <w:u w:val="none" w:color="auto"/>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5" w:hRule="atLeast"/>
              </w:trPr>
              <w:tc>
                <w:tcPr>
                  <w:tcW w:w="1765" w:type="pct"/>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 w:val="22"/>
                      <w:szCs w:val="22"/>
                      <w:u w:val="none" w:color="auto"/>
                    </w:rPr>
                  </w:pPr>
                </w:p>
              </w:tc>
              <w:tc>
                <w:tcPr>
                  <w:tcW w:w="1616"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下风向预测浓度Ci1(mg/m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618"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浓度占标率Pi2/%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bCs/>
                      <w:color w:val="auto"/>
                      <w:sz w:val="22"/>
                      <w:szCs w:val="22"/>
                      <w:u w:val="none" w:color="auto"/>
                      <w:lang w:val="en-US"/>
                    </w:rPr>
                  </w:pPr>
                  <w:r>
                    <w:rPr>
                      <w:rFonts w:hint="eastAsia" w:cs="Times New Roman"/>
                      <w:b/>
                      <w:bCs/>
                      <w:color w:val="auto"/>
                      <w:sz w:val="22"/>
                      <w:szCs w:val="22"/>
                      <w:u w:val="none" w:color="auto"/>
                      <w:lang w:val="en-US" w:eastAsia="zh-CN"/>
                    </w:rPr>
                    <w:t>93</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b/>
                      <w:bCs/>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0.003358</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0.32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0.0031418</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0.0031119</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0.0029371</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0.002714</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0.0022949</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0.22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600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0.0019067</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700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0.0015916</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800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0.0013501</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900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0.0011610</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0.0010086</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0.10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0.0005803</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76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0.0003843</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i w:val="0"/>
                      <w:color w:val="000000"/>
                      <w:kern w:val="0"/>
                      <w:sz w:val="22"/>
                      <w:szCs w:val="22"/>
                      <w:u w:val="none" w:color="auto"/>
                      <w:lang w:val="en-US" w:eastAsia="zh-CN" w:bidi="ar"/>
                    </w:rPr>
                    <w:t xml:space="preserve">0.03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1765"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下风向最大浓度和占标率</w:t>
                  </w:r>
                </w:p>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eastAsia" w:cs="Times New Roman"/>
                      <w:color w:val="auto"/>
                      <w:sz w:val="22"/>
                      <w:szCs w:val="22"/>
                      <w:u w:val="none" w:color="auto"/>
                      <w:lang w:val="en-US" w:eastAsia="zh-CN"/>
                    </w:rPr>
                    <w:t>93</w:t>
                  </w:r>
                  <w:r>
                    <w:rPr>
                      <w:rFonts w:hint="default" w:ascii="Times New Roman" w:hAnsi="Times New Roman" w:cs="Times New Roman"/>
                      <w:color w:val="auto"/>
                      <w:sz w:val="22"/>
                      <w:szCs w:val="22"/>
                      <w:u w:val="none" w:color="auto"/>
                    </w:rPr>
                    <w:t>m）</w:t>
                  </w:r>
                </w:p>
              </w:tc>
              <w:tc>
                <w:tcPr>
                  <w:tcW w:w="161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default" w:ascii="Times New Roman" w:hAnsi="Times New Roman" w:eastAsia="宋体" w:cs="Times New Roman"/>
                      <w:i w:val="0"/>
                      <w:color w:val="000000"/>
                      <w:kern w:val="0"/>
                      <w:sz w:val="22"/>
                      <w:szCs w:val="22"/>
                      <w:u w:val="none" w:color="auto"/>
                      <w:lang w:val="en-US" w:eastAsia="zh-CN" w:bidi="ar"/>
                    </w:rPr>
                    <w:t>0.003358</w:t>
                  </w:r>
                </w:p>
              </w:tc>
              <w:tc>
                <w:tcPr>
                  <w:tcW w:w="1618"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i w:val="0"/>
                      <w:color w:val="000000"/>
                      <w:kern w:val="0"/>
                      <w:sz w:val="22"/>
                      <w:szCs w:val="22"/>
                      <w:u w:val="none" w:color="auto"/>
                      <w:lang w:val="en-US" w:eastAsia="zh-CN" w:bidi="ar"/>
                    </w:rPr>
                    <w:t xml:space="preserve">0.32 </w:t>
                  </w:r>
                </w:p>
              </w:tc>
            </w:tr>
          </w:tbl>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val="en-US" w:eastAsia="zh-CN"/>
              </w:rPr>
              <w:t xml:space="preserve">  有组织排放废气预测结果表</w:t>
            </w:r>
            <w:r>
              <w:rPr>
                <w:rFonts w:hint="eastAsia" w:cs="Times New Roman"/>
                <w:color w:val="auto"/>
                <w:sz w:val="24"/>
                <w:szCs w:val="24"/>
                <w:u w:val="none" w:color="auto"/>
                <w:lang w:val="en-US" w:eastAsia="zh-CN"/>
              </w:rPr>
              <w:t>（喷漆废气、喷塑后烘干固化废气）</w:t>
            </w:r>
          </w:p>
          <w:tbl>
            <w:tblPr>
              <w:tblStyle w:val="40"/>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2166"/>
              <w:gridCol w:w="1508"/>
              <w:gridCol w:w="2103"/>
              <w:gridCol w:w="14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vMerge w:val="restart"/>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距离</w:t>
                  </w:r>
                </w:p>
              </w:tc>
              <w:tc>
                <w:tcPr>
                  <w:tcW w:w="3674" w:type="dxa"/>
                  <w:gridSpan w:val="2"/>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3514" w:type="dxa"/>
                  <w:gridSpan w:val="2"/>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颗粒物（漆雾）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vMerge w:val="continue"/>
                  <w:noWrap w:val="0"/>
                  <w:vAlign w:val="center"/>
                </w:tcPr>
                <w:p>
                  <w:pPr>
                    <w:pStyle w:val="184"/>
                    <w:spacing w:line="360" w:lineRule="auto"/>
                    <w:rPr>
                      <w:rFonts w:hint="default" w:ascii="Times New Roman" w:hAnsi="Times New Roman" w:cs="Times New Roman"/>
                      <w:color w:val="auto"/>
                      <w:sz w:val="22"/>
                      <w:szCs w:val="22"/>
                      <w:u w:val="none" w:color="auto"/>
                    </w:rPr>
                  </w:pPr>
                </w:p>
              </w:tc>
              <w:tc>
                <w:tcPr>
                  <w:tcW w:w="2166"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浓度mg/m</w:t>
                  </w:r>
                  <w:r>
                    <w:rPr>
                      <w:rFonts w:hint="default" w:ascii="Times New Roman" w:hAnsi="Times New Roman" w:cs="Times New Roman"/>
                      <w:color w:val="auto"/>
                      <w:sz w:val="22"/>
                      <w:szCs w:val="22"/>
                      <w:u w:val="none" w:color="auto"/>
                      <w:vertAlign w:val="superscript"/>
                    </w:rPr>
                    <w:t>3</w:t>
                  </w:r>
                </w:p>
              </w:tc>
              <w:tc>
                <w:tcPr>
                  <w:tcW w:w="1508"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占标率%</w:t>
                  </w:r>
                </w:p>
              </w:tc>
              <w:tc>
                <w:tcPr>
                  <w:tcW w:w="2103"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浓度mg/m</w:t>
                  </w:r>
                  <w:r>
                    <w:rPr>
                      <w:rFonts w:hint="default" w:ascii="Times New Roman" w:hAnsi="Times New Roman" w:cs="Times New Roman"/>
                      <w:color w:val="auto"/>
                      <w:sz w:val="22"/>
                      <w:szCs w:val="22"/>
                      <w:u w:val="none" w:color="auto"/>
                      <w:vertAlign w:val="superscript"/>
                    </w:rPr>
                    <w:t>3</w:t>
                  </w:r>
                </w:p>
              </w:tc>
              <w:tc>
                <w:tcPr>
                  <w:tcW w:w="1411"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0.09188</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0.23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0.037860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0.38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b/>
                      <w:bCs/>
                      <w:color w:val="auto"/>
                      <w:sz w:val="22"/>
                      <w:szCs w:val="22"/>
                      <w:u w:val="none" w:color="auto"/>
                      <w:lang w:val="en-US"/>
                    </w:rPr>
                  </w:pPr>
                  <w:r>
                    <w:rPr>
                      <w:rFonts w:hint="eastAsia" w:ascii="Times New Roman" w:hAnsi="Times New Roman" w:cs="Times New Roman"/>
                      <w:b/>
                      <w:bCs/>
                      <w:color w:val="auto"/>
                      <w:sz w:val="22"/>
                      <w:szCs w:val="22"/>
                      <w:u w:val="none" w:color="auto"/>
                      <w:lang w:val="en-US" w:eastAsia="zh-CN"/>
                    </w:rPr>
                    <w:t>163</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0.10405</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0.2</w:t>
                  </w:r>
                  <w:r>
                    <w:rPr>
                      <w:rFonts w:hint="eastAsia" w:ascii="Times New Roman" w:hAnsi="Times New Roman" w:cs="Times New Roman"/>
                      <w:color w:val="auto"/>
                      <w:kern w:val="2"/>
                      <w:sz w:val="22"/>
                      <w:szCs w:val="22"/>
                      <w:u w:val="none" w:color="auto"/>
                      <w:lang w:val="en-US" w:eastAsia="zh-CN" w:bidi="ar-SA"/>
                    </w:rPr>
                    <w:t>6</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0.042880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0.43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0.10096</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0.25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0.041600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0.42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0.09260</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0.23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0.038160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0.38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0.08282</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0.22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0.034120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0.34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0.07812</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0.20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0.032180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0.32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600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0.07136</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0.18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0.029400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700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0.06991</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0.18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0.028800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800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0.06872</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0.18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0.028320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900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0.06589</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0.16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0.027140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0.06229</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0.16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0.025660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0.26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0.04453</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0.11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0.018350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bidi w:val="0"/>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2166"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0.03264</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0.09 </w:t>
                  </w:r>
                </w:p>
              </w:tc>
              <w:tc>
                <w:tcPr>
                  <w:tcW w:w="2103"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0.013446</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0.14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最大落地浓度</w:t>
                  </w:r>
                </w:p>
              </w:tc>
              <w:tc>
                <w:tcPr>
                  <w:tcW w:w="216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color w:val="auto"/>
                      <w:kern w:val="2"/>
                      <w:sz w:val="22"/>
                      <w:szCs w:val="22"/>
                      <w:u w:val="none" w:color="auto"/>
                      <w:lang w:val="en-US" w:eastAsia="zh-CN" w:bidi="ar-SA"/>
                    </w:rPr>
                    <w:t>0.10405</w:t>
                  </w:r>
                </w:p>
              </w:tc>
              <w:tc>
                <w:tcPr>
                  <w:tcW w:w="1508"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0.2</w:t>
                  </w:r>
                  <w:r>
                    <w:rPr>
                      <w:rFonts w:hint="eastAsia" w:ascii="Times New Roman" w:hAnsi="Times New Roman" w:cs="Times New Roman"/>
                      <w:color w:val="auto"/>
                      <w:kern w:val="2"/>
                      <w:sz w:val="22"/>
                      <w:szCs w:val="22"/>
                      <w:u w:val="none" w:color="auto"/>
                      <w:lang w:val="en-US" w:eastAsia="zh-CN" w:bidi="ar-SA"/>
                    </w:rPr>
                    <w:t>6</w:t>
                  </w:r>
                </w:p>
              </w:tc>
              <w:tc>
                <w:tcPr>
                  <w:tcW w:w="2103"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2"/>
                      <w:szCs w:val="22"/>
                      <w:u w:val="none" w:color="auto"/>
                    </w:rPr>
                  </w:pPr>
                  <w:r>
                    <w:rPr>
                      <w:rFonts w:hint="eastAsia" w:ascii="Times New Roman" w:hAnsi="Times New Roman" w:eastAsia="宋体" w:cs="Times New Roman"/>
                      <w:color w:val="auto"/>
                      <w:kern w:val="2"/>
                      <w:sz w:val="22"/>
                      <w:szCs w:val="22"/>
                      <w:u w:val="none" w:color="auto"/>
                      <w:lang w:val="en-US" w:eastAsia="zh-CN" w:bidi="ar-SA"/>
                    </w:rPr>
                    <w:t>0.042880</w:t>
                  </w:r>
                </w:p>
              </w:tc>
              <w:tc>
                <w:tcPr>
                  <w:tcW w:w="141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2"/>
                      <w:szCs w:val="22"/>
                      <w:u w:val="none" w:color="auto"/>
                      <w:lang w:val="en-US" w:eastAsia="zh-CN" w:bidi="ar-SA"/>
                    </w:rPr>
                  </w:pPr>
                  <w:r>
                    <w:rPr>
                      <w:rFonts w:hint="eastAsia" w:ascii="Times New Roman" w:hAnsi="Times New Roman" w:eastAsia="宋体" w:cs="Times New Roman"/>
                      <w:color w:val="auto"/>
                      <w:kern w:val="2"/>
                      <w:sz w:val="22"/>
                      <w:szCs w:val="22"/>
                      <w:u w:val="none" w:color="auto"/>
                      <w:lang w:val="en-US" w:eastAsia="zh-CN" w:bidi="ar-SA"/>
                    </w:rPr>
                    <w:t xml:space="preserve">0.43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34" w:type="dxa"/>
                  <w:noWrap w:val="0"/>
                  <w:vAlign w:val="center"/>
                </w:tcPr>
                <w:p>
                  <w:pPr>
                    <w:pStyle w:val="184"/>
                    <w:spacing w:line="360" w:lineRule="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最大落地距离</w:t>
                  </w:r>
                </w:p>
              </w:tc>
              <w:tc>
                <w:tcPr>
                  <w:tcW w:w="7188" w:type="dxa"/>
                  <w:gridSpan w:val="4"/>
                  <w:noWrap w:val="0"/>
                  <w:vAlign w:val="center"/>
                </w:tcPr>
                <w:p>
                  <w:pPr>
                    <w:pStyle w:val="184"/>
                    <w:spacing w:line="360" w:lineRule="auto"/>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163</w:t>
                  </w:r>
                </w:p>
              </w:tc>
            </w:tr>
          </w:tbl>
          <w:p>
            <w:pPr>
              <w:tabs>
                <w:tab w:val="left" w:pos="103"/>
              </w:tabs>
              <w:autoSpaceDE w:val="0"/>
              <w:autoSpaceDN w:val="0"/>
              <w:spacing w:line="360" w:lineRule="auto"/>
              <w:ind w:firstLine="462" w:firstLineChars="200"/>
              <w:jc w:val="center"/>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无组织排放的</w:t>
            </w:r>
            <w:r>
              <w:rPr>
                <w:rFonts w:hint="default" w:ascii="Times New Roman" w:hAnsi="Times New Roman" w:cs="Times New Roman"/>
                <w:color w:val="auto"/>
                <w:sz w:val="24"/>
                <w:szCs w:val="24"/>
                <w:u w:val="none" w:color="auto"/>
                <w:lang w:eastAsia="zh-CN"/>
              </w:rPr>
              <w:t>颗粒物、</w:t>
            </w:r>
            <w:r>
              <w:rPr>
                <w:rFonts w:hint="default" w:ascii="Times New Roman" w:hAnsi="Times New Roman" w:cs="Times New Roman"/>
                <w:color w:val="auto"/>
                <w:sz w:val="24"/>
                <w:szCs w:val="24"/>
                <w:u w:val="none" w:color="auto"/>
                <w:lang w:val="en-US" w:eastAsia="zh-CN"/>
              </w:rPr>
              <w:t>VOCs</w:t>
            </w:r>
            <w:r>
              <w:rPr>
                <w:rFonts w:hint="default" w:ascii="Times New Roman" w:hAnsi="Times New Roman" w:cs="Times New Roman"/>
                <w:color w:val="auto"/>
                <w:sz w:val="24"/>
                <w:szCs w:val="24"/>
                <w:u w:val="none" w:color="auto"/>
              </w:rPr>
              <w:t>估算模式式计算结果表</w:t>
            </w:r>
            <w:r>
              <w:rPr>
                <w:rFonts w:hint="eastAsia" w:cs="Times New Roman"/>
                <w:color w:val="auto"/>
                <w:sz w:val="24"/>
                <w:szCs w:val="24"/>
                <w:u w:val="none" w:color="auto"/>
                <w:lang w:eastAsia="zh-CN"/>
              </w:rPr>
              <w:t>（喷漆废气）</w:t>
            </w:r>
          </w:p>
          <w:tbl>
            <w:tblPr>
              <w:tblStyle w:val="4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955"/>
              <w:gridCol w:w="1789"/>
              <w:gridCol w:w="1793"/>
              <w:gridCol w:w="1893"/>
              <w:gridCol w:w="16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072" w:type="pct"/>
                  <w:vMerge w:val="restar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距源中心下风向距离D/m</w:t>
                  </w:r>
                </w:p>
              </w:tc>
              <w:tc>
                <w:tcPr>
                  <w:tcW w:w="1964" w:type="pct"/>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无组织正常排放的</w:t>
                  </w:r>
                  <w:r>
                    <w:rPr>
                      <w:rFonts w:hint="default" w:ascii="Times New Roman" w:hAnsi="Times New Roman" w:cs="Times New Roman"/>
                      <w:color w:val="auto"/>
                      <w:sz w:val="22"/>
                      <w:szCs w:val="22"/>
                      <w:u w:val="none" w:color="auto"/>
                      <w:lang w:eastAsia="zh-CN"/>
                    </w:rPr>
                    <w:t>喷漆</w:t>
                  </w:r>
                  <w:r>
                    <w:rPr>
                      <w:rFonts w:hint="default" w:ascii="Times New Roman" w:hAnsi="Times New Roman" w:cs="Times New Roman"/>
                      <w:color w:val="auto"/>
                      <w:sz w:val="22"/>
                      <w:szCs w:val="22"/>
                      <w:u w:val="none" w:color="auto"/>
                    </w:rPr>
                    <w:t>颗粒物</w:t>
                  </w:r>
                </w:p>
              </w:tc>
              <w:tc>
                <w:tcPr>
                  <w:tcW w:w="1963" w:type="pct"/>
                  <w:gridSpan w:val="2"/>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无组织正常排放的</w:t>
                  </w:r>
                  <w:r>
                    <w:rPr>
                      <w:rFonts w:hint="default" w:ascii="Times New Roman" w:hAnsi="Times New Roman" w:cs="Times New Roman"/>
                      <w:color w:val="auto"/>
                      <w:sz w:val="22"/>
                      <w:szCs w:val="22"/>
                      <w:u w:val="none" w:color="auto"/>
                      <w:lang w:val="en-US" w:eastAsia="zh-CN"/>
                    </w:rPr>
                    <w:t>VOCs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15" w:hRule="atLeast"/>
              </w:trPr>
              <w:tc>
                <w:tcPr>
                  <w:tcW w:w="1072" w:type="pct"/>
                  <w:vMerge w:val="continue"/>
                  <w:tcBorders>
                    <w:tl2br w:val="nil"/>
                    <w:tr2bl w:val="nil"/>
                  </w:tcBorders>
                  <w:noWrap w:val="0"/>
                  <w:tcMar>
                    <w:top w:w="15" w:type="dxa"/>
                    <w:left w:w="15" w:type="dxa"/>
                    <w:right w:w="15" w:type="dxa"/>
                  </w:tcMar>
                  <w:vAlign w:val="center"/>
                </w:tcPr>
                <w:p>
                  <w:pPr>
                    <w:spacing w:line="360" w:lineRule="auto"/>
                    <w:jc w:val="center"/>
                    <w:rPr>
                      <w:rFonts w:hint="default" w:ascii="Times New Roman" w:hAnsi="Times New Roman" w:cs="Times New Roman"/>
                      <w:color w:val="auto"/>
                      <w:sz w:val="22"/>
                      <w:szCs w:val="22"/>
                      <w:u w:val="none" w:color="auto"/>
                    </w:rPr>
                  </w:pPr>
                </w:p>
              </w:tc>
              <w:tc>
                <w:tcPr>
                  <w:tcW w:w="981"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下风向预测浓度Ci1(mg/m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983"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浓度占标率Pi2/%</w:t>
                  </w:r>
                </w:p>
              </w:tc>
              <w:tc>
                <w:tcPr>
                  <w:tcW w:w="1038"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下风向预测浓度Ci1(mg/m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925"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浓度占标率Pi2/%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b/>
                      <w:bCs/>
                      <w:color w:val="auto"/>
                      <w:sz w:val="22"/>
                      <w:szCs w:val="22"/>
                      <w:u w:val="none" w:color="auto"/>
                      <w:lang w:val="en-US"/>
                    </w:rPr>
                  </w:pPr>
                  <w:r>
                    <w:rPr>
                      <w:rFonts w:hint="eastAsia" w:ascii="Times New Roman" w:hAnsi="Times New Roman" w:cs="Times New Roman"/>
                      <w:b/>
                      <w:bCs/>
                      <w:color w:val="auto"/>
                      <w:sz w:val="22"/>
                      <w:szCs w:val="22"/>
                      <w:u w:val="none" w:color="auto"/>
                      <w:lang w:val="en-US" w:eastAsia="zh-CN"/>
                    </w:rPr>
                    <w:t>76</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0.0021900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0.42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0.0024757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0.0020490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0.40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0.0023161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0.0020295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0.38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0.0022952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300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0.0019155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0.36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0.0021660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400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0.0017700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0.34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0.0020026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0.30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500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0.0014967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0.29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0.0016927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0.25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600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0.0012435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0.23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0.0014064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0.21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700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0.0010380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0.19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0.0011738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0.18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800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0.0008805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0.17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0.0009958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0.16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900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0.0007572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0.15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0.0008563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1000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0.0006578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0.13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0.0007439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0.12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1500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0.0003785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0.08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0.0004281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0.07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5" w:hRule="atLeast"/>
              </w:trPr>
              <w:tc>
                <w:tcPr>
                  <w:tcW w:w="1072"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val="en-US" w:eastAsia="zh-CN"/>
                    </w:rPr>
                    <w:t>2000</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0.0002507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0.04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0.0002835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cs="Times New Roman"/>
                      <w:color w:val="auto"/>
                      <w:sz w:val="22"/>
                      <w:szCs w:val="22"/>
                      <w:u w:val="none" w:color="auto"/>
                      <w:lang w:val="en-US" w:eastAsia="zh-CN"/>
                    </w:rPr>
                    <w:t xml:space="preserve">0.05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1072" w:type="pct"/>
                  <w:tcBorders>
                    <w:tl2br w:val="nil"/>
                    <w:tr2bl w:val="nil"/>
                  </w:tcBorders>
                  <w:noWrap w:val="0"/>
                  <w:tcMar>
                    <w:top w:w="15" w:type="dxa"/>
                    <w:left w:w="15" w:type="dxa"/>
                    <w:right w:w="15" w:type="dxa"/>
                  </w:tcMar>
                  <w:vAlign w:val="center"/>
                </w:tcPr>
                <w:p>
                  <w:pPr>
                    <w:widowControl/>
                    <w:spacing w:line="360" w:lineRule="auto"/>
                    <w:jc w:val="center"/>
                    <w:textAlignment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下风向最大浓度和占标率（</w:t>
                  </w:r>
                  <w:r>
                    <w:rPr>
                      <w:rFonts w:hint="eastAsia" w:ascii="Times New Roman" w:hAnsi="Times New Roman" w:cs="Times New Roman"/>
                      <w:color w:val="auto"/>
                      <w:sz w:val="22"/>
                      <w:szCs w:val="22"/>
                      <w:u w:val="none" w:color="auto"/>
                      <w:lang w:val="en-US" w:eastAsia="zh-CN"/>
                    </w:rPr>
                    <w:t>76</w:t>
                  </w:r>
                  <w:r>
                    <w:rPr>
                      <w:rFonts w:hint="default" w:ascii="Times New Roman" w:hAnsi="Times New Roman" w:cs="Times New Roman"/>
                      <w:color w:val="auto"/>
                      <w:sz w:val="22"/>
                      <w:szCs w:val="22"/>
                      <w:u w:val="none" w:color="auto"/>
                    </w:rPr>
                    <w:t>m）</w:t>
                  </w:r>
                </w:p>
              </w:tc>
              <w:tc>
                <w:tcPr>
                  <w:tcW w:w="981"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 xml:space="preserve">0.0021900 </w:t>
                  </w:r>
                </w:p>
              </w:tc>
              <w:tc>
                <w:tcPr>
                  <w:tcW w:w="983"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 xml:space="preserve">0.42 </w:t>
                  </w:r>
                </w:p>
              </w:tc>
              <w:tc>
                <w:tcPr>
                  <w:tcW w:w="1038"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 xml:space="preserve">0.0024757 </w:t>
                  </w:r>
                </w:p>
              </w:tc>
              <w:tc>
                <w:tcPr>
                  <w:tcW w:w="925" w:type="pct"/>
                  <w:tcBorders>
                    <w:tl2br w:val="nil"/>
                    <w:tr2bl w:val="nil"/>
                  </w:tcBorders>
                  <w:noWrap w:val="0"/>
                  <w:tcMar>
                    <w:top w:w="15" w:type="dxa"/>
                    <w:left w:w="15" w:type="dxa"/>
                    <w:right w:w="15" w:type="dxa"/>
                  </w:tcMar>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rPr>
                  </w:pPr>
                  <w:r>
                    <w:rPr>
                      <w:rFonts w:hint="eastAsia" w:ascii="Times New Roman" w:hAnsi="Times New Roman" w:cs="Times New Roman"/>
                      <w:color w:val="auto"/>
                      <w:sz w:val="22"/>
                      <w:szCs w:val="22"/>
                      <w:u w:val="none" w:color="auto"/>
                      <w:lang w:val="en-US" w:eastAsia="zh-CN"/>
                    </w:rPr>
                    <w:t xml:space="preserve">0.37 </w:t>
                  </w:r>
                </w:p>
              </w:tc>
            </w:tr>
          </w:tbl>
          <w:p>
            <w:pPr>
              <w:spacing w:line="360" w:lineRule="auto"/>
              <w:ind w:firstLine="462" w:firstLineChars="200"/>
              <w:jc w:val="both"/>
              <w:rPr>
                <w:rFonts w:hint="default" w:ascii="Times New Roman" w:hAnsi="Times New Roman" w:cs="Times New Roman"/>
                <w:color w:val="auto"/>
                <w:sz w:val="24"/>
                <w:szCs w:val="24"/>
                <w:u w:val="none" w:color="auto"/>
                <w:lang w:val="en-US"/>
              </w:rPr>
            </w:pPr>
            <w:r>
              <w:rPr>
                <w:rFonts w:hint="default" w:ascii="Times New Roman" w:hAnsi="Times New Roman" w:cs="Times New Roman"/>
                <w:color w:val="auto"/>
                <w:sz w:val="24"/>
                <w:szCs w:val="24"/>
                <w:u w:val="none" w:color="auto"/>
                <w:lang w:val="en-US" w:eastAsia="zh-CN"/>
              </w:rPr>
              <w:t>估算模式已考虑了最不利的气象条件，根据预测结果，各污染物下风向预测最大地面浓度、占标率见表7-</w:t>
            </w:r>
            <w:r>
              <w:rPr>
                <w:rFonts w:hint="eastAsia" w:cs="Times New Roman"/>
                <w:color w:val="auto"/>
                <w:sz w:val="24"/>
                <w:szCs w:val="24"/>
                <w:u w:val="none" w:color="auto"/>
                <w:lang w:val="en-US" w:eastAsia="zh-CN"/>
              </w:rPr>
              <w:t>10。</w:t>
            </w:r>
          </w:p>
          <w:p>
            <w:pPr>
              <w:tabs>
                <w:tab w:val="left" w:pos="103"/>
              </w:tabs>
              <w:autoSpaceDE w:val="0"/>
              <w:autoSpaceDN w:val="0"/>
              <w:spacing w:line="360" w:lineRule="auto"/>
              <w:ind w:firstLine="462" w:firstLineChars="200"/>
              <w:jc w:val="center"/>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表7-</w:t>
            </w:r>
            <w:r>
              <w:rPr>
                <w:rFonts w:hint="eastAsia" w:cs="Times New Roman"/>
                <w:color w:val="auto"/>
                <w:sz w:val="24"/>
                <w:szCs w:val="24"/>
                <w:u w:val="none" w:color="auto"/>
                <w:lang w:val="en-US" w:eastAsia="zh-CN"/>
              </w:rPr>
              <w:t xml:space="preserve">10 </w:t>
            </w:r>
            <w:r>
              <w:rPr>
                <w:rFonts w:hint="default" w:ascii="Times New Roman" w:hAnsi="Times New Roman" w:cs="Times New Roman"/>
                <w:color w:val="auto"/>
                <w:sz w:val="24"/>
                <w:szCs w:val="24"/>
                <w:u w:val="none" w:color="auto"/>
                <w:lang w:val="en-US" w:eastAsia="zh-CN"/>
              </w:rPr>
              <w:t>污染物下风向预测最大地面浓度、占标率一览表</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2489"/>
              <w:gridCol w:w="1455"/>
              <w:gridCol w:w="1830"/>
              <w:gridCol w:w="1485"/>
              <w:gridCol w:w="12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2" w:hRule="atLeast"/>
                <w:jc w:val="center"/>
              </w:trPr>
              <w:tc>
                <w:tcPr>
                  <w:tcW w:w="366"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类别</w:t>
                  </w: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污染因子</w:t>
                  </w:r>
                </w:p>
              </w:tc>
              <w:tc>
                <w:tcPr>
                  <w:tcW w:w="795"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w:t>
                  </w:r>
                  <w:r>
                    <w:rPr>
                      <w:rFonts w:hint="eastAsia" w:cs="Times New Roman"/>
                      <w:color w:val="auto"/>
                      <w:sz w:val="22"/>
                      <w:szCs w:val="22"/>
                      <w:u w:val="none" w:color="auto"/>
                      <w:lang w:val="en-US" w:eastAsia="zh-CN"/>
                    </w:rPr>
                    <w:t>m</w:t>
                  </w:r>
                  <w:r>
                    <w:rPr>
                      <w:rFonts w:hint="default" w:ascii="Times New Roman" w:hAnsi="Times New Roman" w:cs="Times New Roman"/>
                      <w:color w:val="auto"/>
                      <w:sz w:val="22"/>
                      <w:szCs w:val="22"/>
                      <w:u w:val="none" w:color="auto"/>
                      <w:lang w:val="en-US" w:eastAsia="zh-CN"/>
                    </w:rPr>
                    <w:t>g/m</w:t>
                  </w:r>
                  <w:r>
                    <w:rPr>
                      <w:rFonts w:hint="default" w:ascii="Times New Roman" w:hAnsi="Times New Roman" w:cs="Times New Roman"/>
                      <w:color w:val="auto"/>
                      <w:sz w:val="22"/>
                      <w:szCs w:val="22"/>
                      <w:u w:val="none" w:color="auto"/>
                      <w:vertAlign w:val="superscript"/>
                      <w:lang w:val="en-US" w:eastAsia="zh-CN"/>
                    </w:rPr>
                    <w:t>3</w:t>
                  </w:r>
                  <w:r>
                    <w:rPr>
                      <w:rFonts w:hint="default" w:ascii="Times New Roman" w:hAnsi="Times New Roman" w:cs="Times New Roman"/>
                      <w:color w:val="auto"/>
                      <w:sz w:val="22"/>
                      <w:szCs w:val="22"/>
                      <w:u w:val="none" w:color="auto"/>
                      <w:lang w:val="en-US" w:eastAsia="zh-CN"/>
                    </w:rPr>
                    <w:t>）</w:t>
                  </w:r>
                </w:p>
              </w:tc>
              <w:tc>
                <w:tcPr>
                  <w:tcW w:w="100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最大落地浓度占标率Pmax（%）</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下风向最大浓度出现距离m</w:t>
                  </w:r>
                </w:p>
              </w:tc>
              <w:tc>
                <w:tcPr>
                  <w:tcW w:w="665"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评价等级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366" w:type="pct"/>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有组织</w:t>
                  </w: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颗粒物（喷塑工序）</w:t>
                  </w:r>
                </w:p>
              </w:tc>
              <w:tc>
                <w:tcPr>
                  <w:tcW w:w="79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0.0107200 </w:t>
                  </w:r>
                </w:p>
              </w:tc>
              <w:tc>
                <w:tcPr>
                  <w:tcW w:w="1000"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0.86 </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129</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366" w:type="pct"/>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lang w:val="en-US" w:eastAsia="zh-CN"/>
                    </w:rPr>
                    <w:t>颗粒物（喷漆工序）</w:t>
                  </w:r>
                </w:p>
              </w:tc>
              <w:tc>
                <w:tcPr>
                  <w:tcW w:w="79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color w:val="auto"/>
                      <w:kern w:val="2"/>
                      <w:sz w:val="22"/>
                      <w:szCs w:val="22"/>
                      <w:u w:val="none" w:color="auto"/>
                      <w:lang w:val="en-US" w:eastAsia="zh-CN" w:bidi="ar-SA"/>
                    </w:rPr>
                    <w:t>0.</w:t>
                  </w:r>
                  <w:r>
                    <w:rPr>
                      <w:rFonts w:hint="eastAsia" w:cs="Times New Roman"/>
                      <w:color w:val="auto"/>
                      <w:kern w:val="2"/>
                      <w:sz w:val="22"/>
                      <w:szCs w:val="22"/>
                      <w:u w:val="none" w:color="auto"/>
                      <w:lang w:val="en-US" w:eastAsia="zh-CN" w:bidi="ar-SA"/>
                    </w:rPr>
                    <w:t>0</w:t>
                  </w:r>
                  <w:r>
                    <w:rPr>
                      <w:rFonts w:hint="eastAsia" w:ascii="Times New Roman" w:hAnsi="Times New Roman" w:eastAsia="宋体" w:cs="Times New Roman"/>
                      <w:color w:val="auto"/>
                      <w:kern w:val="2"/>
                      <w:sz w:val="22"/>
                      <w:szCs w:val="22"/>
                      <w:u w:val="none" w:color="auto"/>
                      <w:lang w:val="en-US" w:eastAsia="zh-CN" w:bidi="ar-SA"/>
                    </w:rPr>
                    <w:t>42880</w:t>
                  </w:r>
                </w:p>
              </w:tc>
              <w:tc>
                <w:tcPr>
                  <w:tcW w:w="1000"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color w:val="auto"/>
                      <w:kern w:val="2"/>
                      <w:sz w:val="22"/>
                      <w:szCs w:val="22"/>
                      <w:u w:val="none" w:color="auto"/>
                      <w:lang w:val="en-US" w:eastAsia="zh-CN" w:bidi="ar-SA"/>
                    </w:rPr>
                    <w:t xml:space="preserve">0.43 </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163</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366" w:type="pct"/>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r>
                    <w:rPr>
                      <w:rFonts w:hint="eastAsia" w:ascii="Times New Roman" w:hAnsi="Times New Roman" w:cs="Times New Roman"/>
                      <w:color w:val="auto"/>
                      <w:sz w:val="22"/>
                      <w:szCs w:val="22"/>
                      <w:u w:val="none" w:color="auto"/>
                      <w:vertAlign w:val="baseline"/>
                      <w:lang w:val="en-US" w:eastAsia="zh-CN"/>
                    </w:rPr>
                    <w:t>（喷漆工序</w:t>
                  </w:r>
                  <w:r>
                    <w:rPr>
                      <w:rFonts w:hint="eastAsia" w:cs="Times New Roman"/>
                      <w:color w:val="auto"/>
                      <w:sz w:val="22"/>
                      <w:szCs w:val="22"/>
                      <w:u w:val="none" w:color="auto"/>
                      <w:vertAlign w:val="baseline"/>
                      <w:lang w:val="en-US" w:eastAsia="zh-CN"/>
                    </w:rPr>
                    <w:t>、喷塑后烘干固化工序</w:t>
                  </w:r>
                  <w:r>
                    <w:rPr>
                      <w:rFonts w:hint="eastAsia" w:ascii="Times New Roman" w:hAnsi="Times New Roman" w:cs="Times New Roman"/>
                      <w:color w:val="auto"/>
                      <w:sz w:val="22"/>
                      <w:szCs w:val="22"/>
                      <w:u w:val="none" w:color="auto"/>
                      <w:vertAlign w:val="baseline"/>
                      <w:lang w:val="en-US" w:eastAsia="zh-CN"/>
                    </w:rPr>
                    <w:t>）</w:t>
                  </w:r>
                </w:p>
              </w:tc>
              <w:tc>
                <w:tcPr>
                  <w:tcW w:w="79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color w:val="auto"/>
                      <w:kern w:val="2"/>
                      <w:sz w:val="22"/>
                      <w:szCs w:val="22"/>
                      <w:u w:val="none" w:color="auto"/>
                      <w:lang w:val="en-US" w:eastAsia="zh-CN" w:bidi="ar-SA"/>
                    </w:rPr>
                    <w:t>0.10405</w:t>
                  </w:r>
                </w:p>
              </w:tc>
              <w:tc>
                <w:tcPr>
                  <w:tcW w:w="1000"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eastAsia="宋体" w:cs="Times New Roman"/>
                      <w:color w:val="auto"/>
                      <w:kern w:val="2"/>
                      <w:sz w:val="22"/>
                      <w:szCs w:val="22"/>
                      <w:u w:val="none" w:color="auto"/>
                      <w:lang w:val="en-US" w:eastAsia="zh-CN" w:bidi="ar-SA"/>
                    </w:rPr>
                    <w:t>0.2</w:t>
                  </w:r>
                  <w:r>
                    <w:rPr>
                      <w:rFonts w:hint="eastAsia" w:ascii="Times New Roman" w:hAnsi="Times New Roman" w:cs="Times New Roman"/>
                      <w:color w:val="auto"/>
                      <w:kern w:val="2"/>
                      <w:sz w:val="22"/>
                      <w:szCs w:val="22"/>
                      <w:u w:val="none" w:color="auto"/>
                      <w:lang w:val="en-US" w:eastAsia="zh-CN" w:bidi="ar-SA"/>
                    </w:rPr>
                    <w:t>6</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sz w:val="22"/>
                      <w:szCs w:val="22"/>
                      <w:lang w:val="en-US" w:eastAsia="zh-CN"/>
                    </w:rPr>
                  </w:pPr>
                  <w:r>
                    <w:rPr>
                      <w:rFonts w:hint="eastAsia"/>
                      <w:sz w:val="22"/>
                      <w:szCs w:val="22"/>
                      <w:lang w:val="en-US" w:eastAsia="zh-CN"/>
                    </w:rPr>
                    <w:t>163</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366" w:type="pct"/>
                  <w:vMerge w:val="restar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无组织</w:t>
                  </w: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颗粒物</w:t>
                  </w:r>
                  <w:r>
                    <w:rPr>
                      <w:rFonts w:hint="eastAsia" w:cs="Times New Roman"/>
                      <w:color w:val="auto"/>
                      <w:sz w:val="22"/>
                      <w:szCs w:val="22"/>
                      <w:u w:val="none" w:color="auto"/>
                      <w:lang w:val="en-US" w:eastAsia="zh-CN"/>
                    </w:rPr>
                    <w:t>（焊接工序）</w:t>
                  </w:r>
                </w:p>
              </w:tc>
              <w:tc>
                <w:tcPr>
                  <w:tcW w:w="795"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default" w:ascii="Times New Roman" w:hAnsi="Times New Roman" w:eastAsia="宋体" w:cs="Times New Roman"/>
                      <w:i w:val="0"/>
                      <w:color w:val="000000"/>
                      <w:kern w:val="0"/>
                      <w:sz w:val="22"/>
                      <w:szCs w:val="22"/>
                      <w:u w:val="none" w:color="auto"/>
                      <w:lang w:val="en-US" w:eastAsia="zh-CN" w:bidi="ar"/>
                    </w:rPr>
                    <w:t>0.003358</w:t>
                  </w:r>
                </w:p>
              </w:tc>
              <w:tc>
                <w:tcPr>
                  <w:tcW w:w="1000" w:type="pct"/>
                  <w:tcBorders>
                    <w:tl2br w:val="nil"/>
                    <w:tr2bl w:val="nil"/>
                  </w:tcBorders>
                  <w:noWrap w:val="0"/>
                  <w:vAlign w:val="center"/>
                </w:tcPr>
                <w:p>
                  <w:pPr>
                    <w:keepNext w:val="0"/>
                    <w:keepLines w:val="0"/>
                    <w:widowControl/>
                    <w:suppressLineNumbers w:val="0"/>
                    <w:spacing w:line="360" w:lineRule="auto"/>
                    <w:jc w:val="center"/>
                    <w:textAlignment w:val="center"/>
                    <w:rPr>
                      <w:rFonts w:hint="default" w:ascii="Times New Roman" w:hAnsi="Times New Roman" w:cs="Times New Roman"/>
                      <w:color w:val="auto"/>
                      <w:sz w:val="22"/>
                      <w:szCs w:val="22"/>
                      <w:u w:val="none" w:color="auto"/>
                      <w:lang w:val="en-US" w:eastAsia="zh-CN"/>
                    </w:rPr>
                  </w:pPr>
                  <w:r>
                    <w:rPr>
                      <w:rFonts w:hint="eastAsia" w:ascii="Times New Roman" w:hAnsi="Times New Roman" w:eastAsia="宋体" w:cs="Times New Roman"/>
                      <w:i w:val="0"/>
                      <w:color w:val="000000"/>
                      <w:kern w:val="0"/>
                      <w:sz w:val="22"/>
                      <w:szCs w:val="22"/>
                      <w:u w:val="none" w:color="auto"/>
                      <w:lang w:val="en-US" w:eastAsia="zh-CN" w:bidi="ar"/>
                    </w:rPr>
                    <w:t xml:space="preserve">0.32 </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93</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366" w:type="pct"/>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颗粒物（喷漆工序）</w:t>
                  </w:r>
                </w:p>
              </w:tc>
              <w:tc>
                <w:tcPr>
                  <w:tcW w:w="795"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cs="Times New Roman"/>
                      <w:color w:val="auto"/>
                      <w:sz w:val="22"/>
                      <w:szCs w:val="22"/>
                      <w:u w:val="none" w:color="auto"/>
                      <w:lang w:val="en-US" w:eastAsia="zh-CN"/>
                    </w:rPr>
                    <w:t xml:space="preserve">0.0021900 </w:t>
                  </w:r>
                </w:p>
              </w:tc>
              <w:tc>
                <w:tcPr>
                  <w:tcW w:w="100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cs="Times New Roman"/>
                      <w:color w:val="auto"/>
                      <w:sz w:val="22"/>
                      <w:szCs w:val="22"/>
                      <w:u w:val="none" w:color="auto"/>
                      <w:lang w:val="en-US" w:eastAsia="zh-CN"/>
                    </w:rPr>
                    <w:t xml:space="preserve">0.42 </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76</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366" w:type="pct"/>
                  <w:vMerge w:val="continue"/>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p>
              </w:tc>
              <w:tc>
                <w:tcPr>
                  <w:tcW w:w="1360"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both"/>
                    <w:textAlignment w:val="auto"/>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VOC</w:t>
                  </w:r>
                  <w:r>
                    <w:rPr>
                      <w:rFonts w:hint="default" w:ascii="Times New Roman" w:hAnsi="Times New Roman" w:cs="Times New Roman"/>
                      <w:color w:val="auto"/>
                      <w:sz w:val="22"/>
                      <w:szCs w:val="22"/>
                      <w:u w:val="none" w:color="auto"/>
                      <w:vertAlign w:val="subscript"/>
                      <w:lang w:val="en-US" w:eastAsia="zh-CN"/>
                    </w:rPr>
                    <w:t>S</w:t>
                  </w:r>
                  <w:r>
                    <w:rPr>
                      <w:rFonts w:hint="eastAsia" w:ascii="Times New Roman" w:hAnsi="Times New Roman" w:cs="Times New Roman"/>
                      <w:color w:val="auto"/>
                      <w:sz w:val="22"/>
                      <w:szCs w:val="22"/>
                      <w:u w:val="none" w:color="auto"/>
                      <w:vertAlign w:val="baseline"/>
                      <w:lang w:val="en-US" w:eastAsia="zh-CN"/>
                    </w:rPr>
                    <w:t>（喷漆工序）</w:t>
                  </w:r>
                </w:p>
              </w:tc>
              <w:tc>
                <w:tcPr>
                  <w:tcW w:w="795"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cs="Times New Roman"/>
                      <w:color w:val="auto"/>
                      <w:sz w:val="22"/>
                      <w:szCs w:val="22"/>
                      <w:u w:val="none" w:color="auto"/>
                      <w:lang w:val="en-US" w:eastAsia="zh-CN"/>
                    </w:rPr>
                    <w:t xml:space="preserve">0.0024757 </w:t>
                  </w:r>
                </w:p>
              </w:tc>
              <w:tc>
                <w:tcPr>
                  <w:tcW w:w="1000" w:type="pct"/>
                  <w:tcBorders>
                    <w:tl2br w:val="nil"/>
                    <w:tr2bl w:val="nil"/>
                  </w:tcBorders>
                  <w:noWrap w:val="0"/>
                  <w:vAlign w:val="center"/>
                </w:tcPr>
                <w:p>
                  <w:pPr>
                    <w:keepNext w:val="0"/>
                    <w:keepLines w:val="0"/>
                    <w:widowControl/>
                    <w:suppressLineNumbers w:val="0"/>
                    <w:spacing w:line="360" w:lineRule="auto"/>
                    <w:jc w:val="center"/>
                    <w:textAlignment w:val="center"/>
                    <w:rPr>
                      <w:rFonts w:hint="eastAsia" w:ascii="Times New Roman" w:hAnsi="Times New Roman" w:eastAsia="宋体" w:cs="Times New Roman"/>
                      <w:i w:val="0"/>
                      <w:color w:val="000000"/>
                      <w:kern w:val="0"/>
                      <w:sz w:val="22"/>
                      <w:szCs w:val="22"/>
                      <w:u w:val="none" w:color="auto"/>
                      <w:lang w:val="en-US" w:eastAsia="zh-CN" w:bidi="ar"/>
                    </w:rPr>
                  </w:pPr>
                  <w:r>
                    <w:rPr>
                      <w:rFonts w:hint="eastAsia" w:ascii="Times New Roman" w:hAnsi="Times New Roman" w:cs="Times New Roman"/>
                      <w:color w:val="auto"/>
                      <w:sz w:val="22"/>
                      <w:szCs w:val="22"/>
                      <w:u w:val="none" w:color="auto"/>
                      <w:lang w:val="en-US" w:eastAsia="zh-CN"/>
                    </w:rPr>
                    <w:t xml:space="preserve">0.37 </w:t>
                  </w:r>
                </w:p>
              </w:tc>
              <w:tc>
                <w:tcPr>
                  <w:tcW w:w="811" w:type="pct"/>
                  <w:tcBorders>
                    <w:tl2br w:val="nil"/>
                    <w:tr2bl w:val="nil"/>
                  </w:tcBorders>
                  <w:noWrap w:val="0"/>
                  <w:vAlign w:val="center"/>
                </w:tcPr>
                <w:p>
                  <w:pPr>
                    <w:keepNext w:val="0"/>
                    <w:keepLines w:val="0"/>
                    <w:pageBreakBefore w:val="0"/>
                    <w:widowControl w:val="0"/>
                    <w:tabs>
                      <w:tab w:val="left" w:pos="103"/>
                    </w:tabs>
                    <w:kinsoku/>
                    <w:wordWrap/>
                    <w:overflowPunct/>
                    <w:topLinePunct w:val="0"/>
                    <w:autoSpaceDE w:val="0"/>
                    <w:autoSpaceDN w:val="0"/>
                    <w:bidi w:val="0"/>
                    <w:adjustRightInd/>
                    <w:snapToGrid/>
                    <w:spacing w:line="360" w:lineRule="auto"/>
                    <w:ind w:firstLine="0" w:firstLineChars="0"/>
                    <w:jc w:val="center"/>
                    <w:textAlignment w:val="auto"/>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76</w:t>
                  </w:r>
                </w:p>
              </w:tc>
              <w:tc>
                <w:tcPr>
                  <w:tcW w:w="665"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三级</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对于同一个项目有多个污染源时，按各污染源分别确定评价等级，并取评价等级最高者作为项目的评价等级。综上计算可知，本项目评价等级为</w:t>
            </w:r>
            <w:r>
              <w:rPr>
                <w:rFonts w:hint="default" w:ascii="Times New Roman" w:hAnsi="Times New Roman" w:cs="Times New Roman"/>
                <w:color w:val="auto"/>
                <w:sz w:val="24"/>
                <w:szCs w:val="24"/>
                <w:u w:val="none" w:color="auto"/>
                <w:lang w:eastAsia="zh-CN"/>
              </w:rPr>
              <w:t>三</w:t>
            </w:r>
            <w:r>
              <w:rPr>
                <w:rFonts w:hint="default" w:ascii="Times New Roman" w:hAnsi="Times New Roman" w:cs="Times New Roman"/>
                <w:color w:val="auto"/>
                <w:sz w:val="24"/>
                <w:szCs w:val="24"/>
                <w:u w:val="none" w:color="auto"/>
              </w:rPr>
              <w:t>级。</w:t>
            </w:r>
          </w:p>
          <w:p>
            <w:pPr>
              <w:snapToGrid w:val="0"/>
              <w:spacing w:line="360" w:lineRule="auto"/>
              <w:ind w:firstLine="470"/>
              <w:rPr>
                <w:rFonts w:hint="eastAsia" w:cs="Times New Roman"/>
                <w:color w:val="auto"/>
                <w:sz w:val="24"/>
                <w:szCs w:val="24"/>
                <w:u w:val="none" w:color="auto"/>
                <w:lang w:eastAsia="zh-CN"/>
              </w:rPr>
            </w:pPr>
            <w:r>
              <w:rPr>
                <w:rFonts w:hint="default" w:ascii="Times New Roman" w:hAnsi="Times New Roman" w:cs="Times New Roman"/>
                <w:color w:val="auto"/>
                <w:sz w:val="24"/>
                <w:szCs w:val="24"/>
                <w:u w:val="none" w:color="auto"/>
              </w:rPr>
              <w:t>根据估算模式预测结果，项目营运期产生的粉尘排放能够满足《大气污染物综合排放标准》（GB16297-1996）二级标准及无组织排放最高浓度排放限值，营运期产生的VOCs能满足</w:t>
            </w:r>
            <w:r>
              <w:rPr>
                <w:rFonts w:hint="eastAsia"/>
                <w:color w:val="auto"/>
                <w:sz w:val="24"/>
                <w:szCs w:val="24"/>
                <w:u w:val="none" w:color="auto"/>
                <w:lang w:eastAsia="zh-CN"/>
              </w:rPr>
              <w:t>（参照执行）</w:t>
            </w:r>
            <w:r>
              <w:rPr>
                <w:rFonts w:hint="eastAsia"/>
                <w:color w:val="auto"/>
                <w:sz w:val="24"/>
                <w:szCs w:val="24"/>
                <w:u w:val="none" w:color="auto"/>
              </w:rPr>
              <w:t>执行湖南省地方标准</w:t>
            </w:r>
            <w:r>
              <w:rPr>
                <w:rFonts w:hint="eastAsia"/>
                <w:color w:val="auto"/>
                <w:sz w:val="24"/>
                <w:szCs w:val="24"/>
                <w:u w:val="none" w:color="auto"/>
                <w:lang w:eastAsia="zh-CN"/>
              </w:rPr>
              <w:t>《表面涂装(汽车制造)挥发性有机物、镍排放标准》（DB43/1356-2017）</w:t>
            </w:r>
            <w:r>
              <w:rPr>
                <w:rFonts w:hint="default" w:ascii="Times New Roman" w:hAnsi="Times New Roman" w:cs="Times New Roman"/>
                <w:color w:val="auto"/>
                <w:sz w:val="24"/>
                <w:szCs w:val="24"/>
                <w:u w:val="none" w:color="auto"/>
              </w:rPr>
              <w:t>表1的最高允许排放限值</w:t>
            </w:r>
            <w:r>
              <w:rPr>
                <w:rFonts w:hint="eastAsia" w:cs="Times New Roman"/>
                <w:color w:val="auto"/>
                <w:sz w:val="24"/>
                <w:szCs w:val="24"/>
                <w:u w:val="none" w:color="auto"/>
                <w:lang w:eastAsia="zh-CN"/>
              </w:rPr>
              <w:t>。</w:t>
            </w:r>
          </w:p>
          <w:p>
            <w:pPr>
              <w:snapToGrid w:val="0"/>
              <w:spacing w:line="360" w:lineRule="auto"/>
              <w:ind w:firstLine="470"/>
              <w:rPr>
                <w:rFonts w:hint="default"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eastAsia="zh-CN"/>
              </w:rPr>
              <w:t>根据</w:t>
            </w:r>
            <w:r>
              <w:rPr>
                <w:rFonts w:hint="eastAsia" w:cs="Times New Roman"/>
                <w:color w:val="auto"/>
                <w:sz w:val="24"/>
                <w:szCs w:val="24"/>
                <w:u w:val="none" w:color="auto"/>
                <w:lang w:val="en-US" w:eastAsia="zh-CN"/>
              </w:rPr>
              <w:t>2019年10月24日湖南精准通检测技术有限公司对喷漆废气及厂界无组织废气监测可知，</w:t>
            </w:r>
            <w:r>
              <w:rPr>
                <w:rFonts w:hint="eastAsia" w:cs="Times New Roman"/>
                <w:color w:val="auto"/>
                <w:sz w:val="24"/>
                <w:u w:val="none" w:color="auto"/>
                <w:lang w:eastAsia="zh-CN"/>
              </w:rPr>
              <w:t>项目喷漆废气排气筒中苯、甲苯、二甲苯、挥发性有机物检测结果均达到了《表面涂装（汽车制造及维修）挥发性有机物、镍排放标准》（</w:t>
            </w:r>
            <w:r>
              <w:rPr>
                <w:rFonts w:hint="eastAsia" w:cs="Times New Roman"/>
                <w:color w:val="auto"/>
                <w:sz w:val="24"/>
                <w:u w:val="none" w:color="auto"/>
                <w:lang w:val="en-US" w:eastAsia="zh-CN"/>
              </w:rPr>
              <w:t>DB43/1356-2017</w:t>
            </w:r>
            <w:r>
              <w:rPr>
                <w:rFonts w:hint="eastAsia" w:cs="Times New Roman"/>
                <w:color w:val="auto"/>
                <w:sz w:val="24"/>
                <w:u w:val="none" w:color="auto"/>
                <w:lang w:eastAsia="zh-CN"/>
              </w:rPr>
              <w:t>）中排放标准；厂界无组织排放点中挥发性有机物检测结果达到了（参照执行）《表面涂装（汽车制造及维修）挥发性有机物、镍排放标准》（</w:t>
            </w:r>
            <w:r>
              <w:rPr>
                <w:rFonts w:hint="eastAsia" w:cs="Times New Roman"/>
                <w:color w:val="auto"/>
                <w:sz w:val="24"/>
                <w:u w:val="none" w:color="auto"/>
                <w:lang w:val="en-US" w:eastAsia="zh-CN"/>
              </w:rPr>
              <w:t>DB43/1356-2017</w:t>
            </w:r>
            <w:r>
              <w:rPr>
                <w:rFonts w:hint="eastAsia" w:cs="Times New Roman"/>
                <w:color w:val="auto"/>
                <w:sz w:val="24"/>
                <w:u w:val="none" w:color="auto"/>
                <w:lang w:eastAsia="zh-CN"/>
              </w:rPr>
              <w:t>）中排放标准、颗粒物检测结果达到了《大气污染物综合排放标准》（</w:t>
            </w:r>
            <w:r>
              <w:rPr>
                <w:rFonts w:hint="eastAsia" w:cs="Times New Roman"/>
                <w:color w:val="auto"/>
                <w:sz w:val="24"/>
                <w:u w:val="none" w:color="auto"/>
                <w:lang w:val="en-US" w:eastAsia="zh-CN"/>
              </w:rPr>
              <w:t>GB16297-1996</w:t>
            </w:r>
            <w:r>
              <w:rPr>
                <w:rFonts w:hint="eastAsia" w:cs="Times New Roman"/>
                <w:color w:val="auto"/>
                <w:sz w:val="24"/>
                <w:u w:val="none" w:color="auto"/>
                <w:lang w:eastAsia="zh-CN"/>
              </w:rPr>
              <w:t>）中无组织排放标准限值要求，且根据工程分析可知，项目定期更换活性炭及定期清理水帘废水沉渣后，本扩建项目依托原项目喷漆房进行喷漆后，其废气经原有设施处理后可达标排放</w:t>
            </w:r>
            <w:r>
              <w:rPr>
                <w:rFonts w:hint="eastAsia" w:cs="Times New Roman"/>
                <w:color w:val="auto"/>
                <w:sz w:val="24"/>
                <w:szCs w:val="24"/>
                <w:u w:val="none" w:color="auto"/>
                <w:lang w:eastAsia="zh-CN"/>
              </w:rPr>
              <w:t>，</w:t>
            </w:r>
            <w:r>
              <w:rPr>
                <w:rFonts w:hint="default" w:ascii="Times New Roman" w:hAnsi="Times New Roman" w:cs="Times New Roman"/>
                <w:color w:val="auto"/>
                <w:sz w:val="24"/>
                <w:szCs w:val="24"/>
                <w:u w:val="none" w:color="auto"/>
              </w:rPr>
              <w:t>对周围环境影响较小</w:t>
            </w:r>
            <w:r>
              <w:rPr>
                <w:rFonts w:hint="default" w:ascii="Times New Roman" w:hAnsi="Times New Roman" w:cs="Times New Roman"/>
                <w:color w:val="auto"/>
                <w:sz w:val="24"/>
                <w:szCs w:val="24"/>
                <w:u w:val="none" w:color="auto"/>
                <w:lang w:val="en-US" w:eastAsia="zh-CN"/>
              </w:rPr>
              <w:t>。</w:t>
            </w:r>
          </w:p>
          <w:p>
            <w:pPr>
              <w:pStyle w:val="165"/>
              <w:numPr>
                <w:ilvl w:val="0"/>
                <w:numId w:val="11"/>
              </w:numPr>
              <w:spacing w:line="360" w:lineRule="auto"/>
              <w:ind w:firstLineChars="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污染物排放达标分析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根据《大气污染物综合排放标准》（GB16297-1996）由“7.4新污染源的排气筒一般不低于15米”；“7.1还应高出周围200米半径范围的建筑5m以上”；</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共</w:t>
            </w:r>
            <w:r>
              <w:rPr>
                <w:rFonts w:hint="default" w:ascii="Times New Roman" w:hAnsi="Times New Roman" w:cs="Times New Roman"/>
                <w:color w:val="auto"/>
                <w:sz w:val="24"/>
                <w:szCs w:val="24"/>
                <w:u w:val="none" w:color="auto"/>
              </w:rPr>
              <w:t>设置</w:t>
            </w:r>
            <w:r>
              <w:rPr>
                <w:rFonts w:hint="eastAsia" w:cs="Times New Roman"/>
                <w:color w:val="auto"/>
                <w:sz w:val="24"/>
                <w:szCs w:val="24"/>
                <w:u w:val="none" w:color="auto"/>
                <w:lang w:val="en-US" w:eastAsia="zh-CN"/>
              </w:rPr>
              <w:t>2个排气筒，其</w:t>
            </w:r>
            <w:r>
              <w:rPr>
                <w:rFonts w:hint="default" w:ascii="Times New Roman" w:hAnsi="Times New Roman" w:cs="Times New Roman"/>
                <w:color w:val="auto"/>
                <w:sz w:val="24"/>
                <w:szCs w:val="24"/>
                <w:u w:val="none" w:color="auto"/>
              </w:rPr>
              <w:t>排气筒高度为15m，根据现场调查，项目厂区附近200m范围内所有建筑高度不超过10米，项目生产车间等标高约为</w:t>
            </w: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rPr>
              <w:t>m。项目排气筒位置、高度均严格按照生产工艺特征、国家标准进行设置，总体而言是合理的。</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）污染物排放量核算</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①有组织排放量核算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11</w:t>
            </w:r>
            <w:r>
              <w:rPr>
                <w:rFonts w:hint="default" w:ascii="Times New Roman" w:hAnsi="Times New Roman" w:cs="Times New Roman"/>
                <w:color w:val="auto"/>
                <w:sz w:val="24"/>
                <w:szCs w:val="24"/>
                <w:u w:val="none" w:color="auto"/>
              </w:rPr>
              <w:t xml:space="preserve"> 大气污染物有组织排放量核算表</w:t>
            </w:r>
          </w:p>
          <w:tbl>
            <w:tblPr>
              <w:tblStyle w:val="40"/>
              <w:tblW w:w="9022"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38"/>
              <w:gridCol w:w="1595"/>
              <w:gridCol w:w="1412"/>
              <w:gridCol w:w="1850"/>
              <w:gridCol w:w="1842"/>
              <w:gridCol w:w="17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12" w:hRule="atLeast"/>
              </w:trPr>
              <w:tc>
                <w:tcPr>
                  <w:tcW w:w="538"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59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141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8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核算排放浓度（mg/m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84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核算排放速率（kg/h）</w:t>
                  </w:r>
                </w:p>
              </w:tc>
              <w:tc>
                <w:tcPr>
                  <w:tcW w:w="178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9022" w:type="dxa"/>
                  <w:gridSpan w:val="6"/>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trPr>
              <w:tc>
                <w:tcPr>
                  <w:tcW w:w="538"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1595" w:type="dxa"/>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喷塑废气</w:t>
                  </w:r>
                </w:p>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排气筒</w:t>
                  </w:r>
                </w:p>
              </w:tc>
              <w:tc>
                <w:tcPr>
                  <w:tcW w:w="1412"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18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8.33</w:t>
                  </w:r>
                </w:p>
              </w:tc>
              <w:tc>
                <w:tcPr>
                  <w:tcW w:w="184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0.025</w:t>
                  </w:r>
                </w:p>
              </w:tc>
              <w:tc>
                <w:tcPr>
                  <w:tcW w:w="178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3" w:hRule="atLeast"/>
              </w:trPr>
              <w:tc>
                <w:tcPr>
                  <w:tcW w:w="538"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595" w:type="dxa"/>
                  <w:vMerge w:val="restart"/>
                  <w:tcBorders>
                    <w:tl2br w:val="nil"/>
                    <w:tr2bl w:val="nil"/>
                  </w:tcBorders>
                  <w:vAlign w:val="center"/>
                </w:tcPr>
                <w:p>
                  <w:pPr>
                    <w:spacing w:line="360" w:lineRule="auto"/>
                    <w:jc w:val="center"/>
                    <w:rPr>
                      <w:rFonts w:hint="eastAsia"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喷漆废气排气筒（依托现有）</w:t>
                  </w:r>
                </w:p>
              </w:tc>
              <w:tc>
                <w:tcPr>
                  <w:tcW w:w="1412"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漆雾（颗粒物）</w:t>
                  </w:r>
                </w:p>
              </w:tc>
              <w:tc>
                <w:tcPr>
                  <w:tcW w:w="185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1.58</w:t>
                  </w:r>
                </w:p>
              </w:tc>
              <w:tc>
                <w:tcPr>
                  <w:tcW w:w="1842"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0.00792</w:t>
                  </w:r>
                </w:p>
              </w:tc>
              <w:tc>
                <w:tcPr>
                  <w:tcW w:w="1785"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0.00475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9" w:hRule="atLeast"/>
              </w:trPr>
              <w:tc>
                <w:tcPr>
                  <w:tcW w:w="538"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595"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412"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850"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24</w:t>
                  </w:r>
                </w:p>
              </w:tc>
              <w:tc>
                <w:tcPr>
                  <w:tcW w:w="1842"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0.095</w:t>
                  </w:r>
                </w:p>
              </w:tc>
              <w:tc>
                <w:tcPr>
                  <w:tcW w:w="1785"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0.1143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7237" w:type="dxa"/>
                  <w:gridSpan w:val="5"/>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有组织排放总计</w:t>
                  </w:r>
                </w:p>
              </w:tc>
              <w:tc>
                <w:tcPr>
                  <w:tcW w:w="1785"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0.14405</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②无组织排放量核算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12</w:t>
            </w:r>
            <w:r>
              <w:rPr>
                <w:rFonts w:hint="default" w:ascii="Times New Roman" w:hAnsi="Times New Roman" w:cs="Times New Roman"/>
                <w:color w:val="auto"/>
                <w:sz w:val="24"/>
                <w:szCs w:val="24"/>
                <w:u w:val="none" w:color="auto"/>
              </w:rPr>
              <w:t xml:space="preserve"> 大气污染物无组织排放量核算表</w:t>
            </w:r>
          </w:p>
          <w:tbl>
            <w:tblPr>
              <w:tblStyle w:val="40"/>
              <w:tblW w:w="9022"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27"/>
              <w:gridCol w:w="1049"/>
              <w:gridCol w:w="1347"/>
              <w:gridCol w:w="789"/>
              <w:gridCol w:w="1044"/>
              <w:gridCol w:w="1950"/>
              <w:gridCol w:w="1269"/>
              <w:gridCol w:w="1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55" w:hRule="atLeast"/>
              </w:trPr>
              <w:tc>
                <w:tcPr>
                  <w:tcW w:w="42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104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排放口编号</w:t>
                  </w:r>
                </w:p>
              </w:tc>
              <w:tc>
                <w:tcPr>
                  <w:tcW w:w="13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产污环节</w:t>
                  </w:r>
                </w:p>
              </w:tc>
              <w:tc>
                <w:tcPr>
                  <w:tcW w:w="789"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044"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主要污染防治措施</w:t>
                  </w:r>
                </w:p>
              </w:tc>
              <w:tc>
                <w:tcPr>
                  <w:tcW w:w="3219" w:type="dxa"/>
                  <w:gridSpan w:val="2"/>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国家或地方污染物排放标准</w:t>
                  </w:r>
                </w:p>
              </w:tc>
              <w:tc>
                <w:tcPr>
                  <w:tcW w:w="1147" w:type="dxa"/>
                  <w:vMerge w:val="restart"/>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182" w:hRule="atLeast"/>
              </w:trPr>
              <w:tc>
                <w:tcPr>
                  <w:tcW w:w="42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3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789"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044"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标准名称</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浓度限值（mg/m</w:t>
                  </w:r>
                  <w:r>
                    <w:rPr>
                      <w:rFonts w:hint="default" w:ascii="Times New Roman" w:hAnsi="Times New Roman" w:cs="Times New Roman"/>
                      <w:color w:val="auto"/>
                      <w:sz w:val="22"/>
                      <w:szCs w:val="22"/>
                      <w:u w:val="none" w:color="auto"/>
                      <w:vertAlign w:val="superscript"/>
                    </w:rPr>
                    <w:t>3</w:t>
                  </w:r>
                  <w:r>
                    <w:rPr>
                      <w:rFonts w:hint="default" w:ascii="Times New Roman" w:hAnsi="Times New Roman" w:cs="Times New Roman"/>
                      <w:color w:val="auto"/>
                      <w:sz w:val="22"/>
                      <w:szCs w:val="22"/>
                      <w:u w:val="none" w:color="auto"/>
                    </w:rPr>
                    <w:t>）</w:t>
                  </w:r>
                </w:p>
              </w:tc>
              <w:tc>
                <w:tcPr>
                  <w:tcW w:w="1147" w:type="dxa"/>
                  <w:vMerge w:val="continue"/>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427"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2</w:t>
                  </w:r>
                </w:p>
              </w:tc>
              <w:tc>
                <w:tcPr>
                  <w:tcW w:w="1049"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焊接工序</w:t>
                  </w:r>
                </w:p>
              </w:tc>
              <w:tc>
                <w:tcPr>
                  <w:tcW w:w="13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焊接</w:t>
                  </w: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粉尘</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移动式烟尘净化器</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0.00152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9" w:hRule="atLeast"/>
              </w:trPr>
              <w:tc>
                <w:tcPr>
                  <w:tcW w:w="427" w:type="dxa"/>
                  <w:vMerge w:val="restart"/>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w:t>
                  </w:r>
                </w:p>
              </w:tc>
              <w:tc>
                <w:tcPr>
                  <w:tcW w:w="1049"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喷漆工序</w:t>
                  </w:r>
                </w:p>
              </w:tc>
              <w:tc>
                <w:tcPr>
                  <w:tcW w:w="1347" w:type="dxa"/>
                  <w:vMerge w:val="restart"/>
                  <w:tcBorders>
                    <w:tl2br w:val="nil"/>
                    <w:tr2bl w:val="nil"/>
                  </w:tcBorders>
                  <w:vAlign w:val="center"/>
                </w:tcPr>
                <w:p>
                  <w:pPr>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喷涂</w:t>
                  </w: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漆雾</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（GB16297-1996）</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w:t>
                  </w:r>
                </w:p>
              </w:tc>
              <w:tc>
                <w:tcPr>
                  <w:tcW w:w="1147"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7" w:hRule="atLeast"/>
              </w:trPr>
              <w:tc>
                <w:tcPr>
                  <w:tcW w:w="427" w:type="dxa"/>
                  <w:vMerge w:val="continue"/>
                  <w:tcBorders>
                    <w:tl2br w:val="nil"/>
                    <w:tr2bl w:val="nil"/>
                  </w:tcBorders>
                  <w:vAlign w:val="center"/>
                </w:tcPr>
                <w:p>
                  <w:pPr>
                    <w:spacing w:line="360" w:lineRule="auto"/>
                    <w:jc w:val="center"/>
                    <w:rPr>
                      <w:rFonts w:hint="eastAsia" w:cs="Times New Roman"/>
                      <w:color w:val="auto"/>
                      <w:sz w:val="22"/>
                      <w:szCs w:val="22"/>
                      <w:u w:val="none" w:color="auto"/>
                      <w:lang w:val="en-US" w:eastAsia="zh-CN"/>
                    </w:rPr>
                  </w:pPr>
                </w:p>
              </w:tc>
              <w:tc>
                <w:tcPr>
                  <w:tcW w:w="1049"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1347" w:type="dxa"/>
                  <w:vMerge w:val="continue"/>
                  <w:tcBorders>
                    <w:tl2br w:val="nil"/>
                    <w:tr2bl w:val="nil"/>
                  </w:tcBorders>
                  <w:vAlign w:val="center"/>
                </w:tcPr>
                <w:p>
                  <w:pPr>
                    <w:spacing w:line="360" w:lineRule="auto"/>
                    <w:jc w:val="center"/>
                    <w:rPr>
                      <w:rFonts w:hint="eastAsia" w:cs="Times New Roman"/>
                      <w:color w:val="auto"/>
                      <w:sz w:val="22"/>
                      <w:szCs w:val="22"/>
                      <w:u w:val="none" w:color="auto"/>
                      <w:lang w:eastAsia="zh-CN"/>
                    </w:rPr>
                  </w:pPr>
                </w:p>
              </w:tc>
              <w:tc>
                <w:tcPr>
                  <w:tcW w:w="78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1044" w:type="dxa"/>
                  <w:tcBorders>
                    <w:tl2br w:val="nil"/>
                    <w:tr2bl w:val="nil"/>
                  </w:tcBorders>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w:t>
                  </w:r>
                </w:p>
              </w:tc>
              <w:tc>
                <w:tcPr>
                  <w:tcW w:w="1950"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r>
                    <w:rPr>
                      <w:rFonts w:hint="default" w:ascii="Times New Roman" w:hAnsi="Times New Roman" w:eastAsia="宋体" w:cs="Times New Roman"/>
                      <w:color w:val="auto"/>
                      <w:kern w:val="0"/>
                      <w:sz w:val="22"/>
                      <w:szCs w:val="22"/>
                      <w:u w:val="none" w:color="auto"/>
                      <w:lang w:val="en-US" w:eastAsia="zh-CN" w:bidi="ar"/>
                    </w:rPr>
                    <w:t>GB37822-2019</w:t>
                  </w:r>
                  <w:r>
                    <w:rPr>
                      <w:rFonts w:hint="default" w:ascii="Times New Roman" w:hAnsi="Times New Roman" w:cs="Times New Roman"/>
                      <w:color w:val="auto"/>
                      <w:sz w:val="22"/>
                      <w:szCs w:val="22"/>
                      <w:u w:val="none" w:color="auto"/>
                    </w:rPr>
                    <w:t>）</w:t>
                  </w:r>
                </w:p>
              </w:tc>
              <w:tc>
                <w:tcPr>
                  <w:tcW w:w="1269"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10</w:t>
                  </w:r>
                </w:p>
              </w:tc>
              <w:tc>
                <w:tcPr>
                  <w:tcW w:w="1147" w:type="dxa"/>
                  <w:tcBorders>
                    <w:tl2br w:val="nil"/>
                    <w:tr2bl w:val="nil"/>
                  </w:tcBorders>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0.00375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7875" w:type="dxa"/>
                  <w:gridSpan w:val="7"/>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无组织排放量总计</w:t>
                  </w:r>
                </w:p>
              </w:tc>
              <w:tc>
                <w:tcPr>
                  <w:tcW w:w="1147" w:type="dxa"/>
                  <w:tcBorders>
                    <w:tl2br w:val="nil"/>
                    <w:tr2bl w:val="nil"/>
                  </w:tcBorders>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0.00777</w:t>
                  </w:r>
                </w:p>
              </w:tc>
            </w:tr>
          </w:tbl>
          <w:p>
            <w:pPr>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③项目大气污染物年排放量核算</w:t>
            </w:r>
          </w:p>
          <w:p>
            <w:pPr>
              <w:spacing w:line="360" w:lineRule="auto"/>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13</w:t>
            </w:r>
            <w:r>
              <w:rPr>
                <w:rFonts w:hint="default" w:ascii="Times New Roman" w:hAnsi="Times New Roman" w:cs="Times New Roman"/>
                <w:color w:val="auto"/>
                <w:sz w:val="24"/>
                <w:szCs w:val="24"/>
                <w:u w:val="none" w:color="auto"/>
              </w:rPr>
              <w:t xml:space="preserve"> 大气污染物年排放量核算表</w:t>
            </w:r>
          </w:p>
          <w:tbl>
            <w:tblPr>
              <w:tblStyle w:val="40"/>
              <w:tblW w:w="90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12"/>
              <w:gridCol w:w="2999"/>
              <w:gridCol w:w="42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年排放量（t/a）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2999" w:type="dxa"/>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颗粒物</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0.02975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12"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2</w:t>
                  </w:r>
                </w:p>
              </w:tc>
              <w:tc>
                <w:tcPr>
                  <w:tcW w:w="2999" w:type="dxa"/>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VOCs</w:t>
                  </w:r>
                </w:p>
              </w:tc>
              <w:tc>
                <w:tcPr>
                  <w:tcW w:w="4211" w:type="dxa"/>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0.1143</w:t>
                  </w:r>
                </w:p>
              </w:tc>
            </w:tr>
          </w:tbl>
          <w:p>
            <w:pPr>
              <w:pStyle w:val="34"/>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）废气处理措施可行性分析</w:t>
            </w:r>
          </w:p>
          <w:p>
            <w:pPr>
              <w:pStyle w:val="34"/>
              <w:spacing w:line="360" w:lineRule="auto"/>
              <w:ind w:left="400"/>
              <w:rPr>
                <w:rFonts w:hint="default" w:ascii="Times New Roman" w:hAnsi="Times New Roman" w:cs="Times New Roman"/>
                <w:b/>
                <w:bCs/>
                <w:color w:val="auto"/>
                <w:sz w:val="24"/>
                <w:szCs w:val="24"/>
                <w:u w:val="single" w:color="auto"/>
              </w:rPr>
            </w:pPr>
            <w:r>
              <w:rPr>
                <w:rFonts w:hint="eastAsia" w:cs="Times New Roman"/>
                <w:b/>
                <w:bCs/>
                <w:color w:val="auto"/>
                <w:sz w:val="24"/>
                <w:szCs w:val="24"/>
                <w:u w:val="single" w:color="auto"/>
                <w:lang w:eastAsia="zh-CN"/>
              </w:rPr>
              <w:t>喷漆</w:t>
            </w:r>
            <w:r>
              <w:rPr>
                <w:rFonts w:hint="default" w:ascii="Times New Roman" w:hAnsi="Times New Roman" w:cs="Times New Roman"/>
                <w:b/>
                <w:bCs/>
                <w:color w:val="auto"/>
                <w:sz w:val="24"/>
                <w:szCs w:val="24"/>
                <w:u w:val="single" w:color="auto"/>
              </w:rPr>
              <w:t>废气</w:t>
            </w:r>
          </w:p>
          <w:p>
            <w:pPr>
              <w:pStyle w:val="172"/>
              <w:spacing w:line="360" w:lineRule="auto"/>
              <w:ind w:firstLine="462" w:firstLineChars="200"/>
              <w:rPr>
                <w:rFonts w:hint="default"/>
                <w:color w:val="auto"/>
                <w:sz w:val="24"/>
                <w:szCs w:val="24"/>
                <w:u w:val="single" w:color="auto"/>
              </w:rPr>
            </w:pPr>
            <w:r>
              <w:rPr>
                <w:rFonts w:hint="default"/>
                <w:b/>
                <w:bCs/>
                <w:color w:val="auto"/>
                <w:sz w:val="24"/>
                <w:szCs w:val="24"/>
                <w:u w:val="single" w:color="auto"/>
              </w:rPr>
              <w:t>可行性分析</w:t>
            </w:r>
            <w:r>
              <w:rPr>
                <w:rFonts w:hint="default"/>
                <w:color w:val="auto"/>
                <w:sz w:val="24"/>
                <w:szCs w:val="24"/>
                <w:u w:val="single" w:color="auto"/>
              </w:rPr>
              <w:t xml:space="preserve"> </w:t>
            </w:r>
          </w:p>
          <w:p>
            <w:pPr>
              <w:pStyle w:val="172"/>
              <w:spacing w:line="360" w:lineRule="auto"/>
              <w:ind w:firstLine="462" w:firstLineChars="200"/>
              <w:rPr>
                <w:rFonts w:hint="default"/>
                <w:color w:val="auto"/>
                <w:sz w:val="24"/>
                <w:szCs w:val="24"/>
                <w:u w:val="single" w:color="auto"/>
              </w:rPr>
            </w:pPr>
            <w:r>
              <w:rPr>
                <w:rFonts w:hint="default"/>
                <w:color w:val="auto"/>
                <w:sz w:val="24"/>
                <w:szCs w:val="24"/>
                <w:u w:val="single" w:color="auto"/>
              </w:rPr>
              <w:t>废气经</w:t>
            </w:r>
            <w:r>
              <w:rPr>
                <w:rFonts w:hint="eastAsia"/>
                <w:color w:val="auto"/>
                <w:sz w:val="24"/>
                <w:szCs w:val="24"/>
                <w:u w:val="single" w:color="auto"/>
                <w:lang w:eastAsia="zh-CN"/>
              </w:rPr>
              <w:t>集气罩</w:t>
            </w:r>
            <w:r>
              <w:rPr>
                <w:rFonts w:hint="default"/>
                <w:color w:val="auto"/>
                <w:sz w:val="24"/>
                <w:szCs w:val="24"/>
                <w:u w:val="single" w:color="auto"/>
              </w:rPr>
              <w:t>收集</w:t>
            </w:r>
            <w:r>
              <w:rPr>
                <w:rFonts w:hint="eastAsia"/>
                <w:color w:val="auto"/>
                <w:sz w:val="24"/>
                <w:szCs w:val="24"/>
                <w:u w:val="single" w:color="auto"/>
                <w:lang w:eastAsia="zh-CN"/>
              </w:rPr>
              <w:t>通过水净化装置</w:t>
            </w:r>
            <w:r>
              <w:rPr>
                <w:rFonts w:hint="eastAsia"/>
                <w:color w:val="auto"/>
                <w:sz w:val="24"/>
                <w:szCs w:val="24"/>
                <w:u w:val="single" w:color="auto"/>
                <w:lang w:val="en-US" w:eastAsia="zh-CN"/>
              </w:rPr>
              <w:t>+</w:t>
            </w:r>
            <w:r>
              <w:rPr>
                <w:rFonts w:hint="eastAsia"/>
                <w:color w:val="auto"/>
                <w:sz w:val="24"/>
                <w:szCs w:val="24"/>
                <w:u w:val="single" w:color="auto"/>
                <w:lang w:eastAsia="zh-CN"/>
              </w:rPr>
              <w:t>活性炭</w:t>
            </w:r>
            <w:r>
              <w:rPr>
                <w:rFonts w:hint="default"/>
                <w:color w:val="auto"/>
                <w:sz w:val="24"/>
                <w:szCs w:val="24"/>
                <w:u w:val="single" w:color="auto"/>
              </w:rPr>
              <w:t xml:space="preserve">，处理后的废气经风机抽风至15m 排气筒高空达标排放。 </w:t>
            </w:r>
          </w:p>
          <w:p>
            <w:pPr>
              <w:pStyle w:val="172"/>
              <w:spacing w:line="360" w:lineRule="auto"/>
              <w:ind w:firstLine="480"/>
              <w:rPr>
                <w:rFonts w:hint="eastAsia" w:eastAsia="宋体" w:cs="Times New Roman"/>
                <w:color w:val="auto"/>
                <w:sz w:val="24"/>
                <w:szCs w:val="24"/>
                <w:u w:val="none" w:color="auto"/>
                <w:lang w:eastAsia="zh-CN"/>
              </w:rPr>
            </w:pPr>
            <w:r>
              <w:rPr>
                <w:rFonts w:hint="eastAsia"/>
                <w:color w:val="auto"/>
                <w:sz w:val="24"/>
                <w:szCs w:val="24"/>
                <w:u w:val="single" w:color="auto"/>
                <w:lang w:eastAsia="zh-CN"/>
              </w:rPr>
              <w:t>喷漆房中的水帘定期进行清理后，可清除大部分沉渣及悬浮物，可保证对漆雾的吸附效率，活性炭定期进行更换，且活性炭对有机废气的吸附效率较好，可吸附绝大部分有机废气，项目喷漆使用的油漆由原来的油性油漆变为水性油漆，其有机废气大大减少，经湖南精准通检测技术有限公司</w:t>
            </w:r>
            <w:r>
              <w:rPr>
                <w:rFonts w:hint="eastAsia"/>
                <w:color w:val="auto"/>
                <w:sz w:val="24"/>
                <w:szCs w:val="24"/>
                <w:u w:val="single" w:color="auto"/>
                <w:lang w:val="en-US" w:eastAsia="zh-CN"/>
              </w:rPr>
              <w:t>2019年10月24日</w:t>
            </w:r>
            <w:r>
              <w:rPr>
                <w:rFonts w:hint="eastAsia"/>
                <w:color w:val="auto"/>
                <w:sz w:val="24"/>
                <w:szCs w:val="24"/>
                <w:u w:val="single" w:color="auto"/>
                <w:lang w:eastAsia="zh-CN"/>
              </w:rPr>
              <w:t>对其原有项目喷漆废气排气筒和厂界上风向、下风向废气监测，检测结果可知，</w:t>
            </w:r>
            <w:r>
              <w:rPr>
                <w:rFonts w:hint="eastAsia" w:cs="Times New Roman"/>
                <w:color w:val="auto"/>
                <w:sz w:val="24"/>
                <w:u w:val="single" w:color="auto"/>
                <w:lang w:eastAsia="zh-CN"/>
              </w:rPr>
              <w:t>项目喷漆废气排气筒中苯、甲苯、二甲苯、挥发性有机物检测结果均达到了《表面涂装（汽车制造及维修）挥发性有机物、镍排放标准》（</w:t>
            </w:r>
            <w:r>
              <w:rPr>
                <w:rFonts w:hint="eastAsia" w:cs="Times New Roman"/>
                <w:color w:val="auto"/>
                <w:sz w:val="24"/>
                <w:u w:val="single" w:color="auto"/>
                <w:lang w:val="en-US" w:eastAsia="zh-CN"/>
              </w:rPr>
              <w:t>DB43/1356-2017</w:t>
            </w:r>
            <w:r>
              <w:rPr>
                <w:rFonts w:hint="eastAsia" w:cs="Times New Roman"/>
                <w:color w:val="auto"/>
                <w:sz w:val="24"/>
                <w:u w:val="single" w:color="auto"/>
                <w:lang w:eastAsia="zh-CN"/>
              </w:rPr>
              <w:t>）中排放标准；厂界无组织排放点中挥发性有机物检测结果达到了（参照执行）《表面涂装（汽车制造及维修）挥发性有机物、镍排放标准》（</w:t>
            </w:r>
            <w:r>
              <w:rPr>
                <w:rFonts w:hint="eastAsia" w:cs="Times New Roman"/>
                <w:color w:val="auto"/>
                <w:sz w:val="24"/>
                <w:u w:val="single" w:color="auto"/>
                <w:lang w:val="en-US" w:eastAsia="zh-CN"/>
              </w:rPr>
              <w:t>DB43/1356-2017</w:t>
            </w:r>
            <w:r>
              <w:rPr>
                <w:rFonts w:hint="eastAsia" w:cs="Times New Roman"/>
                <w:color w:val="auto"/>
                <w:sz w:val="24"/>
                <w:u w:val="single" w:color="auto"/>
                <w:lang w:eastAsia="zh-CN"/>
              </w:rPr>
              <w:t>）中排放标准、颗粒物检测结果达到了《大气污染物综合排放标准》（</w:t>
            </w:r>
            <w:r>
              <w:rPr>
                <w:rFonts w:hint="eastAsia" w:cs="Times New Roman"/>
                <w:color w:val="auto"/>
                <w:sz w:val="24"/>
                <w:u w:val="single" w:color="auto"/>
                <w:lang w:val="en-US" w:eastAsia="zh-CN"/>
              </w:rPr>
              <w:t>GB16297-1996</w:t>
            </w:r>
            <w:r>
              <w:rPr>
                <w:rFonts w:hint="eastAsia" w:cs="Times New Roman"/>
                <w:color w:val="auto"/>
                <w:sz w:val="24"/>
                <w:u w:val="single" w:color="auto"/>
                <w:lang w:eastAsia="zh-CN"/>
              </w:rPr>
              <w:t>）中无组织排放标准限值要求，故本次扩建项目依托原有项目喷漆房及其环保设施，可处理新增的有机废气，且处理后可达标排放</w:t>
            </w:r>
            <w:r>
              <w:rPr>
                <w:rFonts w:hint="eastAsia"/>
                <w:color w:val="auto"/>
                <w:sz w:val="24"/>
                <w:szCs w:val="24"/>
                <w:u w:val="none" w:color="auto"/>
                <w:lang w:eastAsia="zh-CN"/>
              </w:rPr>
              <w:t>。</w:t>
            </w:r>
          </w:p>
          <w:p>
            <w:pPr>
              <w:pStyle w:val="172"/>
              <w:spacing w:line="360" w:lineRule="auto"/>
              <w:ind w:firstLine="480"/>
              <w:rPr>
                <w:rFonts w:hint="eastAsia" w:cs="Times New Roman"/>
                <w:b/>
                <w:bCs/>
                <w:color w:val="auto"/>
                <w:sz w:val="24"/>
                <w:szCs w:val="24"/>
                <w:u w:val="none" w:color="auto"/>
                <w:lang w:eastAsia="zh-CN"/>
              </w:rPr>
            </w:pPr>
            <w:r>
              <w:rPr>
                <w:rFonts w:hint="eastAsia" w:cs="Times New Roman"/>
                <w:b/>
                <w:bCs/>
                <w:color w:val="auto"/>
                <w:sz w:val="24"/>
                <w:szCs w:val="24"/>
                <w:u w:val="none" w:color="auto"/>
                <w:lang w:eastAsia="zh-CN"/>
              </w:rPr>
              <w:t>固化烘干废气</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固化烘干</w:t>
            </w:r>
            <w:r>
              <w:rPr>
                <w:rFonts w:hint="default" w:ascii="Times New Roman" w:hAnsi="Times New Roman" w:cs="Times New Roman"/>
                <w:color w:val="auto"/>
                <w:sz w:val="24"/>
                <w:szCs w:val="24"/>
                <w:u w:val="none" w:color="auto"/>
              </w:rPr>
              <w:t>会产生废气，主要污染因子为VOCs，为气态有机污染物。</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A处理方法的选择</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目前由于气态有机污染物种类繁多，采用的治理方法也有多种，常用的主要有：吸收法、吸附法、催化燃烧法、燃烧法、冷凝法等。</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这些方法在应用中各有特点和利弊，需要根据污染程度、使用环境与条件来权衡。对于环保检查机构和污染治理方所共同关心的是：初次投资费、运行费用、二次污染、处理效果、维护等方面的问题。简而言之，这些方法均能满足一定条件下气态污染物的处理。</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针对本项目废气的特点，为降低投资成本，保证净化效果和减少运行费用，建设单位拟采用以</w:t>
            </w:r>
            <w:r>
              <w:rPr>
                <w:rFonts w:hint="eastAsia" w:cs="Times New Roman"/>
                <w:color w:val="auto"/>
                <w:sz w:val="24"/>
                <w:szCs w:val="24"/>
                <w:u w:val="none" w:color="auto"/>
                <w:lang w:val="en-US" w:eastAsia="zh-CN"/>
              </w:rPr>
              <w:t>活性炭</w:t>
            </w:r>
            <w:r>
              <w:rPr>
                <w:rFonts w:hint="default" w:ascii="Times New Roman" w:hAnsi="Times New Roman" w:cs="Times New Roman"/>
                <w:color w:val="auto"/>
                <w:sz w:val="24"/>
                <w:szCs w:val="24"/>
                <w:u w:val="none" w:color="auto"/>
              </w:rPr>
              <w:t>为主处理有机废气。这种工艺是目前国内公认先进处理有机废气的方式。</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 xml:space="preserve">B项目拟采取的环保措施 </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cs="Times New Roman"/>
                <w:color w:val="auto"/>
                <w:sz w:val="24"/>
                <w:szCs w:val="24"/>
                <w:u w:val="none" w:color="auto"/>
                <w:lang w:eastAsia="zh-CN"/>
              </w:rPr>
              <w:t>固化烘干</w:t>
            </w:r>
            <w:r>
              <w:rPr>
                <w:rFonts w:hint="default" w:ascii="Times New Roman" w:hAnsi="Times New Roman" w:cs="Times New Roman"/>
                <w:color w:val="auto"/>
                <w:sz w:val="24"/>
                <w:szCs w:val="24"/>
                <w:u w:val="none" w:color="auto"/>
              </w:rPr>
              <w:t>废气采用</w:t>
            </w:r>
            <w:r>
              <w:rPr>
                <w:rFonts w:hint="eastAsia" w:cs="Times New Roman"/>
                <w:color w:val="auto"/>
                <w:sz w:val="24"/>
                <w:szCs w:val="24"/>
                <w:u w:val="none" w:color="auto"/>
                <w:lang w:eastAsia="zh-CN"/>
              </w:rPr>
              <w:t>活性炭吸附</w:t>
            </w:r>
            <w:r>
              <w:rPr>
                <w:rFonts w:hint="default" w:ascii="Times New Roman" w:hAnsi="Times New Roman" w:cs="Times New Roman"/>
                <w:color w:val="auto"/>
                <w:sz w:val="24"/>
                <w:szCs w:val="24"/>
                <w:u w:val="none" w:color="auto"/>
              </w:rPr>
              <w:t>处理工艺。流程如下：</w:t>
            </w:r>
          </w:p>
          <w:p>
            <w:pPr>
              <w:spacing w:line="360" w:lineRule="auto"/>
              <w:jc w:val="center"/>
              <w:rPr>
                <w:rFonts w:hint="default" w:ascii="Times New Roman" w:hAnsi="Times New Roman" w:cs="Times New Roman"/>
                <w:b/>
                <w:bCs/>
                <w:color w:val="auto"/>
                <w:sz w:val="24"/>
                <w:szCs w:val="24"/>
                <w:u w:val="none" w:color="auto"/>
              </w:rPr>
            </w:pPr>
            <w:r>
              <w:rPr>
                <w:rFonts w:hint="default" w:ascii="Times New Roman" w:hAnsi="Times New Roman" w:cs="Times New Roman"/>
                <w:color w:val="auto"/>
                <w:sz w:val="24"/>
                <w:szCs w:val="24"/>
                <w:u w:val="none" w:color="auto"/>
              </w:rPr>
              <w:object>
                <v:shape id="_x0000_i1025" o:spt="75" type="#_x0000_t75" style="height:61.9pt;width:394.65pt;" o:ole="t" filled="f" o:preferrelative="t" stroked="f" coordsize="21600,21600">
                  <v:path/>
                  <v:fill on="f" focussize="0,0"/>
                  <v:stroke on="f"/>
                  <v:imagedata r:id="rId21" o:title=""/>
                  <o:lock v:ext="edit" aspectratio="t"/>
                  <w10:wrap type="none"/>
                  <w10:anchorlock/>
                </v:shape>
                <o:OLEObject Type="Embed" ProgID="Visio.Drawing.11" ShapeID="_x0000_i1025" DrawAspect="Content" ObjectID="_1468075727" r:id="rId20">
                  <o:LockedField>false</o:LockedField>
                </o:OLEObject>
              </w:object>
            </w:r>
          </w:p>
          <w:p>
            <w:pPr>
              <w:pStyle w:val="186"/>
              <w:spacing w:line="360" w:lineRule="auto"/>
              <w:rPr>
                <w:rFonts w:hint="eastAsia"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图7-</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废气处理工艺流程图</w:t>
            </w:r>
          </w:p>
          <w:p>
            <w:pPr>
              <w:pStyle w:val="172"/>
              <w:spacing w:line="360" w:lineRule="auto"/>
              <w:ind w:firstLine="480"/>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C</w:t>
            </w:r>
            <w:r>
              <w:rPr>
                <w:rFonts w:hint="default" w:ascii="Times New Roman" w:hAnsi="Times New Roman" w:cs="Times New Roman"/>
                <w:color w:val="auto"/>
                <w:sz w:val="24"/>
                <w:szCs w:val="24"/>
                <w:u w:val="none" w:color="auto"/>
              </w:rPr>
              <w:t>可行性分析</w:t>
            </w:r>
          </w:p>
          <w:p>
            <w:pPr>
              <w:spacing w:line="360" w:lineRule="auto"/>
              <w:ind w:firstLine="462" w:firstLineChars="200"/>
              <w:rPr>
                <w:sz w:val="24"/>
                <w:szCs w:val="24"/>
              </w:rPr>
            </w:pPr>
            <w:r>
              <w:rPr>
                <w:rFonts w:hint="eastAsia"/>
                <w:b/>
                <w:sz w:val="24"/>
                <w:szCs w:val="24"/>
              </w:rPr>
              <w:t>活性炭吸附：</w:t>
            </w:r>
            <w:r>
              <w:rPr>
                <w:rFonts w:hint="eastAsia"/>
                <w:sz w:val="24"/>
                <w:szCs w:val="24"/>
                <w:lang w:eastAsia="zh-CN"/>
              </w:rPr>
              <w:t>有机</w:t>
            </w:r>
            <w:r>
              <w:rPr>
                <w:rFonts w:hint="eastAsia"/>
                <w:sz w:val="24"/>
                <w:szCs w:val="24"/>
              </w:rPr>
              <w:t>废气净化采用活性炭吸附处理，活性炭是国内最为有效的办法。吸附作用是一种界面现象。所谓吸附，是当两相存在时，在相与相的界面附近的浓度与相内部不一样的现象，吸附的物质称作吸附剂或吸附载体。活性炭的吸附是用活性炭作为载体的吸附。吸附的作用力是吸附载体与吸附物质（有机废气）之间在能量方面的相互作用，承担这种相互作用的是电子。吸附载体表面上的原子与吸附质（有机废气）分子互相接近时，即使是无极性，也会瞬时性地造成电子分布的不对称而形成电极，并诱导与其相对应的原子或分子产生分电极。在这两个分电极之间，便产生微弱的静电相互作用力。活性炭也能通过使用氧化剂、还原剂进行处理，让比表面积及比孔容积大，单位重量的吸附量也大。活性炭应定期更换。</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由工程分析可知，项目</w:t>
            </w:r>
            <w:r>
              <w:rPr>
                <w:rFonts w:hint="eastAsia" w:cs="Times New Roman"/>
                <w:color w:val="auto"/>
                <w:sz w:val="24"/>
                <w:szCs w:val="24"/>
                <w:u w:val="none" w:color="auto"/>
                <w:lang w:eastAsia="zh-CN"/>
              </w:rPr>
              <w:t>烘干固化</w:t>
            </w:r>
            <w:r>
              <w:rPr>
                <w:rFonts w:hint="default" w:ascii="Times New Roman" w:hAnsi="Times New Roman" w:cs="Times New Roman"/>
                <w:color w:val="auto"/>
                <w:sz w:val="24"/>
                <w:szCs w:val="24"/>
                <w:u w:val="none" w:color="auto"/>
              </w:rPr>
              <w:t>废气经处理后有组织排放的VOCs满足</w:t>
            </w:r>
            <w:r>
              <w:rPr>
                <w:rFonts w:hint="eastAsia" w:cs="Times New Roman"/>
                <w:color w:val="auto"/>
                <w:sz w:val="24"/>
                <w:u w:val="none" w:color="auto"/>
                <w:lang w:eastAsia="zh-CN"/>
              </w:rPr>
              <w:t>《表面涂装（汽车制造及维修）挥发性有机物、镍排放标准》（</w:t>
            </w:r>
            <w:r>
              <w:rPr>
                <w:rFonts w:hint="eastAsia" w:cs="Times New Roman"/>
                <w:color w:val="auto"/>
                <w:sz w:val="24"/>
                <w:u w:val="none" w:color="auto"/>
                <w:lang w:val="en-US" w:eastAsia="zh-CN"/>
              </w:rPr>
              <w:t>DB43/1356-2017</w:t>
            </w:r>
            <w:r>
              <w:rPr>
                <w:rFonts w:hint="eastAsia" w:cs="Times New Roman"/>
                <w:color w:val="auto"/>
                <w:sz w:val="24"/>
                <w:u w:val="none" w:color="auto"/>
                <w:lang w:eastAsia="zh-CN"/>
              </w:rPr>
              <w:t>）中排放标准</w:t>
            </w:r>
            <w:r>
              <w:rPr>
                <w:rFonts w:hint="default" w:ascii="Times New Roman" w:hAnsi="Times New Roman" w:cs="Times New Roman"/>
                <w:color w:val="auto"/>
                <w:sz w:val="24"/>
                <w:szCs w:val="24"/>
                <w:u w:val="none" w:color="auto"/>
              </w:rPr>
              <w:t>。</w:t>
            </w:r>
          </w:p>
          <w:p>
            <w:pPr>
              <w:pStyle w:val="172"/>
              <w:spacing w:line="360" w:lineRule="auto"/>
              <w:ind w:firstLine="480"/>
              <w:rPr>
                <w:rFonts w:hint="eastAsia"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综上分析可知，本项目有机废气的处理措施合理可行</w:t>
            </w:r>
            <w:r>
              <w:rPr>
                <w:rFonts w:hint="eastAsia" w:cs="Times New Roman"/>
                <w:color w:val="auto"/>
                <w:sz w:val="24"/>
                <w:szCs w:val="24"/>
                <w:u w:val="none" w:color="auto"/>
                <w:lang w:eastAsia="zh-CN"/>
              </w:rPr>
              <w:t>。</w:t>
            </w:r>
          </w:p>
          <w:p>
            <w:pPr>
              <w:pStyle w:val="172"/>
              <w:spacing w:line="360" w:lineRule="auto"/>
              <w:ind w:firstLine="480"/>
              <w:rPr>
                <w:rFonts w:hint="eastAsia" w:cs="Times New Roman"/>
                <w:color w:val="auto"/>
                <w:sz w:val="24"/>
                <w:szCs w:val="24"/>
                <w:u w:val="none" w:color="auto"/>
                <w:lang w:eastAsia="zh-CN"/>
              </w:rPr>
            </w:pPr>
          </w:p>
          <w:p>
            <w:pPr>
              <w:pStyle w:val="172"/>
              <w:spacing w:line="360" w:lineRule="auto"/>
              <w:ind w:firstLine="480"/>
              <w:rPr>
                <w:rFonts w:hint="eastAsia" w:cs="Times New Roman"/>
                <w:color w:val="auto"/>
                <w:sz w:val="24"/>
                <w:szCs w:val="24"/>
                <w:u w:val="none" w:color="auto"/>
                <w:lang w:eastAsia="zh-CN"/>
              </w:rPr>
            </w:pPr>
          </w:p>
          <w:p>
            <w:pPr>
              <w:pStyle w:val="172"/>
              <w:spacing w:line="360" w:lineRule="auto"/>
              <w:ind w:firstLine="480"/>
              <w:rPr>
                <w:rFonts w:hint="default" w:ascii="Times New Roman" w:hAnsi="Times New Roman" w:cs="Times New Roman"/>
                <w:color w:val="auto"/>
                <w:sz w:val="24"/>
                <w:szCs w:val="24"/>
                <w:u w:val="none" w:color="auto"/>
              </w:rPr>
            </w:pPr>
          </w:p>
          <w:p>
            <w:pPr>
              <w:numPr>
                <w:ilvl w:val="0"/>
                <w:numId w:val="12"/>
              </w:numPr>
              <w:adjustRightInd w:val="0"/>
              <w:snapToGrid w:val="0"/>
              <w:spacing w:line="360" w:lineRule="auto"/>
              <w:ind w:firstLine="462" w:firstLineChars="200"/>
              <w:rPr>
                <w:rFonts w:hint="default" w:ascii="Times New Roman" w:hAnsi="Times New Roman" w:cs="Times New Roman"/>
                <w:b/>
                <w:bCs/>
                <w:color w:val="auto"/>
                <w:sz w:val="24"/>
                <w:szCs w:val="24"/>
                <w:u w:val="none" w:color="auto"/>
              </w:rPr>
            </w:pPr>
            <w:r>
              <w:rPr>
                <w:rFonts w:hint="default" w:ascii="Times New Roman" w:hAnsi="Times New Roman" w:cs="Times New Roman"/>
                <w:b/>
                <w:bCs/>
                <w:color w:val="auto"/>
                <w:sz w:val="24"/>
                <w:szCs w:val="24"/>
                <w:u w:val="none" w:color="auto"/>
              </w:rPr>
              <w:t>地表水环境影响分析</w:t>
            </w:r>
          </w:p>
          <w:p>
            <w:pPr>
              <w:pStyle w:val="34"/>
              <w:adjustRightInd w:val="0"/>
              <w:snapToGrid w:val="0"/>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根据工程分析内容可知，本项目产生的废水主要来自于员工的生活污水。</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本项目生活污水中各污染物经化粪池处理后</w:t>
            </w:r>
            <w:r>
              <w:rPr>
                <w:rFonts w:hint="eastAsia" w:cs="Times New Roman"/>
                <w:color w:val="auto"/>
                <w:sz w:val="24"/>
                <w:szCs w:val="24"/>
                <w:u w:val="none" w:color="auto"/>
                <w:lang w:eastAsia="zh-CN"/>
              </w:rPr>
              <w:t>排入园区污水管网进入湘阴县第二污水处理厂，</w:t>
            </w:r>
            <w:r>
              <w:rPr>
                <w:snapToGrid w:val="0"/>
                <w:kern w:val="0"/>
                <w:sz w:val="24"/>
                <w:szCs w:val="22"/>
                <w:u w:val="none" w:color="auto"/>
              </w:rPr>
              <w:t>经处理达到《城镇污水处理厂污染物排放标准》（GB18918-2002）及其修改单中的一级A标准排入湘江</w:t>
            </w:r>
            <w:r>
              <w:rPr>
                <w:rFonts w:hint="default" w:ascii="Times New Roman" w:hAnsi="Times New Roman" w:cs="Times New Roman"/>
                <w:color w:val="auto"/>
                <w:sz w:val="24"/>
                <w:szCs w:val="24"/>
                <w:u w:val="none" w:color="auto"/>
              </w:rPr>
              <w:t>。因此对区域水环境影响较小。</w:t>
            </w:r>
          </w:p>
          <w:p>
            <w:pPr>
              <w:pStyle w:val="183"/>
              <w:keepNext w:val="0"/>
              <w:keepLines w:val="0"/>
              <w:pageBreakBefore w:val="0"/>
              <w:widowControl w:val="0"/>
              <w:kinsoku/>
              <w:wordWrap/>
              <w:overflowPunct/>
              <w:topLinePunct w:val="0"/>
              <w:autoSpaceDE/>
              <w:autoSpaceDN/>
              <w:bidi w:val="0"/>
              <w:adjustRightInd/>
              <w:snapToGrid/>
              <w:spacing w:line="360" w:lineRule="auto"/>
              <w:ind w:left="0" w:right="0"/>
              <w:jc w:val="both"/>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地表水评价等级确定</w:t>
            </w:r>
          </w:p>
          <w:p>
            <w:pPr>
              <w:pStyle w:val="34"/>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根据《环境评价技术导则地面 水环境》（HJ/T2.3-2018）分级原则，结合本项目的工程特点和项目所在地的环境特征，确定项目地表水环境影响评价等级为</w:t>
            </w:r>
            <w:r>
              <w:rPr>
                <w:rFonts w:hint="default" w:ascii="Times New Roman" w:hAnsi="Times New Roman" w:cs="Times New Roman"/>
                <w:b w:val="0"/>
                <w:bCs w:val="0"/>
                <w:color w:val="auto"/>
                <w:sz w:val="24"/>
                <w:szCs w:val="24"/>
                <w:u w:val="none" w:color="auto"/>
                <w:lang w:val="en-US" w:eastAsia="zh-CN"/>
              </w:rPr>
              <w:t>三级</w:t>
            </w:r>
            <w:r>
              <w:rPr>
                <w:rFonts w:hint="eastAsia" w:cs="Times New Roman"/>
                <w:b w:val="0"/>
                <w:bCs w:val="0"/>
                <w:color w:val="auto"/>
                <w:sz w:val="24"/>
                <w:szCs w:val="24"/>
                <w:u w:val="none" w:color="auto"/>
                <w:lang w:val="en-US" w:eastAsia="zh-CN"/>
              </w:rPr>
              <w:t>B。需对其进行简单分析</w:t>
            </w:r>
            <w:r>
              <w:rPr>
                <w:rFonts w:hint="eastAsia" w:ascii="Times New Roman" w:hAnsi="Times New Roman"/>
                <w:color w:val="auto"/>
                <w:sz w:val="24"/>
                <w:highlight w:val="none"/>
                <w:u w:val="none" w:color="auto"/>
                <w:lang w:val="en-US" w:eastAsia="zh-CN"/>
              </w:rPr>
              <w:t>。</w:t>
            </w:r>
          </w:p>
          <w:p>
            <w:pPr>
              <w:pStyle w:val="172"/>
              <w:spacing w:line="360" w:lineRule="auto"/>
              <w:ind w:firstLine="462" w:firstLineChars="200"/>
              <w:rPr>
                <w:rFonts w:hint="eastAsia"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cs="Times New Roman"/>
                <w:color w:val="auto"/>
                <w:sz w:val="24"/>
                <w:szCs w:val="24"/>
                <w:u w:val="none" w:color="auto"/>
              </w:rPr>
              <w:t>项目</w:t>
            </w:r>
            <w:r>
              <w:rPr>
                <w:rFonts w:hint="default" w:ascii="Times New Roman" w:hAnsi="Times New Roman" w:cs="Times New Roman"/>
                <w:color w:val="auto"/>
                <w:sz w:val="24"/>
                <w:szCs w:val="24"/>
                <w:u w:val="none" w:color="auto"/>
                <w:lang w:eastAsia="zh-CN"/>
              </w:rPr>
              <w:t>生活污水</w:t>
            </w:r>
            <w:r>
              <w:rPr>
                <w:rFonts w:hint="default" w:ascii="Times New Roman" w:hAnsi="Times New Roman" w:cs="Times New Roman"/>
                <w:color w:val="auto"/>
                <w:sz w:val="24"/>
                <w:szCs w:val="24"/>
                <w:u w:val="none" w:color="auto"/>
              </w:rPr>
              <w:t>经</w:t>
            </w:r>
            <w:r>
              <w:rPr>
                <w:rFonts w:hint="eastAsia" w:cs="Times New Roman"/>
                <w:color w:val="auto"/>
                <w:sz w:val="24"/>
                <w:szCs w:val="24"/>
                <w:u w:val="none" w:color="auto"/>
                <w:lang w:eastAsia="zh-CN"/>
              </w:rPr>
              <w:t>化粪池（依托现有）</w:t>
            </w:r>
            <w:r>
              <w:rPr>
                <w:rFonts w:hint="default" w:ascii="Times New Roman" w:hAnsi="Times New Roman" w:cs="Times New Roman"/>
                <w:color w:val="auto"/>
                <w:sz w:val="24"/>
                <w:szCs w:val="24"/>
                <w:u w:val="none" w:color="auto"/>
              </w:rPr>
              <w:t>处理</w:t>
            </w:r>
            <w:r>
              <w:rPr>
                <w:rFonts w:hint="eastAsia" w:cs="Times New Roman"/>
                <w:color w:val="auto"/>
                <w:sz w:val="24"/>
                <w:szCs w:val="24"/>
                <w:u w:val="none" w:color="auto"/>
                <w:lang w:eastAsia="zh-CN"/>
              </w:rPr>
              <w:t>后排入园区污水管网进入湘阴县第二污水处理厂。本</w:t>
            </w:r>
            <w:r>
              <w:rPr>
                <w:rFonts w:hint="default" w:ascii="Times New Roman" w:hAnsi="Times New Roman" w:cs="Times New Roman"/>
                <w:color w:val="auto"/>
                <w:sz w:val="24"/>
                <w:szCs w:val="21"/>
                <w:u w:val="none" w:color="auto"/>
              </w:rPr>
              <w:t>项目废水</w:t>
            </w:r>
            <w:r>
              <w:rPr>
                <w:rFonts w:hint="eastAsia" w:cs="Times New Roman"/>
                <w:color w:val="auto"/>
                <w:sz w:val="24"/>
                <w:szCs w:val="21"/>
                <w:u w:val="none" w:color="auto"/>
                <w:lang w:eastAsia="zh-CN"/>
              </w:rPr>
              <w:t>排放</w:t>
            </w:r>
            <w:r>
              <w:rPr>
                <w:rFonts w:hint="default" w:ascii="Times New Roman" w:hAnsi="Times New Roman" w:cs="Times New Roman"/>
                <w:color w:val="auto"/>
                <w:sz w:val="24"/>
                <w:szCs w:val="21"/>
                <w:u w:val="none" w:color="auto"/>
              </w:rPr>
              <w:t>量为</w:t>
            </w:r>
            <w:r>
              <w:rPr>
                <w:rFonts w:hint="eastAsia" w:cs="Times New Roman"/>
                <w:color w:val="auto"/>
                <w:sz w:val="24"/>
                <w:szCs w:val="21"/>
                <w:u w:val="none" w:color="auto"/>
                <w:lang w:val="en-US" w:eastAsia="zh-CN"/>
              </w:rPr>
              <w:t>1200</w:t>
            </w:r>
            <w:r>
              <w:rPr>
                <w:rFonts w:hint="default" w:ascii="Times New Roman" w:hAnsi="Times New Roman" w:cs="Times New Roman"/>
                <w:color w:val="auto"/>
                <w:sz w:val="24"/>
                <w:szCs w:val="21"/>
                <w:u w:val="none" w:color="auto"/>
                <w:lang w:val="en-US" w:eastAsia="zh-CN"/>
              </w:rPr>
              <w:t>t</w:t>
            </w:r>
            <w:r>
              <w:rPr>
                <w:rFonts w:hint="default" w:ascii="Times New Roman" w:hAnsi="Times New Roman" w:cs="Times New Roman"/>
                <w:color w:val="auto"/>
                <w:sz w:val="24"/>
                <w:szCs w:val="21"/>
                <w:u w:val="none" w:color="auto"/>
              </w:rPr>
              <w:t>/</w:t>
            </w:r>
            <w:r>
              <w:rPr>
                <w:rFonts w:hint="default" w:ascii="Times New Roman" w:hAnsi="Times New Roman" w:cs="Times New Roman"/>
                <w:color w:val="auto"/>
                <w:sz w:val="24"/>
                <w:szCs w:val="21"/>
                <w:u w:val="none" w:color="auto"/>
                <w:lang w:val="en-US" w:eastAsia="zh-CN"/>
              </w:rPr>
              <w:t>a</w:t>
            </w:r>
            <w:r>
              <w:rPr>
                <w:rFonts w:hint="default" w:ascii="Times New Roman" w:hAnsi="Times New Roman" w:cs="Times New Roman"/>
                <w:color w:val="auto"/>
                <w:sz w:val="24"/>
                <w:szCs w:val="21"/>
                <w:u w:val="none" w:color="auto"/>
                <w:lang w:eastAsia="zh-CN"/>
              </w:rPr>
              <w:t>，</w:t>
            </w:r>
            <w:r>
              <w:rPr>
                <w:rFonts w:hint="eastAsia" w:cs="Times New Roman"/>
                <w:color w:val="auto"/>
                <w:sz w:val="24"/>
                <w:szCs w:val="21"/>
                <w:u w:val="none" w:color="auto"/>
                <w:lang w:eastAsia="zh-CN"/>
              </w:rPr>
              <w:t>废水主要为生活污水，成分较为简单。于</w:t>
            </w:r>
            <w:r>
              <w:rPr>
                <w:rFonts w:hint="eastAsia" w:cs="Times New Roman"/>
                <w:color w:val="auto"/>
                <w:sz w:val="24"/>
                <w:szCs w:val="21"/>
                <w:u w:val="none" w:color="auto"/>
                <w:lang w:val="en-US" w:eastAsia="zh-CN"/>
              </w:rPr>
              <w:t>2019年10月24日湖南精准通检测技术有限公司对其废水总排口进行了监测分析。检测结果可知，</w:t>
            </w:r>
            <w:r>
              <w:rPr>
                <w:rFonts w:hint="eastAsia" w:cs="Times New Roman"/>
                <w:color w:val="auto"/>
                <w:sz w:val="24"/>
                <w:u w:val="none" w:color="auto"/>
                <w:lang w:eastAsia="zh-CN"/>
              </w:rPr>
              <w:t>项目废水总排口中检测因子均达到了《污水综合排放标准》（</w:t>
            </w:r>
            <w:r>
              <w:rPr>
                <w:rFonts w:hint="eastAsia" w:cs="Times New Roman"/>
                <w:color w:val="auto"/>
                <w:sz w:val="24"/>
                <w:u w:val="none" w:color="auto"/>
                <w:lang w:val="en-US" w:eastAsia="zh-CN"/>
              </w:rPr>
              <w:t>GB8978-1996</w:t>
            </w:r>
            <w:r>
              <w:rPr>
                <w:rFonts w:hint="eastAsia" w:cs="Times New Roman"/>
                <w:color w:val="auto"/>
                <w:sz w:val="24"/>
                <w:u w:val="none" w:color="auto"/>
                <w:lang w:eastAsia="zh-CN"/>
              </w:rPr>
              <w:t>）中三级排放标准</w:t>
            </w:r>
            <w:r>
              <w:rPr>
                <w:rFonts w:hint="eastAsia" w:ascii="Times New Roman" w:hAnsi="Times New Roman" w:cs="Times New Roman"/>
                <w:iCs w:val="0"/>
                <w:color w:val="auto"/>
                <w:kern w:val="2"/>
                <w:sz w:val="24"/>
                <w:szCs w:val="24"/>
                <w:u w:val="none" w:color="auto"/>
                <w:lang w:val="en-US" w:eastAsia="zh-CN" w:bidi="ar-SA"/>
              </w:rPr>
              <w:t>。</w:t>
            </w:r>
            <w:r>
              <w:rPr>
                <w:rFonts w:hint="default" w:ascii="Times New Roman" w:hAnsi="Times New Roman" w:cs="Times New Roman"/>
                <w:sz w:val="24"/>
                <w:szCs w:val="24"/>
                <w:u w:val="none" w:color="auto"/>
              </w:rPr>
              <w:t>其废水水质能够满足</w:t>
            </w:r>
            <w:r>
              <w:rPr>
                <w:rFonts w:hint="default" w:ascii="Times New Roman" w:hAnsi="Times New Roman" w:cs="Times New Roman"/>
                <w:snapToGrid w:val="0"/>
                <w:kern w:val="0"/>
                <w:sz w:val="24"/>
                <w:szCs w:val="24"/>
                <w:u w:val="none" w:color="auto"/>
              </w:rPr>
              <w:t>湘阴县第二污水处理</w:t>
            </w:r>
            <w:r>
              <w:rPr>
                <w:rFonts w:hint="default" w:ascii="Times New Roman" w:hAnsi="Times New Roman" w:cs="Times New Roman"/>
                <w:sz w:val="24"/>
                <w:szCs w:val="24"/>
                <w:u w:val="none" w:color="auto"/>
              </w:rPr>
              <w:t>接纳水质要求。同时项目区域污水管道已铺设完整</w:t>
            </w:r>
            <w:r>
              <w:rPr>
                <w:rFonts w:hint="eastAsia" w:ascii="Times New Roman" w:hAnsi="Times New Roman" w:cs="Times New Roman"/>
                <w:sz w:val="24"/>
                <w:szCs w:val="24"/>
                <w:u w:val="none" w:color="auto"/>
                <w:lang w:eastAsia="zh-CN"/>
              </w:rPr>
              <w:t>。</w:t>
            </w:r>
          </w:p>
          <w:p>
            <w:pPr>
              <w:adjustRightInd w:val="0"/>
              <w:snapToGrid w:val="0"/>
              <w:spacing w:line="360" w:lineRule="auto"/>
              <w:ind w:firstLine="462" w:firstLineChars="200"/>
              <w:rPr>
                <w:snapToGrid w:val="0"/>
                <w:kern w:val="0"/>
                <w:sz w:val="24"/>
                <w:szCs w:val="22"/>
                <w:u w:val="none" w:color="auto"/>
              </w:rPr>
            </w:pPr>
            <w:r>
              <w:rPr>
                <w:snapToGrid w:val="0"/>
                <w:kern w:val="0"/>
                <w:sz w:val="24"/>
                <w:szCs w:val="22"/>
                <w:u w:val="none" w:color="auto"/>
              </w:rPr>
              <w:t>湘阴县第二污水处理厂（工业园污水处理厂）</w:t>
            </w:r>
            <w:r>
              <w:rPr>
                <w:rFonts w:hint="eastAsia"/>
                <w:snapToGrid w:val="0"/>
                <w:kern w:val="0"/>
                <w:sz w:val="24"/>
                <w:szCs w:val="22"/>
                <w:u w:val="none" w:color="auto"/>
              </w:rPr>
              <w:t>于2016年11月试运行，</w:t>
            </w:r>
            <w:r>
              <w:rPr>
                <w:snapToGrid w:val="0"/>
                <w:kern w:val="0"/>
                <w:sz w:val="24"/>
                <w:szCs w:val="22"/>
                <w:u w:val="none" w:color="auto"/>
              </w:rPr>
              <w:t>工业园所有企业外排废水都进入湘阴县第二污水处理厂处理达标后外排。湘阴县第二污水处理厂位于</w:t>
            </w:r>
            <w:r>
              <w:rPr>
                <w:rFonts w:hint="eastAsia"/>
                <w:snapToGrid w:val="0"/>
                <w:kern w:val="0"/>
                <w:sz w:val="24"/>
                <w:szCs w:val="22"/>
                <w:u w:val="none" w:color="auto"/>
              </w:rPr>
              <w:t>湘阴县</w:t>
            </w:r>
            <w:r>
              <w:rPr>
                <w:snapToGrid w:val="0"/>
                <w:kern w:val="0"/>
                <w:sz w:val="24"/>
                <w:szCs w:val="22"/>
                <w:u w:val="none" w:color="auto"/>
              </w:rPr>
              <w:t>工业园内，总占地面积约60亩，设计处理能力为2万吨/d，水处理工艺采用“水解酸化+AAO”工艺，出水执行《城镇污水处理厂污染物排放标准》（GB18918-2002）一级</w:t>
            </w:r>
            <w:r>
              <w:rPr>
                <w:rFonts w:hint="eastAsia"/>
                <w:snapToGrid w:val="0"/>
                <w:kern w:val="0"/>
                <w:sz w:val="24"/>
                <w:szCs w:val="22"/>
                <w:u w:val="none" w:color="auto"/>
              </w:rPr>
              <w:t>A</w:t>
            </w:r>
            <w:r>
              <w:rPr>
                <w:snapToGrid w:val="0"/>
                <w:kern w:val="0"/>
                <w:sz w:val="24"/>
                <w:szCs w:val="22"/>
                <w:u w:val="none" w:color="auto"/>
              </w:rPr>
              <w:t>标准。本项目属于工业</w:t>
            </w:r>
            <w:r>
              <w:rPr>
                <w:rFonts w:hint="eastAsia"/>
                <w:snapToGrid w:val="0"/>
                <w:kern w:val="0"/>
                <w:sz w:val="24"/>
                <w:szCs w:val="22"/>
                <w:u w:val="none" w:color="auto"/>
                <w:lang w:eastAsia="zh-CN"/>
              </w:rPr>
              <w:t>园</w:t>
            </w:r>
            <w:r>
              <w:rPr>
                <w:snapToGrid w:val="0"/>
                <w:kern w:val="0"/>
                <w:sz w:val="24"/>
                <w:szCs w:val="22"/>
                <w:u w:val="none" w:color="auto"/>
              </w:rPr>
              <w:t>，属于湘阴县第二污水处理厂纳污范围。</w:t>
            </w:r>
          </w:p>
          <w:p>
            <w:pPr>
              <w:snapToGrid/>
              <w:spacing w:line="360" w:lineRule="auto"/>
              <w:ind w:firstLine="462" w:firstLineChars="200"/>
              <w:rPr>
                <w:rFonts w:hint="default" w:ascii="Times New Roman" w:hAnsi="Times New Roman" w:cs="Times New Roman"/>
                <w:color w:val="auto"/>
                <w:kern w:val="0"/>
                <w:sz w:val="24"/>
                <w:szCs w:val="24"/>
                <w:u w:val="none" w:color="auto"/>
              </w:rPr>
            </w:pPr>
            <w:r>
              <w:rPr>
                <w:rFonts w:hint="default" w:ascii="Times New Roman" w:hAnsi="Times New Roman" w:eastAsia="宋体" w:cs="Times New Roman"/>
                <w:iCs w:val="0"/>
                <w:color w:val="auto"/>
                <w:kern w:val="2"/>
                <w:sz w:val="24"/>
                <w:szCs w:val="24"/>
                <w:u w:val="none" w:color="auto"/>
                <w:lang w:val="en-US" w:eastAsia="zh-CN" w:bidi="ar-SA"/>
              </w:rPr>
              <w:t>综上所述，所排污水经以上措施处理后，可以符合相关的排放要求。只要加强管理， 确保处理效率，其外排废水不会对项目周围的水体环境造成明显不利影响</w:t>
            </w:r>
            <w:r>
              <w:rPr>
                <w:rFonts w:hint="default" w:ascii="Times New Roman" w:hAnsi="Times New Roman" w:cs="Times New Roman"/>
                <w:color w:val="auto"/>
                <w:kern w:val="0"/>
                <w:sz w:val="24"/>
                <w:szCs w:val="24"/>
                <w:u w:val="none" w:color="auto"/>
              </w:rPr>
              <w:t>。</w:t>
            </w: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eastAsia" w:cs="Times New Roman"/>
                <w:b w:val="0"/>
                <w:bCs w:val="0"/>
                <w:color w:val="auto"/>
                <w:sz w:val="24"/>
                <w:szCs w:val="24"/>
                <w:u w:val="none" w:color="auto"/>
                <w:lang w:val="en-US" w:eastAsia="zh-CN"/>
              </w:rPr>
            </w:pPr>
          </w:p>
          <w:p>
            <w:pPr>
              <w:pStyle w:val="183"/>
              <w:keepNext w:val="0"/>
              <w:keepLines w:val="0"/>
              <w:pageBreakBefore w:val="0"/>
              <w:widowControl w:val="0"/>
              <w:kinsoku/>
              <w:wordWrap/>
              <w:overflowPunct/>
              <w:topLinePunct w:val="0"/>
              <w:autoSpaceDE/>
              <w:autoSpaceDN/>
              <w:bidi w:val="0"/>
              <w:adjustRightInd/>
              <w:snapToGrid/>
              <w:spacing w:line="360" w:lineRule="auto"/>
              <w:ind w:left="0" w:leftChars="0" w:right="0" w:firstLine="462" w:firstLineChars="200"/>
              <w:jc w:val="both"/>
              <w:textAlignment w:val="baseline"/>
              <w:rPr>
                <w:rFonts w:hint="default" w:ascii="Times New Roman" w:hAnsi="Times New Roman" w:cs="Times New Roman"/>
                <w:b w:val="0"/>
                <w:bCs w:val="0"/>
                <w:color w:val="auto"/>
                <w:sz w:val="24"/>
                <w:szCs w:val="24"/>
                <w:u w:val="none" w:color="auto"/>
                <w:lang w:val="en-US" w:eastAsia="zh-CN"/>
              </w:rPr>
            </w:pPr>
            <w:r>
              <w:rPr>
                <w:rFonts w:hint="eastAsia" w:cs="Times New Roman"/>
                <w:b w:val="0"/>
                <w:bCs w:val="0"/>
                <w:color w:val="auto"/>
                <w:sz w:val="24"/>
                <w:szCs w:val="24"/>
                <w:u w:val="none" w:color="auto"/>
                <w:lang w:val="en-US" w:eastAsia="zh-CN"/>
              </w:rPr>
              <w:t>（4）</w:t>
            </w:r>
            <w:r>
              <w:rPr>
                <w:rFonts w:hint="default" w:ascii="Times New Roman" w:hAnsi="Times New Roman" w:cs="Times New Roman"/>
                <w:b w:val="0"/>
                <w:bCs w:val="0"/>
                <w:color w:val="auto"/>
                <w:sz w:val="24"/>
                <w:szCs w:val="24"/>
                <w:u w:val="none" w:color="auto"/>
                <w:lang w:val="en-US" w:eastAsia="zh-CN"/>
              </w:rPr>
              <w:t>污染物排放量核算表</w:t>
            </w:r>
          </w:p>
          <w:p>
            <w:pPr>
              <w:spacing w:line="360" w:lineRule="auto"/>
              <w:ind w:firstLine="462" w:firstLineChars="200"/>
              <w:jc w:val="both"/>
              <w:rPr>
                <w:rFonts w:hint="default" w:ascii="Times New Roman" w:hAnsi="Times New Roman" w:cs="Times New Roman"/>
                <w:color w:val="auto"/>
                <w:sz w:val="24"/>
                <w:szCs w:val="32"/>
                <w:u w:val="none" w:color="auto"/>
                <w:lang w:eastAsia="zh-CN"/>
              </w:rPr>
            </w:pPr>
            <w:r>
              <w:rPr>
                <w:rFonts w:hint="default" w:ascii="Times New Roman" w:hAnsi="Times New Roman" w:cs="Times New Roman"/>
                <w:b w:val="0"/>
                <w:bCs w:val="0"/>
                <w:color w:val="auto"/>
                <w:sz w:val="24"/>
                <w:szCs w:val="24"/>
                <w:u w:val="none" w:color="auto"/>
                <w:lang w:val="en-US" w:eastAsia="zh-CN"/>
              </w:rPr>
              <w:t>综上，</w:t>
            </w:r>
            <w:r>
              <w:rPr>
                <w:rFonts w:hint="default" w:ascii="Times New Roman" w:hAnsi="Times New Roman" w:cs="Times New Roman"/>
                <w:b w:val="0"/>
                <w:bCs w:val="0"/>
                <w:color w:val="auto"/>
                <w:sz w:val="24"/>
                <w:szCs w:val="24"/>
                <w:u w:val="none" w:color="auto"/>
              </w:rPr>
              <w:t xml:space="preserve">根据《环境评价技术导则  </w:t>
            </w:r>
            <w:r>
              <w:rPr>
                <w:rFonts w:hint="eastAsia" w:cs="Times New Roman"/>
                <w:b w:val="0"/>
                <w:bCs w:val="0"/>
                <w:color w:val="auto"/>
                <w:sz w:val="24"/>
                <w:szCs w:val="24"/>
                <w:u w:val="none" w:color="auto"/>
                <w:lang w:eastAsia="zh-CN"/>
              </w:rPr>
              <w:t>地表水</w:t>
            </w:r>
            <w:r>
              <w:rPr>
                <w:rFonts w:hint="default" w:ascii="Times New Roman" w:hAnsi="Times New Roman" w:cs="Times New Roman"/>
                <w:b w:val="0"/>
                <w:bCs w:val="0"/>
                <w:color w:val="auto"/>
                <w:sz w:val="24"/>
                <w:szCs w:val="24"/>
                <w:u w:val="none" w:color="auto"/>
              </w:rPr>
              <w:t>环境》</w:t>
            </w:r>
            <w:r>
              <w:rPr>
                <w:rFonts w:hint="default" w:ascii="Times New Roman" w:hAnsi="Times New Roman" w:cs="Times New Roman"/>
                <w:b w:val="0"/>
                <w:bCs w:val="0"/>
                <w:color w:val="auto"/>
                <w:sz w:val="24"/>
                <w:szCs w:val="24"/>
                <w:highlight w:val="none"/>
                <w:u w:val="none" w:color="auto"/>
              </w:rPr>
              <w:t>（HJ2.</w:t>
            </w:r>
            <w:r>
              <w:rPr>
                <w:rFonts w:hint="eastAsia" w:cs="Times New Roman"/>
                <w:b w:val="0"/>
                <w:bCs w:val="0"/>
                <w:color w:val="auto"/>
                <w:sz w:val="24"/>
                <w:szCs w:val="24"/>
                <w:highlight w:val="none"/>
                <w:u w:val="none" w:color="auto"/>
                <w:lang w:val="en-US" w:eastAsia="zh-CN"/>
              </w:rPr>
              <w:t>3</w:t>
            </w:r>
            <w:r>
              <w:rPr>
                <w:rFonts w:hint="default" w:ascii="Times New Roman" w:hAnsi="Times New Roman" w:cs="Times New Roman"/>
                <w:b w:val="0"/>
                <w:bCs w:val="0"/>
                <w:color w:val="auto"/>
                <w:sz w:val="24"/>
                <w:szCs w:val="24"/>
                <w:highlight w:val="none"/>
                <w:u w:val="none" w:color="auto"/>
              </w:rPr>
              <w:t>-20</w:t>
            </w:r>
            <w:r>
              <w:rPr>
                <w:rFonts w:hint="default" w:ascii="Times New Roman" w:hAnsi="Times New Roman" w:cs="Times New Roman"/>
                <w:b w:val="0"/>
                <w:bCs w:val="0"/>
                <w:color w:val="auto"/>
                <w:sz w:val="24"/>
                <w:szCs w:val="24"/>
                <w:highlight w:val="none"/>
                <w:u w:val="none" w:color="auto"/>
                <w:lang w:val="en-US" w:eastAsia="zh-CN"/>
              </w:rPr>
              <w:t>1</w:t>
            </w:r>
            <w:r>
              <w:rPr>
                <w:rFonts w:hint="default" w:ascii="Times New Roman" w:hAnsi="Times New Roman" w:cs="Times New Roman"/>
                <w:b w:val="0"/>
                <w:bCs w:val="0"/>
                <w:color w:val="auto"/>
                <w:sz w:val="24"/>
                <w:szCs w:val="24"/>
                <w:highlight w:val="none"/>
                <w:u w:val="none" w:color="auto"/>
              </w:rPr>
              <w:t>8）</w:t>
            </w:r>
            <w:r>
              <w:rPr>
                <w:rFonts w:hint="default" w:ascii="Times New Roman" w:hAnsi="Times New Roman" w:cs="Times New Roman"/>
                <w:b w:val="0"/>
                <w:bCs w:val="0"/>
                <w:color w:val="auto"/>
                <w:sz w:val="24"/>
                <w:szCs w:val="24"/>
                <w:highlight w:val="none"/>
                <w:u w:val="none" w:color="auto"/>
                <w:lang w:val="en-US" w:eastAsia="zh-CN"/>
              </w:rPr>
              <w:t>要求</w:t>
            </w:r>
            <w:r>
              <w:rPr>
                <w:rFonts w:hint="default" w:ascii="Times New Roman" w:hAnsi="Times New Roman" w:cs="Times New Roman"/>
                <w:b w:val="0"/>
                <w:bCs w:val="0"/>
                <w:color w:val="auto"/>
                <w:sz w:val="24"/>
                <w:szCs w:val="24"/>
                <w:highlight w:val="none"/>
                <w:u w:val="none" w:color="auto"/>
                <w:lang w:eastAsia="zh-CN"/>
              </w:rPr>
              <w:t>，</w:t>
            </w:r>
            <w:r>
              <w:rPr>
                <w:rFonts w:hint="eastAsia" w:cs="Times New Roman"/>
                <w:b w:val="0"/>
                <w:bCs w:val="0"/>
                <w:color w:val="auto"/>
                <w:sz w:val="24"/>
                <w:szCs w:val="24"/>
                <w:u w:val="none" w:color="auto"/>
                <w:lang w:val="en-US" w:eastAsia="zh-CN"/>
              </w:rPr>
              <w:t>水</w:t>
            </w:r>
            <w:r>
              <w:rPr>
                <w:rFonts w:hint="default" w:ascii="Times New Roman" w:hAnsi="Times New Roman" w:cs="Times New Roman"/>
                <w:b w:val="0"/>
                <w:bCs w:val="0"/>
                <w:color w:val="auto"/>
                <w:sz w:val="24"/>
                <w:szCs w:val="24"/>
                <w:u w:val="none" w:color="auto"/>
                <w:lang w:val="en-US" w:eastAsia="zh-CN"/>
              </w:rPr>
              <w:t>污染物排放核算表见下表：</w:t>
            </w: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7-14</w:t>
            </w:r>
            <w:r>
              <w:rPr>
                <w:rFonts w:hint="eastAsia" w:cs="Times New Roman"/>
                <w:color w:val="auto"/>
                <w:sz w:val="24"/>
                <w:szCs w:val="32"/>
                <w:u w:val="none" w:color="auto"/>
                <w:lang w:eastAsia="zh-CN"/>
              </w:rPr>
              <w:t>废水类别、污染物及污染治理设施信息表</w:t>
            </w:r>
          </w:p>
          <w:tbl>
            <w:tblPr>
              <w:tblStyle w:val="41"/>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23"/>
              <w:gridCol w:w="823"/>
              <w:gridCol w:w="824"/>
              <w:gridCol w:w="824"/>
              <w:gridCol w:w="825"/>
              <w:gridCol w:w="824"/>
              <w:gridCol w:w="824"/>
              <w:gridCol w:w="824"/>
              <w:gridCol w:w="824"/>
              <w:gridCol w:w="8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82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序号</w:t>
                  </w:r>
                </w:p>
              </w:tc>
              <w:tc>
                <w:tcPr>
                  <w:tcW w:w="82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废水类别</w:t>
                  </w:r>
                </w:p>
              </w:tc>
              <w:tc>
                <w:tcPr>
                  <w:tcW w:w="82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污染物种类</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排放去向</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排放规律</w:t>
                  </w:r>
                </w:p>
              </w:tc>
              <w:tc>
                <w:tcPr>
                  <w:tcW w:w="2473" w:type="dxa"/>
                  <w:gridSpan w:val="3"/>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排放口编号</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排放口设置是否符合要求</w:t>
                  </w:r>
                </w:p>
              </w:tc>
              <w:tc>
                <w:tcPr>
                  <w:tcW w:w="824"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82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u w:val="none" w:color="auto"/>
                      <w:vertAlign w:val="baseline"/>
                      <w:lang w:eastAsia="zh-CN"/>
                    </w:rPr>
                  </w:pPr>
                </w:p>
              </w:tc>
              <w:tc>
                <w:tcPr>
                  <w:tcW w:w="825"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污染治理设施编号</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污染治理设施名称</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r>
                    <w:rPr>
                      <w:rFonts w:hint="eastAsia"/>
                      <w:color w:val="auto"/>
                      <w:u w:val="none" w:color="auto"/>
                      <w:vertAlign w:val="baseline"/>
                      <w:lang w:eastAsia="zh-CN"/>
                    </w:rPr>
                    <w:t>污染治理设施工艺</w:t>
                  </w: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c>
                <w:tcPr>
                  <w:tcW w:w="824"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u w:val="none" w:color="auto"/>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生活废水</w:t>
                  </w:r>
                </w:p>
              </w:tc>
              <w:tc>
                <w:tcPr>
                  <w:tcW w:w="82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化学需氧量；氨氮</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湘江</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间断排放</w:t>
                  </w:r>
                </w:p>
              </w:tc>
              <w:tc>
                <w:tcPr>
                  <w:tcW w:w="825"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化粪池</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2"/>
                      <w:szCs w:val="22"/>
                      <w:u w:val="none" w:color="auto"/>
                      <w:vertAlign w:val="baseline"/>
                      <w:lang w:eastAsia="zh-CN"/>
                    </w:rPr>
                  </w:pPr>
                  <w:r>
                    <w:rPr>
                      <w:rFonts w:hint="eastAsia" w:ascii="宋体" w:hAnsi="宋体"/>
                      <w:b w:val="0"/>
                      <w:bCs/>
                      <w:color w:val="auto"/>
                      <w:spacing w:val="8"/>
                      <w:kern w:val="0"/>
                      <w:sz w:val="22"/>
                      <w:szCs w:val="22"/>
                      <w:u w:val="none" w:color="auto"/>
                      <w:lang w:eastAsia="zh-CN"/>
                    </w:rPr>
                    <w:t>化粪池</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符合</w:t>
                  </w:r>
                </w:p>
              </w:tc>
              <w:tc>
                <w:tcPr>
                  <w:tcW w:w="82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企业总排</w:t>
                  </w:r>
                </w:p>
              </w:tc>
            </w:tr>
          </w:tbl>
          <w:p>
            <w:pPr>
              <w:pStyle w:val="39"/>
              <w:jc w:val="center"/>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7-15 </w:t>
            </w:r>
            <w:r>
              <w:rPr>
                <w:rFonts w:hint="eastAsia"/>
                <w:color w:val="auto"/>
                <w:sz w:val="24"/>
                <w:szCs w:val="32"/>
                <w:u w:val="none" w:color="auto"/>
                <w:lang w:eastAsia="zh-CN"/>
              </w:rPr>
              <w:t>废水间接排放口基本情况表</w:t>
            </w:r>
          </w:p>
          <w:tbl>
            <w:tblPr>
              <w:tblStyle w:val="41"/>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824"/>
              <w:gridCol w:w="1253"/>
              <w:gridCol w:w="1151"/>
              <w:gridCol w:w="1151"/>
              <w:gridCol w:w="600"/>
              <w:gridCol w:w="588"/>
              <w:gridCol w:w="449"/>
              <w:gridCol w:w="671"/>
              <w:gridCol w:w="798"/>
              <w:gridCol w:w="11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44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序号</w:t>
                  </w:r>
                </w:p>
              </w:tc>
              <w:tc>
                <w:tcPr>
                  <w:tcW w:w="82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排放口编号</w:t>
                  </w:r>
                </w:p>
              </w:tc>
              <w:tc>
                <w:tcPr>
                  <w:tcW w:w="2088" w:type="dxa"/>
                  <w:gridSpan w:val="2"/>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排放口地理坐标</w:t>
                  </w:r>
                </w:p>
              </w:tc>
              <w:tc>
                <w:tcPr>
                  <w:tcW w:w="103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废水排放量</w:t>
                  </w:r>
                  <w:r>
                    <w:rPr>
                      <w:rFonts w:hint="eastAsia"/>
                      <w:color w:val="auto"/>
                      <w:sz w:val="22"/>
                      <w:szCs w:val="22"/>
                      <w:u w:val="none" w:color="auto"/>
                      <w:vertAlign w:val="baseline"/>
                      <w:lang w:val="en-US" w:eastAsia="zh-CN"/>
                    </w:rPr>
                    <w:t>/（万t/a）</w:t>
                  </w:r>
                </w:p>
              </w:tc>
              <w:tc>
                <w:tcPr>
                  <w:tcW w:w="67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排放去向</w:t>
                  </w:r>
                </w:p>
              </w:tc>
              <w:tc>
                <w:tcPr>
                  <w:tcW w:w="65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排放规律</w:t>
                  </w:r>
                </w:p>
              </w:tc>
              <w:tc>
                <w:tcPr>
                  <w:tcW w:w="45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间歇排放时段</w:t>
                  </w:r>
                </w:p>
              </w:tc>
              <w:tc>
                <w:tcPr>
                  <w:tcW w:w="2888" w:type="dxa"/>
                  <w:gridSpan w:val="3"/>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汇入受纳自然水体处地理坐标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44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82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107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经度</w:t>
                  </w:r>
                </w:p>
              </w:tc>
              <w:tc>
                <w:tcPr>
                  <w:tcW w:w="1015"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维度</w:t>
                  </w:r>
                </w:p>
              </w:tc>
              <w:tc>
                <w:tcPr>
                  <w:tcW w:w="103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7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65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45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779"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名称</w:t>
                  </w:r>
                </w:p>
              </w:tc>
              <w:tc>
                <w:tcPr>
                  <w:tcW w:w="96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污染物</w:t>
                  </w:r>
                </w:p>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种类</w:t>
                  </w:r>
                </w:p>
              </w:tc>
              <w:tc>
                <w:tcPr>
                  <w:tcW w:w="1146"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eastAsia="zh-CN"/>
                    </w:rPr>
                    <w:t>国家或地方污染物排放标准浓度限值</w:t>
                  </w:r>
                  <w:r>
                    <w:rPr>
                      <w:rFonts w:hint="eastAsia"/>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44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1</w:t>
                  </w:r>
                </w:p>
              </w:tc>
              <w:tc>
                <w:tcPr>
                  <w:tcW w:w="82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TA001</w:t>
                  </w:r>
                </w:p>
              </w:tc>
              <w:tc>
                <w:tcPr>
                  <w:tcW w:w="1073"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112.920270</w:t>
                  </w:r>
                </w:p>
              </w:tc>
              <w:tc>
                <w:tcPr>
                  <w:tcW w:w="101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default"/>
                      <w:color w:val="auto"/>
                      <w:sz w:val="22"/>
                      <w:szCs w:val="22"/>
                      <w:u w:val="none" w:color="auto"/>
                      <w:vertAlign w:val="baseline"/>
                      <w:lang w:eastAsia="zh-CN"/>
                    </w:rPr>
                    <w:t>28.641881</w:t>
                  </w:r>
                </w:p>
              </w:tc>
              <w:tc>
                <w:tcPr>
                  <w:tcW w:w="103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0.1269696</w:t>
                  </w:r>
                </w:p>
              </w:tc>
              <w:tc>
                <w:tcPr>
                  <w:tcW w:w="67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外排</w:t>
                  </w:r>
                </w:p>
              </w:tc>
              <w:tc>
                <w:tcPr>
                  <w:tcW w:w="65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间接排放</w:t>
                  </w:r>
                </w:p>
              </w:tc>
              <w:tc>
                <w:tcPr>
                  <w:tcW w:w="455"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w:t>
                  </w:r>
                </w:p>
              </w:tc>
              <w:tc>
                <w:tcPr>
                  <w:tcW w:w="779"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r>
                    <w:rPr>
                      <w:rFonts w:hint="eastAsia"/>
                      <w:color w:val="auto"/>
                      <w:sz w:val="22"/>
                      <w:szCs w:val="22"/>
                      <w:u w:val="none" w:color="auto"/>
                      <w:vertAlign w:val="baseline"/>
                      <w:lang w:eastAsia="zh-CN"/>
                    </w:rPr>
                    <w:t>湘阴县第二污水处理厂</w:t>
                  </w:r>
                </w:p>
              </w:tc>
              <w:tc>
                <w:tcPr>
                  <w:tcW w:w="96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化学需</w:t>
                  </w:r>
                </w:p>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2"/>
                      <w:sz w:val="22"/>
                      <w:szCs w:val="22"/>
                      <w:u w:val="none" w:color="auto"/>
                      <w:vertAlign w:val="baseline"/>
                      <w:lang w:val="en-US" w:eastAsia="zh-CN" w:bidi="ar-SA"/>
                    </w:rPr>
                  </w:pPr>
                  <w:r>
                    <w:rPr>
                      <w:rFonts w:hint="eastAsia"/>
                      <w:color w:val="auto"/>
                      <w:sz w:val="22"/>
                      <w:szCs w:val="22"/>
                      <w:u w:val="none" w:color="auto"/>
                      <w:vertAlign w:val="baseline"/>
                      <w:lang w:eastAsia="zh-CN"/>
                    </w:rPr>
                    <w:t>氧量</w:t>
                  </w:r>
                </w:p>
              </w:tc>
              <w:tc>
                <w:tcPr>
                  <w:tcW w:w="1146"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44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82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1073"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01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eastAsia="zh-CN"/>
                    </w:rPr>
                  </w:pPr>
                </w:p>
              </w:tc>
              <w:tc>
                <w:tcPr>
                  <w:tcW w:w="103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67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65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455"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val="en-US" w:eastAsia="zh-CN"/>
                    </w:rPr>
                  </w:pPr>
                </w:p>
              </w:tc>
              <w:tc>
                <w:tcPr>
                  <w:tcW w:w="779"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p>
              </w:tc>
              <w:tc>
                <w:tcPr>
                  <w:tcW w:w="963"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2"/>
                      <w:szCs w:val="22"/>
                      <w:u w:val="none" w:color="auto"/>
                      <w:vertAlign w:val="baseline"/>
                      <w:lang w:eastAsia="zh-CN"/>
                    </w:rPr>
                  </w:pPr>
                  <w:r>
                    <w:rPr>
                      <w:rFonts w:hint="eastAsia"/>
                      <w:color w:val="auto"/>
                      <w:sz w:val="22"/>
                      <w:szCs w:val="22"/>
                      <w:u w:val="none" w:color="auto"/>
                      <w:vertAlign w:val="baseline"/>
                      <w:lang w:eastAsia="zh-CN"/>
                    </w:rPr>
                    <w:t>氨氮</w:t>
                  </w:r>
                </w:p>
              </w:tc>
              <w:tc>
                <w:tcPr>
                  <w:tcW w:w="1146"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color w:val="auto"/>
                      <w:sz w:val="22"/>
                      <w:szCs w:val="22"/>
                      <w:u w:val="none" w:color="auto"/>
                      <w:vertAlign w:val="baseline"/>
                      <w:lang w:val="en-US" w:eastAsia="zh-CN"/>
                    </w:rPr>
                  </w:pPr>
                  <w:r>
                    <w:rPr>
                      <w:rFonts w:hint="eastAsia"/>
                      <w:color w:val="auto"/>
                      <w:sz w:val="22"/>
                      <w:szCs w:val="22"/>
                      <w:u w:val="none" w:color="auto"/>
                      <w:vertAlign w:val="baseline"/>
                      <w:lang w:val="en-US" w:eastAsia="zh-CN"/>
                    </w:rPr>
                    <w:t>8</w:t>
                  </w:r>
                </w:p>
              </w:tc>
            </w:tr>
          </w:tbl>
          <w:p>
            <w:pPr>
              <w:pStyle w:val="39"/>
              <w:ind w:firstLine="3003" w:firstLineChars="1300"/>
              <w:jc w:val="both"/>
              <w:rPr>
                <w:rFonts w:hint="default"/>
                <w:color w:val="auto"/>
                <w:sz w:val="24"/>
                <w:szCs w:val="32"/>
                <w:u w:val="none" w:color="auto"/>
                <w:lang w:eastAsia="zh-CN"/>
              </w:rPr>
            </w:pPr>
            <w:r>
              <w:rPr>
                <w:rFonts w:hint="eastAsia"/>
                <w:color w:val="auto"/>
                <w:sz w:val="24"/>
                <w:szCs w:val="32"/>
                <w:u w:val="none" w:color="auto"/>
                <w:lang w:eastAsia="zh-CN"/>
              </w:rPr>
              <w:t>表</w:t>
            </w:r>
            <w:r>
              <w:rPr>
                <w:rFonts w:hint="eastAsia"/>
                <w:color w:val="auto"/>
                <w:sz w:val="24"/>
                <w:szCs w:val="32"/>
                <w:u w:val="none" w:color="auto"/>
                <w:lang w:val="en-US" w:eastAsia="zh-CN"/>
              </w:rPr>
              <w:t xml:space="preserve">7-16 </w:t>
            </w:r>
            <w:r>
              <w:rPr>
                <w:rFonts w:hint="eastAsia"/>
                <w:color w:val="auto"/>
                <w:sz w:val="24"/>
                <w:szCs w:val="32"/>
                <w:u w:val="none" w:color="auto"/>
                <w:lang w:eastAsia="zh-CN"/>
              </w:rPr>
              <w:t>废水污染物排放执行标准表</w:t>
            </w:r>
          </w:p>
          <w:tbl>
            <w:tblPr>
              <w:tblStyle w:val="41"/>
              <w:tblW w:w="90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568"/>
              <w:gridCol w:w="1282"/>
              <w:gridCol w:w="2686"/>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73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156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282"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5490" w:type="dxa"/>
                  <w:gridSpan w:val="2"/>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73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56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686"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名称</w:t>
                  </w:r>
                </w:p>
              </w:tc>
              <w:tc>
                <w:tcPr>
                  <w:tcW w:w="280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eastAsia="zh-CN"/>
                    </w:rPr>
                    <w:t>浓度限值</w:t>
                  </w:r>
                  <w:r>
                    <w:rPr>
                      <w:rFonts w:hint="default" w:ascii="Times New Roman" w:hAnsi="Times New Roman" w:cs="Times New Roman"/>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73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1568"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28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w:t>
                  </w:r>
                </w:p>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氧量</w:t>
                  </w:r>
                </w:p>
              </w:tc>
              <w:tc>
                <w:tcPr>
                  <w:tcW w:w="2686" w:type="dxa"/>
                  <w:vMerge w:val="restart"/>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snapToGrid w:val="0"/>
                      <w:kern w:val="0"/>
                      <w:sz w:val="24"/>
                      <w:szCs w:val="22"/>
                      <w:u w:val="single"/>
                    </w:rPr>
                    <w:t>《城镇污水处理厂污染物排放标准》（GB18918-2002）一级</w:t>
                  </w:r>
                  <w:r>
                    <w:rPr>
                      <w:rFonts w:hint="eastAsia"/>
                      <w:snapToGrid w:val="0"/>
                      <w:kern w:val="0"/>
                      <w:sz w:val="24"/>
                      <w:szCs w:val="22"/>
                      <w:u w:val="single"/>
                    </w:rPr>
                    <w:t>A</w:t>
                  </w:r>
                  <w:r>
                    <w:rPr>
                      <w:snapToGrid w:val="0"/>
                      <w:kern w:val="0"/>
                      <w:sz w:val="24"/>
                      <w:szCs w:val="22"/>
                      <w:u w:val="single"/>
                    </w:rPr>
                    <w:t>标准</w:t>
                  </w:r>
                </w:p>
              </w:tc>
              <w:tc>
                <w:tcPr>
                  <w:tcW w:w="280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73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1568"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1282"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2686" w:type="dxa"/>
                  <w:vMerge w:val="continue"/>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eastAsia="zh-CN"/>
                    </w:rPr>
                  </w:pPr>
                </w:p>
              </w:tc>
              <w:tc>
                <w:tcPr>
                  <w:tcW w:w="2804" w:type="dxa"/>
                  <w:tcBorders>
                    <w:tl2br w:val="nil"/>
                    <w:tr2bl w:val="nil"/>
                  </w:tcBorders>
                  <w:noWrap w:val="0"/>
                  <w:vAlign w:val="center"/>
                </w:tcPr>
                <w:p>
                  <w:pPr>
                    <w:pStyle w:val="39"/>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r>
          </w:tbl>
          <w:p>
            <w:pPr>
              <w:jc w:val="center"/>
              <w:rPr>
                <w:rFonts w:hint="eastAsia" w:cs="Times New Roman"/>
                <w:color w:val="auto"/>
                <w:sz w:val="24"/>
                <w:szCs w:val="32"/>
                <w:u w:val="none" w:color="auto"/>
                <w:lang w:eastAsia="zh-CN"/>
              </w:rPr>
            </w:pPr>
          </w:p>
          <w:p>
            <w:pPr>
              <w:jc w:val="center"/>
              <w:rPr>
                <w:rFonts w:hint="eastAsia" w:cs="Times New Roman"/>
                <w:color w:val="auto"/>
                <w:sz w:val="24"/>
                <w:szCs w:val="32"/>
                <w:u w:val="none" w:color="auto"/>
                <w:lang w:eastAsia="zh-CN"/>
              </w:rPr>
            </w:pPr>
          </w:p>
          <w:p>
            <w:pPr>
              <w:jc w:val="center"/>
              <w:rPr>
                <w:rFonts w:hint="eastAsia" w:cs="Times New Roman"/>
                <w:color w:val="auto"/>
                <w:sz w:val="24"/>
                <w:szCs w:val="32"/>
                <w:u w:val="none" w:color="auto"/>
                <w:lang w:eastAsia="zh-CN"/>
              </w:rPr>
            </w:pPr>
          </w:p>
          <w:p>
            <w:pPr>
              <w:jc w:val="center"/>
              <w:rPr>
                <w:rFonts w:hint="default" w:ascii="Times New Roman" w:hAnsi="Times New Roman" w:cs="Times New Roman"/>
                <w:color w:val="auto"/>
                <w:sz w:val="24"/>
                <w:szCs w:val="32"/>
                <w:u w:val="none" w:color="auto"/>
                <w:lang w:eastAsia="zh-CN"/>
              </w:rPr>
            </w:pPr>
            <w:r>
              <w:rPr>
                <w:rFonts w:hint="eastAsia" w:cs="Times New Roman"/>
                <w:color w:val="auto"/>
                <w:sz w:val="24"/>
                <w:szCs w:val="32"/>
                <w:u w:val="none" w:color="auto"/>
                <w:lang w:eastAsia="zh-CN"/>
              </w:rPr>
              <w:t>表</w:t>
            </w:r>
            <w:r>
              <w:rPr>
                <w:rFonts w:hint="eastAsia" w:cs="Times New Roman"/>
                <w:color w:val="auto"/>
                <w:sz w:val="24"/>
                <w:szCs w:val="32"/>
                <w:u w:val="none" w:color="auto"/>
                <w:lang w:val="en-US" w:eastAsia="zh-CN"/>
              </w:rPr>
              <w:t>7-17</w:t>
            </w:r>
            <w:r>
              <w:rPr>
                <w:rFonts w:hint="default" w:ascii="Times New Roman" w:hAnsi="Times New Roman" w:cs="Times New Roman"/>
                <w:color w:val="auto"/>
                <w:sz w:val="24"/>
                <w:szCs w:val="32"/>
                <w:u w:val="none" w:color="auto"/>
                <w:lang w:eastAsia="zh-CN"/>
              </w:rPr>
              <w:t>废水污染物排放信息表</w:t>
            </w:r>
          </w:p>
          <w:tbl>
            <w:tblPr>
              <w:tblStyle w:val="41"/>
              <w:tblW w:w="907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953"/>
              <w:gridCol w:w="1043"/>
              <w:gridCol w:w="1133"/>
              <w:gridCol w:w="1090"/>
              <w:gridCol w:w="1156"/>
              <w:gridCol w:w="1210"/>
              <w:gridCol w:w="16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序号</w:t>
                  </w:r>
                </w:p>
              </w:tc>
              <w:tc>
                <w:tcPr>
                  <w:tcW w:w="95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排放口编号</w:t>
                  </w:r>
                </w:p>
              </w:tc>
              <w:tc>
                <w:tcPr>
                  <w:tcW w:w="10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污染物种类</w:t>
                  </w:r>
                </w:p>
              </w:tc>
              <w:tc>
                <w:tcPr>
                  <w:tcW w:w="110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排放浓度（</w:t>
                  </w:r>
                  <w:r>
                    <w:rPr>
                      <w:rFonts w:hint="default" w:ascii="Times New Roman" w:hAnsi="Times New Roman" w:cs="Times New Roman"/>
                      <w:color w:val="auto"/>
                      <w:sz w:val="22"/>
                      <w:szCs w:val="22"/>
                      <w:u w:val="none" w:color="auto"/>
                      <w:vertAlign w:val="baseline"/>
                      <w:lang w:val="en-US" w:eastAsia="zh-CN"/>
                    </w:rPr>
                    <w:t>mg/L</w:t>
                  </w:r>
                  <w:r>
                    <w:rPr>
                      <w:rFonts w:hint="default" w:ascii="Times New Roman" w:hAnsi="Times New Roman" w:cs="Times New Roman"/>
                      <w:color w:val="auto"/>
                      <w:sz w:val="22"/>
                      <w:szCs w:val="22"/>
                      <w:u w:val="none" w:color="auto"/>
                      <w:vertAlign w:val="baseline"/>
                      <w:lang w:eastAsia="zh-CN"/>
                    </w:rPr>
                    <w:t>）</w:t>
                  </w:r>
                </w:p>
              </w:tc>
              <w:tc>
                <w:tcPr>
                  <w:tcW w:w="109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新增日排放量</w:t>
                  </w:r>
                  <w:r>
                    <w:rPr>
                      <w:rFonts w:hint="default" w:ascii="Times New Roman" w:hAnsi="Times New Roman" w:cs="Times New Roman"/>
                      <w:color w:val="auto"/>
                      <w:sz w:val="22"/>
                      <w:szCs w:val="22"/>
                      <w:u w:val="none" w:color="auto"/>
                      <w:vertAlign w:val="baseline"/>
                      <w:lang w:eastAsia="zh-CN"/>
                    </w:rPr>
                    <w:t>（</w:t>
                  </w:r>
                  <w:r>
                    <w:rPr>
                      <w:rFonts w:hint="eastAsia" w:cs="Times New Roman"/>
                      <w:color w:val="auto"/>
                      <w:sz w:val="22"/>
                      <w:szCs w:val="22"/>
                      <w:u w:val="none" w:color="auto"/>
                      <w:vertAlign w:val="baseline"/>
                      <w:lang w:val="en-US" w:eastAsia="zh-CN"/>
                    </w:rPr>
                    <w:t>t/d</w:t>
                  </w:r>
                  <w:r>
                    <w:rPr>
                      <w:rFonts w:hint="default" w:ascii="Times New Roman" w:hAnsi="Times New Roman" w:cs="Times New Roman"/>
                      <w:color w:val="auto"/>
                      <w:sz w:val="22"/>
                      <w:szCs w:val="22"/>
                      <w:u w:val="none" w:color="auto"/>
                      <w:vertAlign w:val="baseline"/>
                      <w:lang w:eastAsia="zh-CN"/>
                    </w:rPr>
                    <w:t>）</w:t>
                  </w:r>
                </w:p>
              </w:tc>
              <w:tc>
                <w:tcPr>
                  <w:tcW w:w="115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全厂日排放量</w:t>
                  </w:r>
                  <w:r>
                    <w:rPr>
                      <w:rFonts w:hint="default" w:ascii="Times New Roman" w:hAnsi="Times New Roman" w:cs="Times New Roman"/>
                      <w:color w:val="auto"/>
                      <w:sz w:val="22"/>
                      <w:szCs w:val="22"/>
                      <w:u w:val="none" w:color="auto"/>
                      <w:vertAlign w:val="baseline"/>
                      <w:lang w:eastAsia="zh-CN"/>
                    </w:rPr>
                    <w:t>（</w:t>
                  </w:r>
                  <w:r>
                    <w:rPr>
                      <w:rFonts w:hint="eastAsia" w:cs="Times New Roman"/>
                      <w:color w:val="auto"/>
                      <w:sz w:val="22"/>
                      <w:szCs w:val="22"/>
                      <w:u w:val="none" w:color="auto"/>
                      <w:vertAlign w:val="baseline"/>
                      <w:lang w:val="en-US" w:eastAsia="zh-CN"/>
                    </w:rPr>
                    <w:t>t/d</w:t>
                  </w:r>
                  <w:r>
                    <w:rPr>
                      <w:rFonts w:hint="default" w:ascii="Times New Roman" w:hAnsi="Times New Roman" w:cs="Times New Roman"/>
                      <w:color w:val="auto"/>
                      <w:sz w:val="22"/>
                      <w:szCs w:val="22"/>
                      <w:u w:val="none" w:color="auto"/>
                      <w:vertAlign w:val="baseline"/>
                      <w:lang w:eastAsia="zh-CN"/>
                    </w:rPr>
                    <w:t>）</w:t>
                  </w:r>
                </w:p>
              </w:tc>
              <w:tc>
                <w:tcPr>
                  <w:tcW w:w="121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新增年排放量（</w:t>
                  </w:r>
                  <w:r>
                    <w:rPr>
                      <w:rFonts w:hint="eastAsia" w:cs="Times New Roman"/>
                      <w:color w:val="auto"/>
                      <w:sz w:val="22"/>
                      <w:szCs w:val="22"/>
                      <w:u w:val="none" w:color="auto"/>
                      <w:vertAlign w:val="baseline"/>
                      <w:lang w:val="en-US" w:eastAsia="zh-CN"/>
                    </w:rPr>
                    <w:t>t/a</w:t>
                  </w:r>
                  <w:r>
                    <w:rPr>
                      <w:rFonts w:hint="eastAsia" w:cs="Times New Roman"/>
                      <w:color w:val="auto"/>
                      <w:sz w:val="22"/>
                      <w:szCs w:val="22"/>
                      <w:u w:val="none" w:color="auto"/>
                      <w:vertAlign w:val="baseline"/>
                      <w:lang w:eastAsia="zh-CN"/>
                    </w:rPr>
                    <w:t>）</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eastAsia="zh-CN"/>
                    </w:rPr>
                    <w:t>全厂</w:t>
                  </w:r>
                  <w:r>
                    <w:rPr>
                      <w:rFonts w:hint="default" w:ascii="Times New Roman" w:hAnsi="Times New Roman" w:cs="Times New Roman"/>
                      <w:color w:val="auto"/>
                      <w:sz w:val="22"/>
                      <w:szCs w:val="22"/>
                      <w:u w:val="none" w:color="auto"/>
                      <w:vertAlign w:val="baseline"/>
                      <w:lang w:eastAsia="zh-CN"/>
                    </w:rPr>
                    <w:t>年排放量（</w:t>
                  </w:r>
                  <w:r>
                    <w:rPr>
                      <w:rFonts w:hint="default" w:ascii="Times New Roman" w:hAnsi="Times New Roman" w:cs="Times New Roman"/>
                      <w:color w:val="auto"/>
                      <w:sz w:val="22"/>
                      <w:szCs w:val="22"/>
                      <w:u w:val="none" w:color="auto"/>
                      <w:vertAlign w:val="baseline"/>
                      <w:lang w:val="en-US" w:eastAsia="zh-CN"/>
                    </w:rPr>
                    <w:t>t/a</w:t>
                  </w:r>
                  <w:r>
                    <w:rPr>
                      <w:rFonts w:hint="default" w:ascii="Times New Roman" w:hAnsi="Times New Roman" w:cs="Times New Roman"/>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1</w:t>
                  </w:r>
                </w:p>
              </w:tc>
              <w:tc>
                <w:tcPr>
                  <w:tcW w:w="95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TA001</w:t>
                  </w:r>
                </w:p>
              </w:tc>
              <w:tc>
                <w:tcPr>
                  <w:tcW w:w="10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10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50</w:t>
                  </w:r>
                </w:p>
              </w:tc>
              <w:tc>
                <w:tcPr>
                  <w:tcW w:w="109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0.0002</w:t>
                  </w:r>
                </w:p>
              </w:tc>
              <w:tc>
                <w:tcPr>
                  <w:tcW w:w="1159"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0.00032</w:t>
                  </w:r>
                </w:p>
              </w:tc>
              <w:tc>
                <w:tcPr>
                  <w:tcW w:w="1214"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0.06</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8"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2</w:t>
                  </w:r>
                </w:p>
              </w:tc>
              <w:tc>
                <w:tcPr>
                  <w:tcW w:w="95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default" w:ascii="Times New Roman" w:hAnsi="Times New Roman" w:cs="Times New Roman"/>
                      <w:color w:val="auto"/>
                      <w:sz w:val="22"/>
                      <w:szCs w:val="22"/>
                      <w:u w:val="none" w:color="auto"/>
                      <w:vertAlign w:val="baseline"/>
                      <w:lang w:val="en-US" w:eastAsia="zh-CN"/>
                    </w:rPr>
                    <w:t>TA00</w:t>
                  </w:r>
                  <w:r>
                    <w:rPr>
                      <w:rFonts w:hint="eastAsia" w:cs="Times New Roman"/>
                      <w:color w:val="auto"/>
                      <w:sz w:val="22"/>
                      <w:szCs w:val="22"/>
                      <w:u w:val="none" w:color="auto"/>
                      <w:vertAlign w:val="baseline"/>
                      <w:lang w:val="en-US" w:eastAsia="zh-CN"/>
                    </w:rPr>
                    <w:t>1</w:t>
                  </w:r>
                </w:p>
              </w:tc>
              <w:tc>
                <w:tcPr>
                  <w:tcW w:w="1050"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104"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8</w:t>
                  </w:r>
                </w:p>
              </w:tc>
              <w:tc>
                <w:tcPr>
                  <w:tcW w:w="109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0.000034</w:t>
                  </w:r>
                </w:p>
              </w:tc>
              <w:tc>
                <w:tcPr>
                  <w:tcW w:w="1159"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0.00005</w:t>
                  </w:r>
                </w:p>
              </w:tc>
              <w:tc>
                <w:tcPr>
                  <w:tcW w:w="1214" w:type="dxa"/>
                  <w:tcBorders>
                    <w:tl2br w:val="nil"/>
                    <w:tr2bl w:val="nil"/>
                  </w:tcBorders>
                  <w:noWrap w:val="0"/>
                  <w:vAlign w:val="center"/>
                </w:tcPr>
                <w:p>
                  <w:pPr>
                    <w:spacing w:line="360" w:lineRule="auto"/>
                    <w:jc w:val="center"/>
                    <w:rPr>
                      <w:rFonts w:hint="default"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0.0096</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val="en-US" w:eastAsia="zh-CN"/>
                    </w:rPr>
                  </w:pPr>
                  <w:r>
                    <w:rPr>
                      <w:rFonts w:hint="eastAsia" w:cs="Times New Roman"/>
                      <w:color w:val="auto"/>
                      <w:sz w:val="22"/>
                      <w:szCs w:val="22"/>
                      <w:u w:val="none" w:color="auto"/>
                      <w:vertAlign w:val="baseline"/>
                      <w:lang w:val="en-US" w:eastAsia="zh-CN"/>
                    </w:rPr>
                    <w:t>0.0154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3" w:type="dxa"/>
                  <w:gridSpan w:val="2"/>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全厂排放口合计</w:t>
                  </w:r>
                </w:p>
              </w:tc>
              <w:tc>
                <w:tcPr>
                  <w:tcW w:w="5618" w:type="dxa"/>
                  <w:gridSpan w:val="5"/>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化学需氧量</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3" w:type="dxa"/>
                  <w:gridSpan w:val="2"/>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p>
              </w:tc>
              <w:tc>
                <w:tcPr>
                  <w:tcW w:w="5618" w:type="dxa"/>
                  <w:gridSpan w:val="5"/>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default" w:ascii="Times New Roman" w:hAnsi="Times New Roman" w:cs="Times New Roman"/>
                      <w:color w:val="auto"/>
                      <w:sz w:val="22"/>
                      <w:szCs w:val="22"/>
                      <w:u w:val="none" w:color="auto"/>
                      <w:vertAlign w:val="baseline"/>
                      <w:lang w:eastAsia="zh-CN"/>
                    </w:rPr>
                    <w:t>氨氮</w:t>
                  </w:r>
                </w:p>
              </w:tc>
              <w:tc>
                <w:tcPr>
                  <w:tcW w:w="16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vertAlign w:val="baseline"/>
                      <w:lang w:eastAsia="zh-CN"/>
                    </w:rPr>
                  </w:pPr>
                  <w:r>
                    <w:rPr>
                      <w:rFonts w:hint="eastAsia" w:cs="Times New Roman"/>
                      <w:color w:val="auto"/>
                      <w:sz w:val="22"/>
                      <w:szCs w:val="22"/>
                      <w:u w:val="none" w:color="auto"/>
                      <w:vertAlign w:val="baseline"/>
                      <w:lang w:val="en-US" w:eastAsia="zh-CN"/>
                    </w:rPr>
                    <w:t>0.0154</w:t>
                  </w:r>
                </w:p>
              </w:tc>
            </w:tr>
          </w:tbl>
          <w:p>
            <w:pPr>
              <w:pStyle w:val="34"/>
              <w:adjustRightInd w:val="0"/>
              <w:snapToGrid w:val="0"/>
              <w:spacing w:line="360" w:lineRule="auto"/>
              <w:ind w:left="0" w:leftChars="0" w:firstLine="422" w:firstLineChars="200"/>
              <w:rPr>
                <w:rFonts w:hint="eastAsia"/>
                <w:color w:val="auto"/>
                <w:sz w:val="22"/>
                <w:szCs w:val="22"/>
                <w:u w:val="none" w:color="auto"/>
                <w:lang w:eastAsia="zh-CN"/>
              </w:rPr>
            </w:pPr>
            <w:r>
              <w:rPr>
                <w:rFonts w:hint="eastAsia" w:cs="Times New Roman"/>
                <w:color w:val="auto"/>
                <w:sz w:val="22"/>
                <w:szCs w:val="22"/>
                <w:u w:val="none" w:color="auto"/>
                <w:lang w:eastAsia="zh-CN"/>
              </w:rPr>
              <w:t>注：由于本项目废水排入湘阴县第二污水处理厂，故排放浓度执行</w:t>
            </w:r>
            <w:r>
              <w:rPr>
                <w:color w:val="auto"/>
                <w:sz w:val="22"/>
                <w:szCs w:val="22"/>
                <w:u w:val="none" w:color="auto"/>
              </w:rPr>
              <w:t>《城镇污水处理厂污染物排放标准（GB18918—2002）》中一级标准的A类标准</w:t>
            </w:r>
            <w:r>
              <w:rPr>
                <w:rFonts w:hint="eastAsia"/>
                <w:color w:val="auto"/>
                <w:sz w:val="22"/>
                <w:szCs w:val="22"/>
                <w:u w:val="none" w:color="auto"/>
                <w:lang w:eastAsia="zh-CN"/>
              </w:rPr>
              <w:t>浓度限值</w:t>
            </w:r>
          </w:p>
          <w:p>
            <w:pPr>
              <w:pStyle w:val="34"/>
              <w:adjustRightInd w:val="0"/>
              <w:snapToGrid w:val="0"/>
              <w:spacing w:line="360" w:lineRule="auto"/>
              <w:ind w:left="0" w:leftChars="0"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3、声环境影响分析</w:t>
            </w:r>
          </w:p>
          <w:p>
            <w:pPr>
              <w:spacing w:line="360" w:lineRule="auto"/>
              <w:ind w:firstLine="478" w:firstLineChars="200"/>
              <w:rPr>
                <w:rFonts w:hint="default" w:ascii="Times New Roman" w:hAnsi="Times New Roman" w:cs="Times New Roman"/>
                <w:color w:val="auto"/>
                <w:spacing w:val="4"/>
                <w:sz w:val="24"/>
                <w:u w:val="none" w:color="auto"/>
              </w:rPr>
            </w:pPr>
            <w:r>
              <w:rPr>
                <w:rFonts w:hint="default" w:ascii="Times New Roman" w:hAnsi="Times New Roman" w:cs="Times New Roman"/>
                <w:color w:val="auto"/>
                <w:spacing w:val="4"/>
                <w:sz w:val="24"/>
                <w:u w:val="none" w:color="auto"/>
              </w:rPr>
              <w:t>本项目主要噪声污染源为</w:t>
            </w:r>
            <w:r>
              <w:rPr>
                <w:rFonts w:hint="eastAsia" w:cs="Times New Roman"/>
                <w:color w:val="auto"/>
                <w:spacing w:val="4"/>
                <w:sz w:val="24"/>
                <w:u w:val="none" w:color="auto"/>
                <w:lang w:eastAsia="zh-CN"/>
              </w:rPr>
              <w:t>生产</w:t>
            </w:r>
            <w:r>
              <w:rPr>
                <w:rFonts w:hint="default" w:ascii="Times New Roman" w:hAnsi="Times New Roman" w:cs="Times New Roman"/>
                <w:color w:val="auto"/>
                <w:spacing w:val="4"/>
                <w:sz w:val="24"/>
                <w:u w:val="none" w:color="auto"/>
              </w:rPr>
              <w:t>设备运行时产生的机械噪声，声压级为65～</w:t>
            </w:r>
            <w:r>
              <w:rPr>
                <w:rFonts w:hint="default" w:ascii="Times New Roman" w:hAnsi="Times New Roman" w:cs="Times New Roman"/>
                <w:color w:val="auto"/>
                <w:spacing w:val="4"/>
                <w:sz w:val="24"/>
                <w:u w:val="none" w:color="auto"/>
                <w:lang w:val="en-US" w:eastAsia="zh-CN"/>
              </w:rPr>
              <w:t>9</w:t>
            </w:r>
            <w:r>
              <w:rPr>
                <w:rFonts w:hint="default" w:ascii="Times New Roman" w:hAnsi="Times New Roman" w:cs="Times New Roman"/>
                <w:color w:val="auto"/>
                <w:spacing w:val="4"/>
                <w:sz w:val="24"/>
                <w:u w:val="none" w:color="auto"/>
              </w:rPr>
              <w:t>0dB（A）。各类设备均安装在厂房内，</w:t>
            </w:r>
            <w:r>
              <w:rPr>
                <w:rFonts w:hint="default" w:ascii="Times New Roman" w:hAnsi="Times New Roman" w:cs="Times New Roman"/>
                <w:color w:val="auto"/>
                <w:spacing w:val="4"/>
                <w:sz w:val="24"/>
                <w:u w:val="none" w:color="auto"/>
                <w:lang w:val="en-US" w:eastAsia="zh-CN"/>
              </w:rPr>
              <w:t>夜间不生产，</w:t>
            </w:r>
            <w:r>
              <w:rPr>
                <w:rFonts w:hint="default" w:ascii="Times New Roman" w:hAnsi="Times New Roman" w:cs="Times New Roman"/>
                <w:color w:val="auto"/>
                <w:spacing w:val="4"/>
                <w:sz w:val="24"/>
                <w:u w:val="none" w:color="auto"/>
              </w:rPr>
              <w:t>在采取</w:t>
            </w:r>
            <w:r>
              <w:rPr>
                <w:rFonts w:hint="default" w:ascii="Times New Roman" w:hAnsi="Times New Roman" w:cs="Times New Roman"/>
                <w:bCs/>
                <w:color w:val="auto"/>
                <w:sz w:val="24"/>
                <w:u w:val="none" w:color="auto"/>
              </w:rPr>
              <w:t>基础减震、厂房隔声措施，并通</w:t>
            </w:r>
            <w:r>
              <w:rPr>
                <w:rFonts w:hint="default" w:ascii="Times New Roman" w:hAnsi="Times New Roman" w:cs="Times New Roman"/>
                <w:color w:val="auto"/>
                <w:sz w:val="24"/>
                <w:u w:val="none" w:color="auto"/>
              </w:rPr>
              <w:t>厂界</w:t>
            </w:r>
            <w:r>
              <w:rPr>
                <w:rFonts w:hint="default" w:ascii="Times New Roman" w:hAnsi="Times New Roman" w:cs="Times New Roman"/>
                <w:bCs/>
                <w:color w:val="auto"/>
                <w:sz w:val="24"/>
                <w:u w:val="none" w:color="auto"/>
              </w:rPr>
              <w:t>距离衰减</w:t>
            </w:r>
            <w:r>
              <w:rPr>
                <w:rFonts w:hint="default" w:ascii="Times New Roman" w:hAnsi="Times New Roman" w:cs="Times New Roman"/>
                <w:color w:val="auto"/>
                <w:spacing w:val="4"/>
                <w:sz w:val="24"/>
                <w:u w:val="none" w:color="auto"/>
              </w:rPr>
              <w:t>。</w:t>
            </w:r>
          </w:p>
          <w:p>
            <w:pPr>
              <w:snapToGrid w:val="0"/>
              <w:spacing w:line="520" w:lineRule="exact"/>
              <w:ind w:firstLine="462" w:firstLineChars="200"/>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由于本项目属于新建，故本次声环境影响采用预测模式进行评价。项目生产设备噪声和辅助设备噪声为连续噪声。环评采用点声源衰减公式进行预测： </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L=L0-20lgr/r0—△L</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式中：L——预测点噪声值，dB(A)；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L0——距声源距离r。处的噪声值；</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r——预测点与声源间的距离，m；</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r0——噪声值为L。处于声源之间的距离；</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△L——墙体隔音衰减因素，生产车间墙体为轻钢结构，取10dB(A)。</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t xml:space="preserve">    噪声值叠加计算公式：</w:t>
            </w:r>
          </w:p>
          <w:p>
            <w:pPr>
              <w:snapToGrid w:val="0"/>
              <w:spacing w:line="520" w:lineRule="exact"/>
              <w:jc w:val="center"/>
              <w:rPr>
                <w:rFonts w:hint="default" w:ascii="Times New Roman" w:hAnsi="Times New Roman" w:cs="Times New Roman"/>
                <w:color w:val="auto"/>
                <w:sz w:val="24"/>
                <w:u w:val="none" w:color="auto"/>
              </w:rPr>
            </w:pPr>
            <w:r>
              <w:rPr>
                <w:rFonts w:hint="default" w:ascii="Times New Roman" w:hAnsi="Times New Roman" w:cs="Times New Roman"/>
                <w:color w:val="auto"/>
                <w:sz w:val="24"/>
                <w:u w:val="none" w:color="auto"/>
              </w:rPr>
              <w:drawing>
                <wp:anchor distT="0" distB="0" distL="114300" distR="114300" simplePos="0" relativeHeight="3485563904" behindDoc="0" locked="0" layoutInCell="1" allowOverlap="1">
                  <wp:simplePos x="0" y="0"/>
                  <wp:positionH relativeFrom="column">
                    <wp:posOffset>1861185</wp:posOffset>
                  </wp:positionH>
                  <wp:positionV relativeFrom="paragraph">
                    <wp:posOffset>13335</wp:posOffset>
                  </wp:positionV>
                  <wp:extent cx="2114550" cy="619125"/>
                  <wp:effectExtent l="0" t="0" r="0" b="9525"/>
                  <wp:wrapSquare wrapText="bothSides"/>
                  <wp:docPr id="106"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1"/>
                          <pic:cNvPicPr>
                            <a:picLocks noChangeAspect="1"/>
                          </pic:cNvPicPr>
                        </pic:nvPicPr>
                        <pic:blipFill>
                          <a:blip r:embed="rId22"/>
                          <a:stretch>
                            <a:fillRect/>
                          </a:stretch>
                        </pic:blipFill>
                        <pic:spPr>
                          <a:xfrm>
                            <a:off x="0" y="0"/>
                            <a:ext cx="2114550" cy="619125"/>
                          </a:xfrm>
                          <a:prstGeom prst="rect">
                            <a:avLst/>
                          </a:prstGeom>
                          <a:noFill/>
                          <a:ln>
                            <a:noFill/>
                          </a:ln>
                        </pic:spPr>
                      </pic:pic>
                    </a:graphicData>
                  </a:graphic>
                </wp:anchor>
              </w:drawing>
            </w:r>
          </w:p>
          <w:p>
            <w:pPr>
              <w:snapToGrid w:val="0"/>
              <w:spacing w:line="360" w:lineRule="auto"/>
              <w:jc w:val="center"/>
              <w:rPr>
                <w:rFonts w:hint="default" w:ascii="Times New Roman" w:hAnsi="Times New Roman" w:cs="Times New Roman"/>
                <w:b/>
                <w:bCs/>
                <w:color w:val="auto"/>
                <w:sz w:val="24"/>
                <w:u w:val="none" w:color="auto"/>
              </w:rPr>
            </w:pPr>
            <w:r>
              <w:rPr>
                <w:rFonts w:hint="default" w:ascii="Times New Roman" w:hAnsi="Times New Roman" w:cs="Times New Roman"/>
                <w:color w:val="auto"/>
                <w:sz w:val="24"/>
                <w:u w:val="none" w:color="auto"/>
              </w:rPr>
              <w:t>计算得 Lr=83.55 dB（A），设备运转噪声随距离衰减后的值见表7-</w:t>
            </w:r>
            <w:r>
              <w:rPr>
                <w:rFonts w:hint="default" w:ascii="Times New Roman" w:hAnsi="Times New Roman" w:cs="Times New Roman"/>
                <w:color w:val="auto"/>
                <w:sz w:val="24"/>
                <w:u w:val="none" w:color="auto"/>
                <w:lang w:val="en-US" w:eastAsia="zh-CN"/>
              </w:rPr>
              <w:t>1</w:t>
            </w:r>
            <w:r>
              <w:rPr>
                <w:rFonts w:hint="eastAsia" w:cs="Times New Roman"/>
                <w:color w:val="auto"/>
                <w:sz w:val="24"/>
                <w:u w:val="none" w:color="auto"/>
                <w:lang w:val="en-US" w:eastAsia="zh-CN"/>
              </w:rPr>
              <w:t>7</w:t>
            </w:r>
            <w:r>
              <w:rPr>
                <w:rFonts w:hint="default" w:ascii="Times New Roman" w:hAnsi="Times New Roman" w:cs="Times New Roman"/>
                <w:color w:val="auto"/>
                <w:sz w:val="24"/>
                <w:u w:val="none" w:color="auto"/>
              </w:rPr>
              <w:t>。</w:t>
            </w:r>
          </w:p>
          <w:p>
            <w:pPr>
              <w:spacing w:line="360" w:lineRule="auto"/>
              <w:ind w:firstLine="482" w:firstLineChars="200"/>
              <w:rPr>
                <w:rFonts w:hint="eastAsia" w:hAnsi="宋体"/>
                <w:color w:val="auto"/>
                <w:spacing w:val="5"/>
                <w:sz w:val="24"/>
                <w:u w:val="none" w:color="auto"/>
              </w:rPr>
            </w:pPr>
            <w:r>
              <w:rPr>
                <w:rFonts w:hint="eastAsia" w:hAnsi="宋体"/>
                <w:color w:val="auto"/>
                <w:spacing w:val="5"/>
                <w:sz w:val="24"/>
                <w:u w:val="none" w:color="auto"/>
              </w:rPr>
              <w:t>项目高噪声设备所在车间距离东厂界、南厂界、西厂界、北厂界的距离分别约为</w:t>
            </w:r>
            <w:r>
              <w:rPr>
                <w:rFonts w:hint="eastAsia" w:hAnsi="宋体"/>
                <w:color w:val="auto"/>
                <w:spacing w:val="5"/>
                <w:sz w:val="24"/>
                <w:u w:val="none" w:color="auto"/>
                <w:lang w:val="en-US" w:eastAsia="zh-CN"/>
              </w:rPr>
              <w:t>12</w:t>
            </w:r>
            <w:r>
              <w:rPr>
                <w:rFonts w:hint="eastAsia" w:hAnsi="宋体"/>
                <w:color w:val="auto"/>
                <w:spacing w:val="5"/>
                <w:sz w:val="24"/>
                <w:u w:val="none" w:color="auto"/>
              </w:rPr>
              <w:t>m、</w:t>
            </w:r>
            <w:r>
              <w:rPr>
                <w:rFonts w:hint="eastAsia" w:hAnsi="宋体"/>
                <w:color w:val="auto"/>
                <w:spacing w:val="5"/>
                <w:sz w:val="24"/>
                <w:u w:val="none" w:color="auto"/>
                <w:lang w:val="en-US" w:eastAsia="zh-CN"/>
              </w:rPr>
              <w:t>8</w:t>
            </w:r>
            <w:r>
              <w:rPr>
                <w:rFonts w:hint="eastAsia" w:hAnsi="宋体"/>
                <w:color w:val="auto"/>
                <w:spacing w:val="5"/>
                <w:sz w:val="24"/>
                <w:u w:val="none" w:color="auto"/>
              </w:rPr>
              <w:t>m、</w:t>
            </w:r>
            <w:r>
              <w:rPr>
                <w:rFonts w:hint="eastAsia" w:hAnsi="宋体"/>
                <w:color w:val="auto"/>
                <w:spacing w:val="5"/>
                <w:sz w:val="24"/>
                <w:u w:val="none" w:color="auto"/>
                <w:lang w:val="en-US" w:eastAsia="zh-CN"/>
              </w:rPr>
              <w:t>20</w:t>
            </w:r>
            <w:r>
              <w:rPr>
                <w:rFonts w:hint="eastAsia" w:hAnsi="宋体"/>
                <w:color w:val="auto"/>
                <w:spacing w:val="5"/>
                <w:sz w:val="24"/>
                <w:u w:val="none" w:color="auto"/>
              </w:rPr>
              <w:t>m、</w:t>
            </w:r>
            <w:r>
              <w:rPr>
                <w:rFonts w:hint="eastAsia" w:hAnsi="宋体"/>
                <w:color w:val="auto"/>
                <w:spacing w:val="5"/>
                <w:sz w:val="24"/>
                <w:u w:val="none" w:color="auto"/>
                <w:lang w:val="en-US" w:eastAsia="zh-CN"/>
              </w:rPr>
              <w:t>19</w:t>
            </w:r>
            <w:r>
              <w:rPr>
                <w:rFonts w:hint="eastAsia" w:hAnsi="宋体"/>
                <w:color w:val="auto"/>
                <w:spacing w:val="5"/>
                <w:sz w:val="24"/>
                <w:u w:val="none" w:color="auto"/>
              </w:rPr>
              <w:t>m。</w:t>
            </w:r>
          </w:p>
          <w:p>
            <w:pPr>
              <w:spacing w:line="360" w:lineRule="auto"/>
              <w:ind w:firstLine="462" w:firstLineChars="200"/>
              <w:rPr>
                <w:rFonts w:hint="eastAsia" w:hAnsi="宋体"/>
                <w:color w:val="auto"/>
                <w:spacing w:val="5"/>
                <w:sz w:val="24"/>
                <w:u w:val="none" w:color="auto"/>
              </w:rPr>
            </w:pPr>
            <w:r>
              <w:rPr>
                <w:rFonts w:hAnsi="宋体"/>
                <w:color w:val="auto"/>
                <w:sz w:val="24"/>
                <w:u w:val="none" w:color="auto"/>
              </w:rPr>
              <w:t>根据以上预测模式计算，</w:t>
            </w:r>
            <w:r>
              <w:rPr>
                <w:rFonts w:hint="eastAsia" w:hAnsi="宋体"/>
                <w:color w:val="auto"/>
                <w:sz w:val="24"/>
                <w:u w:val="none" w:color="auto"/>
              </w:rPr>
              <w:t>项目各预测点噪声贡献值与现状噪声叠加后噪声见下表。</w:t>
            </w:r>
          </w:p>
          <w:p>
            <w:pPr>
              <w:spacing w:line="360" w:lineRule="auto"/>
              <w:jc w:val="center"/>
              <w:rPr>
                <w:rFonts w:hint="eastAsia" w:hAnsi="宋体"/>
                <w:b/>
                <w:color w:val="auto"/>
                <w:sz w:val="24"/>
                <w:u w:val="none" w:color="auto"/>
              </w:rPr>
            </w:pPr>
            <w:r>
              <w:rPr>
                <w:rFonts w:hint="eastAsia" w:hAnsi="宋体"/>
                <w:b/>
                <w:color w:val="auto"/>
                <w:sz w:val="24"/>
                <w:u w:val="none" w:color="auto"/>
              </w:rPr>
              <w:t>表7-</w:t>
            </w:r>
            <w:r>
              <w:rPr>
                <w:rFonts w:hint="eastAsia" w:hAnsi="宋体"/>
                <w:b/>
                <w:color w:val="auto"/>
                <w:sz w:val="24"/>
                <w:u w:val="none" w:color="auto"/>
                <w:lang w:val="en-US" w:eastAsia="zh-CN"/>
              </w:rPr>
              <w:t>18</w:t>
            </w:r>
            <w:r>
              <w:rPr>
                <w:rFonts w:hint="eastAsia" w:hAnsi="宋体"/>
                <w:b/>
                <w:color w:val="auto"/>
                <w:sz w:val="24"/>
                <w:u w:val="none" w:color="auto"/>
              </w:rPr>
              <w:t xml:space="preserve"> 项目厂界噪声预测值  单位：</w:t>
            </w:r>
            <w:r>
              <w:rPr>
                <w:b/>
                <w:color w:val="auto"/>
                <w:sz w:val="24"/>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p>
          <w:tbl>
            <w:tblPr>
              <w:tblStyle w:val="40"/>
              <w:tblW w:w="91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85"/>
              <w:gridCol w:w="3098"/>
              <w:gridCol w:w="28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3185" w:type="dxa"/>
                  <w:noWrap w:val="0"/>
                  <w:vAlign w:val="center"/>
                </w:tcPr>
                <w:p>
                  <w:pPr>
                    <w:jc w:val="center"/>
                    <w:rPr>
                      <w:rFonts w:hint="eastAsia"/>
                      <w:color w:val="auto"/>
                      <w:szCs w:val="21"/>
                      <w:u w:val="none" w:color="auto"/>
                    </w:rPr>
                  </w:pPr>
                  <w:r>
                    <w:rPr>
                      <w:rFonts w:hint="eastAsia" w:hAnsi="宋体"/>
                      <w:color w:val="auto"/>
                      <w:szCs w:val="21"/>
                      <w:u w:val="none" w:color="auto"/>
                    </w:rPr>
                    <w:t>关心点</w:t>
                  </w:r>
                </w:p>
              </w:tc>
              <w:tc>
                <w:tcPr>
                  <w:tcW w:w="3098" w:type="dxa"/>
                  <w:noWrap w:val="0"/>
                  <w:vAlign w:val="center"/>
                </w:tcPr>
                <w:p>
                  <w:pPr>
                    <w:jc w:val="center"/>
                    <w:rPr>
                      <w:color w:val="auto"/>
                      <w:szCs w:val="21"/>
                      <w:u w:val="none" w:color="auto"/>
                    </w:rPr>
                  </w:pPr>
                  <w:r>
                    <w:rPr>
                      <w:rFonts w:hAnsi="宋体"/>
                      <w:color w:val="auto"/>
                      <w:szCs w:val="21"/>
                      <w:u w:val="none" w:color="auto"/>
                    </w:rPr>
                    <w:t>贡献值</w:t>
                  </w:r>
                </w:p>
              </w:tc>
              <w:tc>
                <w:tcPr>
                  <w:tcW w:w="2839" w:type="dxa"/>
                  <w:noWrap w:val="0"/>
                  <w:vAlign w:val="center"/>
                </w:tcPr>
                <w:p>
                  <w:pPr>
                    <w:jc w:val="center"/>
                    <w:rPr>
                      <w:color w:val="auto"/>
                      <w:szCs w:val="21"/>
                      <w:u w:val="none" w:color="auto"/>
                    </w:rPr>
                  </w:pPr>
                  <w:r>
                    <w:rPr>
                      <w:rFonts w:hAnsi="宋体"/>
                      <w:color w:val="auto"/>
                      <w:szCs w:val="21"/>
                      <w:u w:val="none" w:color="auto"/>
                    </w:rPr>
                    <w:t>达标情况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3185" w:type="dxa"/>
                  <w:noWrap w:val="0"/>
                  <w:vAlign w:val="center"/>
                </w:tcPr>
                <w:p>
                  <w:pPr>
                    <w:jc w:val="center"/>
                    <w:rPr>
                      <w:color w:val="auto"/>
                      <w:szCs w:val="21"/>
                      <w:u w:val="none" w:color="auto"/>
                    </w:rPr>
                  </w:pPr>
                  <w:r>
                    <w:rPr>
                      <w:rFonts w:hAnsi="宋体"/>
                      <w:color w:val="auto"/>
                      <w:szCs w:val="21"/>
                      <w:u w:val="none" w:color="auto"/>
                    </w:rPr>
                    <w:t>项目东厂界</w:t>
                  </w:r>
                </w:p>
              </w:tc>
              <w:tc>
                <w:tcPr>
                  <w:tcW w:w="3098"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51</w:t>
                  </w:r>
                </w:p>
              </w:tc>
              <w:tc>
                <w:tcPr>
                  <w:tcW w:w="2839" w:type="dxa"/>
                  <w:noWrap w:val="0"/>
                  <w:vAlign w:val="center"/>
                </w:tcPr>
                <w:p>
                  <w:pPr>
                    <w:jc w:val="center"/>
                    <w:rPr>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3185" w:type="dxa"/>
                  <w:noWrap w:val="0"/>
                  <w:vAlign w:val="center"/>
                </w:tcPr>
                <w:p>
                  <w:pPr>
                    <w:jc w:val="center"/>
                    <w:rPr>
                      <w:rFonts w:hint="eastAsia"/>
                      <w:color w:val="auto"/>
                      <w:szCs w:val="21"/>
                      <w:u w:val="none" w:color="auto"/>
                    </w:rPr>
                  </w:pPr>
                  <w:r>
                    <w:rPr>
                      <w:rFonts w:hAnsi="宋体"/>
                      <w:color w:val="auto"/>
                      <w:szCs w:val="21"/>
                      <w:u w:val="none" w:color="auto"/>
                    </w:rPr>
                    <w:t>项目南厂界</w:t>
                  </w:r>
                </w:p>
              </w:tc>
              <w:tc>
                <w:tcPr>
                  <w:tcW w:w="3098"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57</w:t>
                  </w:r>
                </w:p>
              </w:tc>
              <w:tc>
                <w:tcPr>
                  <w:tcW w:w="2839" w:type="dxa"/>
                  <w:noWrap w:val="0"/>
                  <w:vAlign w:val="center"/>
                </w:tcPr>
                <w:p>
                  <w:pPr>
                    <w:jc w:val="center"/>
                    <w:rPr>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3185" w:type="dxa"/>
                  <w:noWrap w:val="0"/>
                  <w:vAlign w:val="center"/>
                </w:tcPr>
                <w:p>
                  <w:pPr>
                    <w:jc w:val="center"/>
                    <w:rPr>
                      <w:color w:val="auto"/>
                      <w:szCs w:val="21"/>
                      <w:u w:val="none" w:color="auto"/>
                    </w:rPr>
                  </w:pPr>
                  <w:r>
                    <w:rPr>
                      <w:rFonts w:hAnsi="宋体"/>
                      <w:color w:val="auto"/>
                      <w:szCs w:val="21"/>
                      <w:u w:val="none" w:color="auto"/>
                    </w:rPr>
                    <w:t>项目西厂界</w:t>
                  </w:r>
                </w:p>
              </w:tc>
              <w:tc>
                <w:tcPr>
                  <w:tcW w:w="3098" w:type="dxa"/>
                  <w:noWrap w:val="0"/>
                  <w:vAlign w:val="center"/>
                </w:tcPr>
                <w:p>
                  <w:pPr>
                    <w:jc w:val="center"/>
                    <w:rPr>
                      <w:rFonts w:hint="default" w:eastAsia="宋体"/>
                      <w:color w:val="auto"/>
                      <w:szCs w:val="21"/>
                      <w:u w:val="none" w:color="auto"/>
                      <w:lang w:val="en-US" w:eastAsia="zh-CN"/>
                    </w:rPr>
                  </w:pPr>
                  <w:r>
                    <w:rPr>
                      <w:rFonts w:hint="eastAsia"/>
                      <w:color w:val="auto"/>
                      <w:szCs w:val="21"/>
                      <w:u w:val="none" w:color="auto"/>
                      <w:lang w:val="en-US" w:eastAsia="zh-CN"/>
                    </w:rPr>
                    <w:t>58</w:t>
                  </w:r>
                </w:p>
              </w:tc>
              <w:tc>
                <w:tcPr>
                  <w:tcW w:w="2839" w:type="dxa"/>
                  <w:noWrap w:val="0"/>
                  <w:vAlign w:val="center"/>
                </w:tcPr>
                <w:p>
                  <w:pPr>
                    <w:jc w:val="center"/>
                    <w:rPr>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7" w:hRule="atLeast"/>
                <w:jc w:val="center"/>
              </w:trPr>
              <w:tc>
                <w:tcPr>
                  <w:tcW w:w="3185" w:type="dxa"/>
                  <w:noWrap w:val="0"/>
                  <w:vAlign w:val="center"/>
                </w:tcPr>
                <w:p>
                  <w:pPr>
                    <w:jc w:val="center"/>
                    <w:rPr>
                      <w:color w:val="auto"/>
                      <w:szCs w:val="21"/>
                      <w:u w:val="none" w:color="auto"/>
                    </w:rPr>
                  </w:pPr>
                  <w:r>
                    <w:rPr>
                      <w:rFonts w:hAnsi="宋体"/>
                      <w:color w:val="auto"/>
                      <w:szCs w:val="21"/>
                      <w:u w:val="none" w:color="auto"/>
                    </w:rPr>
                    <w:t>项目北厂界</w:t>
                  </w:r>
                </w:p>
              </w:tc>
              <w:tc>
                <w:tcPr>
                  <w:tcW w:w="3098" w:type="dxa"/>
                  <w:noWrap w:val="0"/>
                  <w:vAlign w:val="center"/>
                </w:tcPr>
                <w:p>
                  <w:pPr>
                    <w:jc w:val="center"/>
                    <w:rPr>
                      <w:rFonts w:hint="eastAsia"/>
                      <w:color w:val="auto"/>
                      <w:szCs w:val="21"/>
                      <w:u w:val="none" w:color="auto"/>
                    </w:rPr>
                  </w:pPr>
                  <w:r>
                    <w:rPr>
                      <w:rFonts w:hint="eastAsia"/>
                      <w:color w:val="auto"/>
                      <w:szCs w:val="21"/>
                      <w:u w:val="none" w:color="auto"/>
                    </w:rPr>
                    <w:t>52</w:t>
                  </w:r>
                </w:p>
              </w:tc>
              <w:tc>
                <w:tcPr>
                  <w:tcW w:w="2839" w:type="dxa"/>
                  <w:noWrap w:val="0"/>
                  <w:vAlign w:val="center"/>
                </w:tcPr>
                <w:p>
                  <w:pPr>
                    <w:jc w:val="center"/>
                    <w:rPr>
                      <w:color w:val="auto"/>
                      <w:szCs w:val="21"/>
                      <w:u w:val="none" w:color="auto"/>
                    </w:rPr>
                  </w:pPr>
                  <w:r>
                    <w:rPr>
                      <w:rFonts w:hAnsi="宋体"/>
                      <w:color w:val="auto"/>
                      <w:szCs w:val="21"/>
                      <w:u w:val="none" w:color="auto"/>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4" w:hRule="atLeast"/>
                <w:jc w:val="center"/>
              </w:trPr>
              <w:tc>
                <w:tcPr>
                  <w:tcW w:w="3185" w:type="dxa"/>
                  <w:noWrap w:val="0"/>
                  <w:vAlign w:val="center"/>
                </w:tcPr>
                <w:p>
                  <w:pPr>
                    <w:jc w:val="center"/>
                    <w:rPr>
                      <w:color w:val="auto"/>
                      <w:szCs w:val="21"/>
                      <w:u w:val="none" w:color="auto"/>
                    </w:rPr>
                  </w:pPr>
                  <w:r>
                    <w:rPr>
                      <w:rFonts w:hAnsi="宋体"/>
                      <w:color w:val="auto"/>
                      <w:szCs w:val="21"/>
                      <w:u w:val="none" w:color="auto"/>
                    </w:rPr>
                    <w:t>评价标准（</w:t>
                  </w:r>
                  <w:r>
                    <w:rPr>
                      <w:rFonts w:hint="eastAsia"/>
                      <w:color w:val="auto"/>
                      <w:szCs w:val="21"/>
                      <w:u w:val="none" w:color="auto"/>
                    </w:rPr>
                    <w:t>3</w:t>
                  </w:r>
                  <w:r>
                    <w:rPr>
                      <w:rFonts w:hint="eastAsia"/>
                      <w:color w:val="auto"/>
                      <w:szCs w:val="21"/>
                      <w:u w:val="none" w:color="auto"/>
                      <w:lang w:eastAsia="zh-CN"/>
                    </w:rPr>
                    <w:t>、</w:t>
                  </w:r>
                  <w:r>
                    <w:rPr>
                      <w:rFonts w:hint="eastAsia"/>
                      <w:color w:val="auto"/>
                      <w:szCs w:val="21"/>
                      <w:u w:val="none" w:color="auto"/>
                      <w:lang w:val="en-US" w:eastAsia="zh-CN"/>
                    </w:rPr>
                    <w:t>4</w:t>
                  </w:r>
                  <w:r>
                    <w:rPr>
                      <w:rFonts w:hAnsi="宋体"/>
                      <w:color w:val="auto"/>
                      <w:szCs w:val="21"/>
                      <w:u w:val="none" w:color="auto"/>
                    </w:rPr>
                    <w:t>类）</w:t>
                  </w:r>
                </w:p>
              </w:tc>
              <w:tc>
                <w:tcPr>
                  <w:tcW w:w="5937" w:type="dxa"/>
                  <w:gridSpan w:val="2"/>
                  <w:noWrap w:val="0"/>
                  <w:vAlign w:val="center"/>
                </w:tcPr>
                <w:p>
                  <w:pPr>
                    <w:jc w:val="center"/>
                    <w:rPr>
                      <w:color w:val="auto"/>
                      <w:szCs w:val="21"/>
                      <w:u w:val="none" w:color="auto"/>
                    </w:rPr>
                  </w:pPr>
                  <w:r>
                    <w:rPr>
                      <w:rFonts w:hint="eastAsia" w:hAnsi="宋体"/>
                      <w:color w:val="auto"/>
                      <w:szCs w:val="21"/>
                      <w:u w:val="none" w:color="auto"/>
                      <w:lang w:val="en-US" w:eastAsia="zh-CN"/>
                    </w:rPr>
                    <w:t>3类：</w:t>
                  </w:r>
                  <w:r>
                    <w:rPr>
                      <w:rFonts w:hAnsi="宋体"/>
                      <w:color w:val="auto"/>
                      <w:szCs w:val="21"/>
                      <w:u w:val="none" w:color="auto"/>
                    </w:rPr>
                    <w:t>昼间</w:t>
                  </w:r>
                  <w:r>
                    <w:rPr>
                      <w:rFonts w:hint="eastAsia"/>
                      <w:color w:val="auto"/>
                      <w:szCs w:val="21"/>
                      <w:u w:val="none" w:color="auto"/>
                    </w:rPr>
                    <w:t>65</w:t>
                  </w:r>
                  <w:r>
                    <w:rPr>
                      <w:color w:val="auto"/>
                      <w:szCs w:val="21"/>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r>
                    <w:rPr>
                      <w:rFonts w:hAnsi="宋体"/>
                      <w:color w:val="auto"/>
                      <w:szCs w:val="21"/>
                      <w:u w:val="none" w:color="auto"/>
                    </w:rPr>
                    <w:t>；夜间</w:t>
                  </w:r>
                  <w:r>
                    <w:rPr>
                      <w:rFonts w:hint="eastAsia"/>
                      <w:color w:val="auto"/>
                      <w:szCs w:val="21"/>
                      <w:u w:val="none" w:color="auto"/>
                    </w:rPr>
                    <w:t>55</w:t>
                  </w:r>
                  <w:r>
                    <w:rPr>
                      <w:color w:val="auto"/>
                      <w:szCs w:val="21"/>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r>
                    <w:rPr>
                      <w:rFonts w:hint="eastAsia" w:hAnsi="宋体"/>
                      <w:color w:val="auto"/>
                      <w:szCs w:val="21"/>
                      <w:u w:val="none" w:color="auto"/>
                    </w:rPr>
                    <w:br w:type="textWrapping"/>
                  </w:r>
                  <w:r>
                    <w:rPr>
                      <w:rFonts w:hint="eastAsia" w:hAnsi="宋体"/>
                      <w:color w:val="auto"/>
                      <w:szCs w:val="21"/>
                      <w:u w:val="none" w:color="auto"/>
                      <w:lang w:val="en-US" w:eastAsia="zh-CN"/>
                    </w:rPr>
                    <w:t>4类：</w:t>
                  </w:r>
                  <w:r>
                    <w:rPr>
                      <w:rFonts w:hAnsi="宋体"/>
                      <w:color w:val="auto"/>
                      <w:szCs w:val="21"/>
                      <w:u w:val="none" w:color="auto"/>
                    </w:rPr>
                    <w:t>昼</w:t>
                  </w:r>
                  <w:r>
                    <w:rPr>
                      <w:rFonts w:hint="eastAsia" w:hAnsi="宋体"/>
                      <w:color w:val="auto"/>
                      <w:szCs w:val="21"/>
                      <w:u w:val="none" w:color="auto"/>
                      <w:lang w:val="en-US" w:eastAsia="zh-CN"/>
                    </w:rPr>
                    <w:t>70</w:t>
                  </w:r>
                  <w:r>
                    <w:rPr>
                      <w:color w:val="auto"/>
                      <w:szCs w:val="21"/>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r>
                    <w:rPr>
                      <w:rFonts w:hAnsi="宋体"/>
                      <w:color w:val="auto"/>
                      <w:szCs w:val="21"/>
                      <w:u w:val="none" w:color="auto"/>
                    </w:rPr>
                    <w:t>；夜间</w:t>
                  </w:r>
                  <w:r>
                    <w:rPr>
                      <w:rFonts w:hint="eastAsia"/>
                      <w:color w:val="auto"/>
                      <w:szCs w:val="21"/>
                      <w:u w:val="none" w:color="auto"/>
                    </w:rPr>
                    <w:t>55</w:t>
                  </w:r>
                  <w:r>
                    <w:rPr>
                      <w:color w:val="auto"/>
                      <w:szCs w:val="21"/>
                      <w:u w:val="none" w:color="auto"/>
                    </w:rPr>
                    <w:t>dB</w:t>
                  </w:r>
                  <w:r>
                    <w:rPr>
                      <w:rFonts w:hint="eastAsia" w:hAnsi="宋体"/>
                      <w:color w:val="auto"/>
                      <w:szCs w:val="21"/>
                      <w:u w:val="none" w:color="auto"/>
                    </w:rPr>
                    <w:t>(</w:t>
                  </w:r>
                  <w:r>
                    <w:rPr>
                      <w:color w:val="auto"/>
                      <w:szCs w:val="21"/>
                      <w:u w:val="none" w:color="auto"/>
                    </w:rPr>
                    <w:t>A</w:t>
                  </w:r>
                  <w:r>
                    <w:rPr>
                      <w:rFonts w:hint="eastAsia" w:hAnsi="宋体"/>
                      <w:color w:val="auto"/>
                      <w:szCs w:val="21"/>
                      <w:u w:val="none" w:color="auto"/>
                    </w:rPr>
                    <w:t>)</w:t>
                  </w:r>
                  <w:r>
                    <w:rPr>
                      <w:rFonts w:hAnsi="宋体"/>
                      <w:color w:val="auto"/>
                      <w:szCs w:val="21"/>
                      <w:u w:val="none" w:color="auto"/>
                    </w:rPr>
                    <w:t>（夜间不生产，无影响）</w:t>
                  </w:r>
                </w:p>
              </w:tc>
            </w:tr>
          </w:tbl>
          <w:p>
            <w:pPr>
              <w:snapToGrid w:val="0"/>
              <w:spacing w:line="520" w:lineRule="exact"/>
              <w:ind w:firstLine="462" w:firstLineChars="200"/>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color w:val="auto"/>
                <w:sz w:val="24"/>
                <w:szCs w:val="24"/>
                <w:u w:val="none" w:color="auto"/>
              </w:rPr>
              <w:t>预测计算</w:t>
            </w:r>
            <w:r>
              <w:rPr>
                <w:rFonts w:hint="default" w:ascii="Times New Roman" w:hAnsi="Times New Roman" w:eastAsia="宋体" w:cs="Times New Roman"/>
                <w:color w:val="auto"/>
                <w:sz w:val="24"/>
                <w:szCs w:val="24"/>
                <w:u w:val="none" w:color="auto"/>
                <w:lang w:eastAsia="zh-CN"/>
              </w:rPr>
              <w:t>根据预测结果，厂界噪声贡献值满足</w:t>
            </w:r>
            <w:r>
              <w:rPr>
                <w:rFonts w:hint="eastAsia" w:cs="Times New Roman"/>
                <w:color w:val="auto"/>
                <w:sz w:val="24"/>
                <w:szCs w:val="24"/>
                <w:u w:val="none" w:color="auto"/>
                <w:lang w:eastAsia="zh-CN"/>
              </w:rPr>
              <w:t>《工业企业厂界环境噪声排放标准》（</w:t>
            </w:r>
            <w:r>
              <w:rPr>
                <w:rFonts w:hint="default" w:ascii="Times New Roman" w:hAnsi="Times New Roman" w:eastAsia="宋体" w:cs="Times New Roman"/>
                <w:color w:val="auto"/>
                <w:sz w:val="24"/>
                <w:szCs w:val="24"/>
                <w:u w:val="none" w:color="auto"/>
              </w:rPr>
              <w:t>GB12348-2008</w:t>
            </w:r>
            <w:r>
              <w:rPr>
                <w:rFonts w:hint="eastAsia" w:cs="Times New Roman"/>
                <w:color w:val="auto"/>
                <w:sz w:val="24"/>
                <w:szCs w:val="24"/>
                <w:u w:val="none" w:color="auto"/>
                <w:lang w:eastAsia="zh-CN"/>
              </w:rPr>
              <w:t>）</w:t>
            </w:r>
            <w:r>
              <w:rPr>
                <w:rFonts w:hint="default" w:ascii="Times New Roman" w:hAnsi="Times New Roman" w:eastAsia="宋体" w:cs="Times New Roman"/>
                <w:color w:val="auto"/>
                <w:sz w:val="24"/>
                <w:szCs w:val="24"/>
                <w:u w:val="none" w:color="auto"/>
              </w:rPr>
              <w:t>中的</w:t>
            </w:r>
            <w:r>
              <w:rPr>
                <w:rFonts w:hint="eastAsia" w:cs="Times New Roman"/>
                <w:color w:val="auto"/>
                <w:sz w:val="24"/>
                <w:szCs w:val="24"/>
                <w:u w:val="none" w:color="auto"/>
                <w:lang w:val="en-US" w:eastAsia="zh-CN"/>
              </w:rPr>
              <w:t>3、4</w:t>
            </w:r>
            <w:r>
              <w:rPr>
                <w:rFonts w:hint="default" w:ascii="Times New Roman" w:hAnsi="Times New Roman" w:eastAsia="宋体" w:cs="Times New Roman"/>
                <w:color w:val="auto"/>
                <w:sz w:val="24"/>
                <w:szCs w:val="24"/>
                <w:u w:val="none" w:color="auto"/>
              </w:rPr>
              <w:t>类标准要求</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因此本项目建成后对厂界噪声贡献值较小</w:t>
            </w:r>
            <w:r>
              <w:rPr>
                <w:rFonts w:hint="eastAsia" w:cs="Times New Roman"/>
                <w:color w:val="auto"/>
                <w:sz w:val="24"/>
                <w:szCs w:val="24"/>
                <w:u w:val="none" w:color="auto"/>
                <w:lang w:eastAsia="zh-CN"/>
              </w:rPr>
              <w:t>。</w:t>
            </w:r>
          </w:p>
          <w:p>
            <w:pPr>
              <w:spacing w:line="360" w:lineRule="auto"/>
              <w:ind w:firstLine="478"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pacing w:val="4"/>
                <w:sz w:val="24"/>
                <w:u w:val="none" w:color="auto"/>
              </w:rPr>
              <w:t>为最大程度减轻噪声对外环境的影响，建议建设单位采取如下噪声防治措施：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①设备选型时，在综合考虑性价比的基础上，购买的设备选用低噪声高性能的产品，从声源上降低设备本身噪声，同时在设备上安装减振设施；</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②合理布局，主要产噪设备均布置在厂房及厂房内单独设备间内，利用厂房及隔音设施进行隔声；</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③加强设备的维护，安排专人负责设备的日常维护和保养，确保设备处于良好的运转状态，杜绝因</w:t>
            </w:r>
            <w:r>
              <w:rPr>
                <w:rFonts w:hint="default" w:ascii="Times New Roman" w:hAnsi="Times New Roman" w:cs="Times New Roman"/>
                <w:color w:val="auto"/>
                <w:sz w:val="24"/>
                <w:szCs w:val="24"/>
                <w:u w:val="none" w:color="auto"/>
                <w:lang w:eastAsia="zh-CN"/>
              </w:rPr>
              <w:t>设备</w:t>
            </w:r>
            <w:r>
              <w:rPr>
                <w:rFonts w:hint="default" w:ascii="Times New Roman" w:hAnsi="Times New Roman" w:cs="Times New Roman"/>
                <w:color w:val="auto"/>
                <w:sz w:val="24"/>
                <w:szCs w:val="24"/>
                <w:u w:val="none" w:color="auto"/>
              </w:rPr>
              <w:t>不正常运转时产生的高噪声现象；</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综上，在采取相应降噪措施后，对厂界外声环境产生的影响极小。</w:t>
            </w:r>
          </w:p>
          <w:p>
            <w:pPr>
              <w:adjustRightInd w:val="0"/>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4、固体废物影响分析</w:t>
            </w:r>
          </w:p>
          <w:p>
            <w:pPr>
              <w:pStyle w:val="34"/>
              <w:spacing w:line="360" w:lineRule="auto"/>
              <w:ind w:left="0" w:leftChars="0" w:firstLine="462" w:firstLineChars="200"/>
              <w:rPr>
                <w:rFonts w:ascii="宋体" w:hAnsi="宋体"/>
                <w:color w:val="auto"/>
                <w:sz w:val="24"/>
                <w:szCs w:val="32"/>
                <w:u w:val="none" w:color="auto"/>
              </w:rPr>
            </w:pPr>
            <w:r>
              <w:rPr>
                <w:rFonts w:hint="eastAsia" w:ascii="宋体" w:hAnsi="宋体"/>
                <w:color w:val="auto"/>
                <w:sz w:val="24"/>
                <w:szCs w:val="32"/>
                <w:u w:val="none" w:color="auto"/>
              </w:rPr>
              <w:t>本项目产生的固体废物有</w:t>
            </w:r>
            <w:r>
              <w:rPr>
                <w:rFonts w:hint="eastAsia" w:ascii="宋体" w:hAnsi="宋体"/>
                <w:color w:val="auto"/>
                <w:sz w:val="24"/>
                <w:szCs w:val="32"/>
                <w:u w:val="none" w:color="auto"/>
                <w:lang w:eastAsia="zh-CN"/>
              </w:rPr>
              <w:t>废金属边角料</w:t>
            </w:r>
            <w:r>
              <w:rPr>
                <w:rFonts w:hint="eastAsia" w:ascii="宋体" w:hAnsi="宋体"/>
                <w:color w:val="auto"/>
                <w:sz w:val="24"/>
                <w:szCs w:val="32"/>
                <w:u w:val="none" w:color="auto"/>
              </w:rPr>
              <w:t>、废</w:t>
            </w:r>
            <w:r>
              <w:rPr>
                <w:rFonts w:hint="eastAsia" w:ascii="宋体" w:hAnsi="宋体"/>
                <w:color w:val="auto"/>
                <w:sz w:val="24"/>
                <w:szCs w:val="32"/>
                <w:u w:val="none" w:color="auto"/>
                <w:lang w:eastAsia="zh-CN"/>
              </w:rPr>
              <w:t>水性</w:t>
            </w:r>
            <w:r>
              <w:rPr>
                <w:rFonts w:hint="eastAsia" w:ascii="宋体" w:hAnsi="宋体"/>
                <w:color w:val="auto"/>
                <w:sz w:val="24"/>
                <w:szCs w:val="32"/>
                <w:u w:val="none" w:color="auto"/>
              </w:rPr>
              <w:t>漆</w:t>
            </w:r>
            <w:r>
              <w:rPr>
                <w:rFonts w:hint="eastAsia" w:ascii="宋体" w:hAnsi="宋体"/>
                <w:color w:val="auto"/>
                <w:sz w:val="24"/>
                <w:szCs w:val="32"/>
                <w:u w:val="none" w:color="auto"/>
                <w:lang w:eastAsia="zh-CN"/>
              </w:rPr>
              <w:t>包装物</w:t>
            </w:r>
            <w:r>
              <w:rPr>
                <w:rFonts w:hint="eastAsia" w:ascii="宋体" w:hAnsi="宋体"/>
                <w:color w:val="auto"/>
                <w:sz w:val="24"/>
                <w:szCs w:val="32"/>
                <w:u w:val="none" w:color="auto"/>
              </w:rPr>
              <w:t>、漆渣、生活垃圾</w:t>
            </w:r>
            <w:r>
              <w:rPr>
                <w:rFonts w:hint="eastAsia" w:ascii="宋体" w:hAnsi="宋体"/>
                <w:color w:val="auto"/>
                <w:sz w:val="24"/>
                <w:szCs w:val="32"/>
                <w:u w:val="none" w:color="auto"/>
                <w:lang w:eastAsia="zh-CN"/>
              </w:rPr>
              <w:t>、喷塑过程中收集的粉尘、废灯管、含油抹布、废活性炭、废油漆桶</w:t>
            </w:r>
            <w:r>
              <w:rPr>
                <w:rFonts w:hint="eastAsia" w:ascii="宋体" w:hAnsi="宋体"/>
                <w:color w:val="auto"/>
                <w:sz w:val="24"/>
                <w:szCs w:val="32"/>
                <w:u w:val="none" w:color="auto"/>
              </w:rPr>
              <w:t>等。</w:t>
            </w:r>
          </w:p>
          <w:p>
            <w:pPr>
              <w:pStyle w:val="34"/>
              <w:spacing w:line="360" w:lineRule="auto"/>
              <w:ind w:left="0" w:leftChars="0" w:firstLine="462" w:firstLineChars="200"/>
              <w:jc w:val="left"/>
              <w:rPr>
                <w:rFonts w:hint="eastAsia" w:cs="Times New Roman"/>
                <w:color w:val="auto"/>
                <w:sz w:val="24"/>
                <w:highlight w:val="none"/>
                <w:u w:val="none" w:color="auto"/>
                <w:lang w:eastAsia="zh-CN"/>
              </w:rPr>
            </w:pPr>
            <w:r>
              <w:rPr>
                <w:rFonts w:hint="eastAsia" w:cs="Times New Roman"/>
                <w:color w:val="auto"/>
                <w:sz w:val="24"/>
                <w:szCs w:val="32"/>
                <w:u w:val="none" w:color="auto"/>
                <w:lang w:eastAsia="zh-CN"/>
              </w:rPr>
              <w:t>本项目在生产加工过程中会产生少量边角料</w:t>
            </w:r>
            <w:r>
              <w:rPr>
                <w:rFonts w:hint="default" w:ascii="Times New Roman" w:hAnsi="Times New Roman" w:cs="Times New Roman"/>
                <w:color w:val="auto"/>
                <w:sz w:val="24"/>
                <w:szCs w:val="32"/>
                <w:u w:val="none" w:color="auto"/>
              </w:rPr>
              <w:t>，</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物资回收公司回收利用</w:t>
            </w:r>
            <w:r>
              <w:rPr>
                <w:rFonts w:hint="default" w:ascii="Times New Roman" w:hAnsi="Times New Roman" w:cs="Times New Roman"/>
                <w:color w:val="auto"/>
                <w:sz w:val="24"/>
                <w:u w:val="none" w:color="auto"/>
              </w:rPr>
              <w:t>。</w:t>
            </w:r>
            <w:r>
              <w:rPr>
                <w:rFonts w:hint="default" w:ascii="Times New Roman" w:hAnsi="Times New Roman" w:cs="Times New Roman"/>
                <w:color w:val="auto"/>
                <w:sz w:val="24"/>
                <w:szCs w:val="24"/>
                <w:u w:val="none" w:color="auto"/>
              </w:rPr>
              <w:t>生活垃圾集中收集后交环卫部门统一清运处理。</w:t>
            </w:r>
            <w:r>
              <w:rPr>
                <w:rFonts w:hint="default" w:ascii="Times New Roman" w:hAnsi="Times New Roman" w:cs="Times New Roman"/>
                <w:color w:val="auto"/>
                <w:sz w:val="24"/>
                <w:u w:val="none" w:color="auto"/>
                <w:lang w:eastAsia="zh-CN"/>
              </w:rPr>
              <w:t>本项目</w:t>
            </w:r>
            <w:r>
              <w:rPr>
                <w:rFonts w:hint="eastAsia" w:cs="Times New Roman"/>
                <w:color w:val="auto"/>
                <w:sz w:val="24"/>
                <w:u w:val="none" w:color="auto"/>
                <w:lang w:eastAsia="zh-CN"/>
              </w:rPr>
              <w:t>在喷塑过程中收集的粉尘</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回用于生产</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szCs w:val="24"/>
                <w:u w:val="none" w:color="auto"/>
                <w:lang w:eastAsia="zh-CN"/>
              </w:rPr>
              <w:t>根据《国家危险废物名录》中判定</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包装物不属于危险废物，为一般固废，</w:t>
            </w:r>
            <w:r>
              <w:rPr>
                <w:rFonts w:hint="eastAsia"/>
                <w:color w:val="auto"/>
                <w:sz w:val="24"/>
                <w:szCs w:val="24"/>
                <w:u w:val="none" w:color="auto"/>
                <w:lang w:val="en-US" w:eastAsia="zh-CN"/>
              </w:rPr>
              <w:t>均收集后交由环卫部门进行处理</w:t>
            </w:r>
            <w:r>
              <w:rPr>
                <w:rFonts w:hint="eastAsia" w:cs="Times New Roman"/>
                <w:color w:val="auto"/>
                <w:sz w:val="24"/>
                <w:highlight w:val="none"/>
                <w:u w:val="none" w:color="auto"/>
                <w:lang w:eastAsia="zh-CN"/>
              </w:rPr>
              <w:t>。</w:t>
            </w:r>
            <w:r>
              <w:rPr>
                <w:rFonts w:hint="eastAsia" w:hAnsi="宋体" w:eastAsia="宋体" w:cs="Times New Roman"/>
                <w:color w:val="auto"/>
                <w:kern w:val="2"/>
                <w:sz w:val="24"/>
                <w:szCs w:val="22"/>
                <w:u w:val="none" w:color="auto"/>
                <w:lang w:val="en-US" w:eastAsia="zh-CN" w:bidi="ar-SA"/>
              </w:rPr>
              <w:t>项目生产过程中经移动式烟尘净化器收集的粉尘</w:t>
            </w:r>
            <w:r>
              <w:rPr>
                <w:rFonts w:hint="eastAsia" w:hAnsi="宋体" w:cs="Times New Roman"/>
                <w:color w:val="auto"/>
                <w:kern w:val="2"/>
                <w:sz w:val="24"/>
                <w:szCs w:val="22"/>
                <w:u w:val="none" w:color="auto"/>
                <w:lang w:val="en-US" w:eastAsia="zh-CN" w:bidi="ar-SA"/>
              </w:rPr>
              <w:t>，</w:t>
            </w:r>
            <w:r>
              <w:rPr>
                <w:rFonts w:hint="eastAsia" w:ascii="Times New Roman" w:hAnsi="宋体" w:eastAsia="宋体" w:cs="Times New Roman"/>
                <w:color w:val="auto"/>
                <w:kern w:val="2"/>
                <w:sz w:val="24"/>
                <w:szCs w:val="22"/>
                <w:u w:val="none" w:color="auto"/>
                <w:lang w:val="en-US" w:eastAsia="zh-CN" w:bidi="ar-SA"/>
              </w:rPr>
              <w:t>收集后</w:t>
            </w:r>
            <w:r>
              <w:rPr>
                <w:rFonts w:hint="eastAsia" w:hAnsi="宋体" w:cs="Times New Roman"/>
                <w:color w:val="auto"/>
                <w:kern w:val="2"/>
                <w:sz w:val="24"/>
                <w:szCs w:val="22"/>
                <w:u w:val="none" w:color="auto"/>
                <w:lang w:val="en-US" w:eastAsia="zh-CN" w:bidi="ar-SA"/>
              </w:rPr>
              <w:t>交由环卫部门进行处理。</w:t>
            </w:r>
          </w:p>
          <w:p>
            <w:pPr>
              <w:spacing w:line="360" w:lineRule="auto"/>
              <w:ind w:firstLine="462" w:firstLineChars="200"/>
              <w:jc w:val="left"/>
              <w:rPr>
                <w:rFonts w:hint="default" w:ascii="Times New Roman" w:hAnsi="Times New Roman" w:cs="Times New Roman"/>
                <w:color w:val="auto"/>
                <w:sz w:val="24"/>
                <w:szCs w:val="24"/>
                <w:u w:val="none" w:color="auto"/>
              </w:rPr>
            </w:pPr>
            <w:r>
              <w:rPr>
                <w:rFonts w:hint="eastAsia" w:hAnsi="宋体"/>
                <w:color w:val="auto"/>
                <w:sz w:val="24"/>
                <w:u w:val="none" w:color="auto"/>
                <w:lang w:eastAsia="zh-CN"/>
              </w:rPr>
              <w:t>项目生产过程中产生的危险废物主要为</w:t>
            </w:r>
            <w:r>
              <w:rPr>
                <w:rFonts w:hint="eastAsia" w:ascii="宋体" w:hAnsi="宋体"/>
                <w:color w:val="auto"/>
                <w:sz w:val="24"/>
                <w:szCs w:val="32"/>
                <w:u w:val="none" w:color="auto"/>
                <w:lang w:eastAsia="zh-CN"/>
              </w:rPr>
              <w:t>漆渣、含油抹布手套、废活性炭</w:t>
            </w:r>
            <w:r>
              <w:rPr>
                <w:rFonts w:hint="eastAsia" w:hAnsi="宋体"/>
                <w:color w:val="auto"/>
                <w:sz w:val="24"/>
                <w:u w:val="none" w:color="auto"/>
                <w:lang w:val="en-US" w:eastAsia="zh-CN"/>
              </w:rPr>
              <w:t>，需收集于危险废物储存间，再交由有资质单位进行处理</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固体废物在外售前，分类放入仓库暂存，避免下雨冲刷，污染环境，并做好防渗措施，避免因雨水淋溶而污染区域地表水和地下水。</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一般固体废物暂存库建设要求：（1）为防止雨水径流进入暂存场地，场地周边应设置导流渠和集水池；（2）为加强监督管理，暂存场地应按环境《保护图形标志--固体废物贮存(处置)场》(GB 15562.2-1995) 设置环境保护图形标志</w:t>
            </w:r>
            <w:r>
              <w:rPr>
                <w:rFonts w:hint="default" w:ascii="Times New Roman" w:hAnsi="Times New Roman" w:cs="Times New Roman"/>
                <w:color w:val="auto"/>
                <w:sz w:val="24"/>
                <w:szCs w:val="24"/>
                <w:u w:val="single" w:color="auto"/>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lang w:eastAsia="zh-CN"/>
              </w:rPr>
              <w:t>危险废物储存间设置于项目</w:t>
            </w:r>
            <w:r>
              <w:rPr>
                <w:rFonts w:hint="eastAsia" w:cs="Times New Roman"/>
                <w:color w:val="auto"/>
                <w:sz w:val="24"/>
                <w:szCs w:val="24"/>
                <w:u w:val="single" w:color="auto"/>
                <w:lang w:val="en-US" w:eastAsia="zh-CN"/>
              </w:rPr>
              <w:t>3号</w:t>
            </w:r>
            <w:r>
              <w:rPr>
                <w:rFonts w:hint="default" w:ascii="Times New Roman" w:hAnsi="Times New Roman" w:cs="Times New Roman"/>
                <w:color w:val="auto"/>
                <w:sz w:val="24"/>
                <w:szCs w:val="24"/>
                <w:u w:val="single" w:color="auto"/>
                <w:lang w:eastAsia="zh-CN"/>
              </w:rPr>
              <w:t>车间</w:t>
            </w:r>
            <w:r>
              <w:rPr>
                <w:rFonts w:hint="eastAsia" w:cs="Times New Roman"/>
                <w:color w:val="auto"/>
                <w:sz w:val="24"/>
                <w:szCs w:val="24"/>
                <w:u w:val="single" w:color="auto"/>
                <w:lang w:eastAsia="zh-CN"/>
              </w:rPr>
              <w:t>东南</w:t>
            </w:r>
            <w:r>
              <w:rPr>
                <w:rFonts w:hint="default" w:ascii="Times New Roman" w:hAnsi="Times New Roman" w:cs="Times New Roman"/>
                <w:color w:val="auto"/>
                <w:sz w:val="24"/>
                <w:szCs w:val="24"/>
                <w:u w:val="single" w:color="auto"/>
                <w:lang w:eastAsia="zh-CN"/>
              </w:rPr>
              <w:t>角处，且危险废物储存区建设</w:t>
            </w:r>
            <w:r>
              <w:rPr>
                <w:rFonts w:hint="eastAsia" w:cs="Times New Roman"/>
                <w:color w:val="auto"/>
                <w:sz w:val="24"/>
                <w:szCs w:val="24"/>
                <w:u w:val="single" w:color="auto"/>
                <w:lang w:eastAsia="zh-CN"/>
              </w:rPr>
              <w:t>按照</w:t>
            </w:r>
            <w:r>
              <w:rPr>
                <w:rFonts w:hint="default" w:ascii="Times New Roman" w:hAnsi="Times New Roman" w:cs="Times New Roman"/>
                <w:color w:val="auto"/>
                <w:sz w:val="24"/>
                <w:szCs w:val="24"/>
                <w:u w:val="single" w:color="auto"/>
              </w:rPr>
              <w:t>国家《危险废物贮存污染控制标准》（GB18597-2001）的有关规定，危险废物在厂内存放期间，储存间地面进行</w:t>
            </w:r>
            <w:r>
              <w:rPr>
                <w:rFonts w:hint="eastAsia" w:cs="Times New Roman"/>
                <w:color w:val="auto"/>
                <w:sz w:val="24"/>
                <w:szCs w:val="24"/>
                <w:u w:val="single" w:color="auto"/>
                <w:lang w:eastAsia="zh-CN"/>
              </w:rPr>
              <w:t>了</w:t>
            </w:r>
            <w:r>
              <w:rPr>
                <w:rFonts w:hint="default" w:ascii="Times New Roman" w:hAnsi="Times New Roman" w:cs="Times New Roman"/>
                <w:color w:val="auto"/>
                <w:sz w:val="24"/>
                <w:szCs w:val="24"/>
                <w:u w:val="single" w:color="auto"/>
              </w:rPr>
              <w:t>防渗处理，同时采取“防扬散、防流失、防渗漏”的三防措施，用标签明示危险废物种类，在堆放场地处设置标志，并远离电源、火源，并设专人管理。</w:t>
            </w:r>
          </w:p>
          <w:p>
            <w:pPr>
              <w:keepNext w:val="0"/>
              <w:keepLines w:val="0"/>
              <w:pageBreakBefore w:val="0"/>
              <w:widowControl w:val="0"/>
              <w:kinsoku/>
              <w:wordWrap/>
              <w:overflowPunct/>
              <w:topLinePunct w:val="0"/>
              <w:autoSpaceDE/>
              <w:autoSpaceDN/>
              <w:bidi w:val="0"/>
              <w:adjustRightInd w:val="0"/>
              <w:snapToGrid w:val="0"/>
              <w:spacing w:line="360" w:lineRule="auto"/>
              <w:ind w:firstLine="462" w:firstLineChars="200"/>
              <w:textAlignment w:val="auto"/>
              <w:rPr>
                <w:rFonts w:hint="default" w:ascii="Times New Roman" w:hAnsi="Times New Roman" w:cs="Times New Roman"/>
                <w:color w:val="auto"/>
                <w:sz w:val="24"/>
                <w:szCs w:val="24"/>
                <w:u w:val="single" w:color="auto"/>
                <w:lang w:eastAsia="zh-CN"/>
              </w:rPr>
            </w:pPr>
            <w:r>
              <w:rPr>
                <w:rFonts w:hint="default" w:ascii="Times New Roman" w:hAnsi="Times New Roman" w:cs="Times New Roman"/>
                <w:color w:val="auto"/>
                <w:sz w:val="24"/>
                <w:szCs w:val="24"/>
                <w:u w:val="single" w:color="auto"/>
              </w:rPr>
              <w:t>危险废物排放、放置和转移，由专人负责管理其入、出入登记台帐，集中收集后交由具有危险废物经营许可证的单位统一处理，并签订危废处理协议。盛装危险废物的容器和胶带必须贴符合《危险废物贮存污染控制标准》（GB18597-2001）附录A所示的标签等，防止造成二次污染。</w:t>
            </w:r>
          </w:p>
          <w:p>
            <w:pPr>
              <w:snapToGrid w:val="0"/>
              <w:spacing w:line="360" w:lineRule="auto"/>
              <w:ind w:firstLine="462" w:firstLineChars="200"/>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single" w:color="auto"/>
              </w:rPr>
              <w:t>采取上述措施后，本工程固体废物可得到妥善的处理，对周围环境造影响较小</w:t>
            </w:r>
            <w:r>
              <w:rPr>
                <w:rFonts w:hint="eastAsia" w:ascii="Times New Roman" w:hAnsi="Times New Roman" w:eastAsia="宋体" w:cs="Times New Roman"/>
                <w:color w:val="auto"/>
                <w:sz w:val="24"/>
                <w:szCs w:val="24"/>
                <w:u w:val="none" w:color="auto"/>
                <w:lang w:eastAsia="zh-CN"/>
              </w:rPr>
              <w:t>。</w:t>
            </w:r>
          </w:p>
          <w:p>
            <w:pPr>
              <w:pStyle w:val="185"/>
              <w:spacing w:line="360" w:lineRule="auto"/>
              <w:rPr>
                <w:rFonts w:hint="default" w:ascii="Times New Roman" w:hAnsi="Times New Roman" w:cs="Times New Roman"/>
                <w:sz w:val="24"/>
                <w:szCs w:val="24"/>
                <w:u w:val="single" w:color="auto"/>
                <w:lang w:val="en-US" w:eastAsia="zh-CN"/>
              </w:rPr>
            </w:pPr>
            <w:r>
              <w:rPr>
                <w:rFonts w:hint="eastAsia" w:cs="Times New Roman"/>
                <w:sz w:val="24"/>
                <w:szCs w:val="24"/>
                <w:u w:val="single" w:color="auto"/>
                <w:lang w:val="en-US" w:eastAsia="zh-CN"/>
              </w:rPr>
              <w:t>5、土壤环境质量分析</w:t>
            </w:r>
          </w:p>
          <w:p>
            <w:pPr>
              <w:keepNext w:val="0"/>
              <w:keepLines w:val="0"/>
              <w:pageBreakBefore w:val="0"/>
              <w:widowControl w:val="0"/>
              <w:kinsoku/>
              <w:wordWrap/>
              <w:overflowPunct/>
              <w:topLinePunct w:val="0"/>
              <w:autoSpaceDE/>
              <w:autoSpaceDN/>
              <w:bidi w:val="0"/>
              <w:adjustRightInd/>
              <w:snapToGrid/>
              <w:spacing w:line="360" w:lineRule="auto"/>
              <w:ind w:firstLine="462" w:firstLineChars="200"/>
              <w:textAlignment w:val="auto"/>
              <w:rPr>
                <w:rFonts w:hint="eastAsia"/>
                <w:sz w:val="24"/>
                <w:szCs w:val="22"/>
                <w:u w:val="single" w:color="auto"/>
                <w:lang w:val="en-US" w:eastAsia="zh-CN"/>
              </w:rPr>
            </w:pPr>
            <w:r>
              <w:rPr>
                <w:rFonts w:hint="eastAsia"/>
                <w:sz w:val="24"/>
                <w:szCs w:val="22"/>
                <w:u w:val="single" w:color="auto"/>
                <w:lang w:val="en-US" w:eastAsia="zh-CN"/>
              </w:rPr>
              <w:t>本项目属于电气设备制造，根据《环境影响评价技术导则---土壤环境》（HJ964-2018）中可知，本项目属于污染影响型，属于土壤环境影响评价项目类别中“设备制造、金属制品、汽车制造及其他用品制造中的其他”，因此类别为</w:t>
            </w:r>
            <w:r>
              <w:rPr>
                <w:rFonts w:hint="eastAsia"/>
                <w:sz w:val="24"/>
                <w:szCs w:val="22"/>
                <w:u w:val="single" w:color="auto"/>
                <w:lang w:val="en-US" w:eastAsia="zh-CN"/>
              </w:rPr>
              <w:fldChar w:fldCharType="begin"/>
            </w:r>
            <w:r>
              <w:rPr>
                <w:rFonts w:hint="eastAsia"/>
                <w:sz w:val="24"/>
                <w:szCs w:val="22"/>
                <w:u w:val="single" w:color="auto"/>
                <w:lang w:val="en-US" w:eastAsia="zh-CN"/>
              </w:rPr>
              <w:instrText xml:space="preserve"> = 3 \* ROMAN \* MERGEFORMAT </w:instrText>
            </w:r>
            <w:r>
              <w:rPr>
                <w:rFonts w:hint="eastAsia"/>
                <w:sz w:val="24"/>
                <w:szCs w:val="22"/>
                <w:u w:val="single" w:color="auto"/>
                <w:lang w:val="en-US" w:eastAsia="zh-CN"/>
              </w:rPr>
              <w:fldChar w:fldCharType="separate"/>
            </w:r>
            <w:r>
              <w:rPr>
                <w:sz w:val="24"/>
                <w:szCs w:val="22"/>
                <w:u w:val="single" w:color="auto"/>
              </w:rPr>
              <w:t>III</w:t>
            </w:r>
            <w:r>
              <w:rPr>
                <w:rFonts w:hint="eastAsia"/>
                <w:sz w:val="24"/>
                <w:szCs w:val="22"/>
                <w:u w:val="single" w:color="auto"/>
                <w:lang w:val="en-US" w:eastAsia="zh-CN"/>
              </w:rPr>
              <w:fldChar w:fldCharType="end"/>
            </w:r>
            <w:r>
              <w:rPr>
                <w:rFonts w:hint="eastAsia"/>
                <w:sz w:val="24"/>
                <w:szCs w:val="22"/>
                <w:u w:val="single" w:color="auto"/>
                <w:lang w:val="en-US" w:eastAsia="zh-CN"/>
              </w:rPr>
              <w:t>类，项目位于工业园内，对照敏感程度分类表可知，本项目为“不敏感”，项目占地面积为</w:t>
            </w:r>
            <w:r>
              <w:rPr>
                <w:rFonts w:hint="eastAsia" w:cs="Times New Roman"/>
                <w:color w:val="auto"/>
                <w:spacing w:val="-6"/>
                <w:sz w:val="24"/>
                <w:u w:val="single" w:color="auto"/>
                <w:lang w:val="en-US" w:eastAsia="zh-CN"/>
              </w:rPr>
              <w:t>26162.36</w:t>
            </w:r>
            <w:r>
              <w:rPr>
                <w:rFonts w:hint="eastAsia"/>
                <w:sz w:val="24"/>
                <w:szCs w:val="22"/>
                <w:u w:val="single" w:color="auto"/>
                <w:lang w:val="en-US" w:eastAsia="zh-CN"/>
              </w:rPr>
              <w:t>m</w:t>
            </w:r>
            <w:r>
              <w:rPr>
                <w:rFonts w:hint="eastAsia"/>
                <w:sz w:val="24"/>
                <w:szCs w:val="22"/>
                <w:u w:val="single" w:color="auto"/>
                <w:vertAlign w:val="superscript"/>
                <w:lang w:val="en-US" w:eastAsia="zh-CN"/>
              </w:rPr>
              <w:t>2</w:t>
            </w:r>
            <w:r>
              <w:rPr>
                <w:rFonts w:hint="eastAsia"/>
                <w:sz w:val="24"/>
                <w:szCs w:val="22"/>
                <w:u w:val="single" w:color="auto"/>
                <w:lang w:val="en-US" w:eastAsia="zh-CN"/>
              </w:rPr>
              <w:t>，小于5hm</w:t>
            </w:r>
            <w:r>
              <w:rPr>
                <w:rFonts w:hint="eastAsia"/>
                <w:sz w:val="24"/>
                <w:szCs w:val="22"/>
                <w:u w:val="single" w:color="auto"/>
                <w:vertAlign w:val="superscript"/>
                <w:lang w:val="en-US" w:eastAsia="zh-CN"/>
              </w:rPr>
              <w:t>2</w:t>
            </w:r>
            <w:r>
              <w:rPr>
                <w:rFonts w:hint="eastAsia"/>
                <w:sz w:val="24"/>
                <w:szCs w:val="22"/>
                <w:u w:val="single" w:color="auto"/>
                <w:lang w:val="en-US" w:eastAsia="zh-CN"/>
              </w:rPr>
              <w:t>。属于小型类，对照土壤分级表可知，本项目可不开展土壤环境影响评价工作。</w:t>
            </w: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rPr>
              <w:t>、环境风险分析及防范措施</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风险评价的目的是分析和预测建设项目存在的潜在危险、有害因素，建设项目建设和运行期间可能发生的突发性事件或事故，引起有毒有害和易燃易爆等物质泄漏，所造成的人身安全与环境影响和损害程度，提出合理可行的防范、应急与减缓措施，以使建设项目事故率、损失和环境影响达到可接受水平。</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《建设项目环境风险评价技术导则》（HJ/T169-20</w:t>
            </w:r>
            <w:r>
              <w:rPr>
                <w:rFonts w:hint="default" w:ascii="Times New Roman" w:hAnsi="Times New Roman" w:cs="Times New Roman"/>
                <w:color w:val="auto"/>
                <w:sz w:val="24"/>
                <w:szCs w:val="24"/>
                <w:u w:val="none" w:color="auto"/>
                <w:lang w:val="en-US" w:eastAsia="zh-CN"/>
              </w:rPr>
              <w:t>18</w:t>
            </w:r>
            <w:r>
              <w:rPr>
                <w:rFonts w:hint="default" w:ascii="Times New Roman" w:hAnsi="Times New Roman" w:cs="Times New Roman"/>
                <w:color w:val="auto"/>
                <w:sz w:val="24"/>
                <w:szCs w:val="24"/>
                <w:u w:val="none" w:color="auto"/>
              </w:rPr>
              <w:t>）适用于涉及有毒有害和易燃易爆物质的生产、使用和贮运等的新建、改建、扩建和技术改造项目，本次评价以该导则为基准，通过对工程的风险识别、分析和后果预测，提出本项目的风险防范措施和应急预案，把项目环境风险尽可能降低至可接受水平。</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color w:val="auto"/>
                <w:sz w:val="24"/>
                <w:szCs w:val="24"/>
                <w:u w:val="none" w:color="auto"/>
                <w:lang w:val="en-US" w:eastAsia="zh-CN"/>
              </w:rPr>
              <w:t>本次环境风险评价采用《建设项目环境风险评价技术导则》（HJ169-2018）中要求对建设项目的环境风险进行分析、计算和评估，提出环境风险预防、控制、减缓措施，明确环境风险监控及应急建议要求，为建设项目环境风险防控提供科学依据。</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bCs/>
                <w:color w:val="auto"/>
                <w:sz w:val="24"/>
                <w:u w:val="none" w:color="auto"/>
                <w:lang w:val="en-US" w:eastAsia="zh-CN"/>
              </w:rPr>
              <w:t>风险调查</w:t>
            </w:r>
          </w:p>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b/>
                <w:bCs/>
                <w:color w:val="auto"/>
                <w:sz w:val="24"/>
                <w:u w:val="none" w:color="auto"/>
                <w:lang w:val="en-US" w:eastAsia="zh-CN"/>
              </w:rPr>
            </w:pPr>
            <w:r>
              <w:rPr>
                <w:rFonts w:hint="default" w:ascii="Times New Roman" w:hAnsi="Times New Roman" w:cs="Times New Roman"/>
                <w:b w:val="0"/>
                <w:bCs w:val="0"/>
                <w:color w:val="auto"/>
                <w:sz w:val="24"/>
                <w:u w:val="none" w:color="auto"/>
                <w:lang w:val="en-US" w:eastAsia="zh-CN"/>
              </w:rPr>
              <w:t>通过对项目进行分析，可判断项目营运期</w:t>
            </w:r>
            <w:r>
              <w:rPr>
                <w:rFonts w:hint="eastAsia" w:ascii="Times New Roman" w:hAnsi="Times New Roman" w:cs="Times New Roman"/>
                <w:b w:val="0"/>
                <w:bCs w:val="0"/>
                <w:color w:val="auto"/>
                <w:sz w:val="24"/>
                <w:u w:val="none" w:color="auto"/>
                <w:lang w:val="en-US" w:eastAsia="zh-CN"/>
              </w:rPr>
              <w:t>有组织废气超标排放、水性漆、变压器油</w:t>
            </w:r>
            <w:r>
              <w:rPr>
                <w:rFonts w:hint="default" w:ascii="Times New Roman" w:hAnsi="Times New Roman" w:cs="Times New Roman"/>
                <w:b w:val="0"/>
                <w:bCs w:val="0"/>
                <w:color w:val="auto"/>
                <w:sz w:val="24"/>
                <w:u w:val="none" w:color="auto"/>
                <w:lang w:val="en-US" w:eastAsia="zh-CN"/>
              </w:rPr>
              <w:t>泄漏风险等。</w:t>
            </w:r>
          </w:p>
          <w:p>
            <w:pPr>
              <w:pStyle w:val="172"/>
              <w:spacing w:line="360" w:lineRule="auto"/>
              <w:ind w:firstLine="48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eastAsia="zh-CN"/>
              </w:rPr>
              <w:t>环境风险分析</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（1）物质识别</w:t>
            </w:r>
          </w:p>
          <w:p>
            <w:pPr>
              <w:pStyle w:val="172"/>
              <w:spacing w:line="360" w:lineRule="auto"/>
              <w:ind w:firstLine="48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w:t>
            </w:r>
            <w:r>
              <w:rPr>
                <w:rFonts w:hint="eastAsia" w:ascii="Times New Roman" w:hAnsi="Times New Roman" w:cs="Times New Roman"/>
                <w:b w:val="0"/>
                <w:bCs w:val="0"/>
                <w:color w:val="auto"/>
                <w:sz w:val="24"/>
                <w:u w:val="none" w:color="auto"/>
                <w:lang w:val="en-US" w:eastAsia="zh-CN"/>
              </w:rPr>
              <w:t>水性漆、</w:t>
            </w:r>
            <w:r>
              <w:rPr>
                <w:rFonts w:hint="eastAsia" w:cs="Times New Roman"/>
                <w:b w:val="0"/>
                <w:bCs w:val="0"/>
                <w:color w:val="auto"/>
                <w:sz w:val="24"/>
                <w:u w:val="none" w:color="auto"/>
                <w:lang w:val="en-US" w:eastAsia="zh-CN"/>
              </w:rPr>
              <w:t>变压器油、乙炔</w:t>
            </w:r>
            <w:r>
              <w:rPr>
                <w:rFonts w:hint="default" w:ascii="Times New Roman" w:hAnsi="Times New Roman" w:cs="Times New Roman"/>
                <w:color w:val="auto"/>
                <w:sz w:val="24"/>
                <w:szCs w:val="24"/>
                <w:u w:val="none" w:color="auto"/>
              </w:rPr>
              <w:t>，属于可燃</w:t>
            </w:r>
            <w:r>
              <w:rPr>
                <w:rFonts w:hint="eastAsia" w:cs="Times New Roman"/>
                <w:color w:val="auto"/>
                <w:sz w:val="24"/>
                <w:szCs w:val="24"/>
                <w:u w:val="none" w:color="auto"/>
                <w:lang w:eastAsia="zh-CN"/>
              </w:rPr>
              <w:t>物质</w:t>
            </w:r>
            <w:r>
              <w:rPr>
                <w:rFonts w:hint="default" w:ascii="Times New Roman" w:hAnsi="Times New Roman" w:cs="Times New Roman"/>
                <w:color w:val="auto"/>
                <w:sz w:val="24"/>
                <w:szCs w:val="24"/>
                <w:u w:val="none" w:color="auto"/>
              </w:rPr>
              <w:t>，易发生火灾</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详见下表。</w:t>
            </w:r>
          </w:p>
          <w:p>
            <w:pPr>
              <w:pStyle w:val="186"/>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表7-</w:t>
            </w:r>
            <w:r>
              <w:rPr>
                <w:rFonts w:hint="eastAsia" w:cs="Times New Roman"/>
                <w:color w:val="auto"/>
                <w:sz w:val="24"/>
                <w:szCs w:val="24"/>
                <w:u w:val="none" w:color="auto"/>
                <w:lang w:val="en-US" w:eastAsia="zh-CN"/>
              </w:rPr>
              <w:t>19</w:t>
            </w:r>
            <w:r>
              <w:rPr>
                <w:rFonts w:hint="default" w:ascii="Times New Roman" w:hAnsi="Times New Roman" w:cs="Times New Roman"/>
                <w:color w:val="auto"/>
                <w:sz w:val="24"/>
                <w:szCs w:val="24"/>
                <w:u w:val="none" w:color="auto"/>
              </w:rPr>
              <w:t xml:space="preserve">  物质危险性识别表</w:t>
            </w:r>
          </w:p>
          <w:tbl>
            <w:tblPr>
              <w:tblStyle w:val="40"/>
              <w:tblW w:w="90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21"/>
              <w:gridCol w:w="2685"/>
              <w:gridCol w:w="1983"/>
              <w:gridCol w:w="24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品名</w:t>
                  </w:r>
                </w:p>
              </w:tc>
              <w:tc>
                <w:tcPr>
                  <w:tcW w:w="2685"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主（次）危险性类别</w:t>
                  </w:r>
                </w:p>
              </w:tc>
              <w:tc>
                <w:tcPr>
                  <w:tcW w:w="198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类别</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是否是环境风险物质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水性漆</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1921"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变压器油</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ascii="Times New Roman" w:hAnsi="Times New Roman"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1921"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乙炔</w:t>
                  </w:r>
                </w:p>
              </w:tc>
              <w:tc>
                <w:tcPr>
                  <w:tcW w:w="2685" w:type="dxa"/>
                  <w:noWrap w:val="0"/>
                  <w:vAlign w:val="center"/>
                </w:tcPr>
                <w:p>
                  <w:pPr>
                    <w:spacing w:line="360" w:lineRule="auto"/>
                    <w:jc w:val="center"/>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泄漏</w:t>
                  </w:r>
                  <w:r>
                    <w:rPr>
                      <w:rFonts w:hint="eastAsia" w:ascii="Times New Roman" w:hAnsi="Times New Roman" w:cs="Times New Roman"/>
                      <w:color w:val="auto"/>
                      <w:sz w:val="21"/>
                      <w:szCs w:val="21"/>
                      <w:u w:val="none" w:color="auto"/>
                      <w:lang w:eastAsia="zh-CN"/>
                    </w:rPr>
                    <w:t>、火灾</w:t>
                  </w:r>
                </w:p>
              </w:tc>
              <w:tc>
                <w:tcPr>
                  <w:tcW w:w="1983" w:type="dxa"/>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原辅材料</w:t>
                  </w:r>
                </w:p>
              </w:tc>
              <w:tc>
                <w:tcPr>
                  <w:tcW w:w="2433" w:type="dxa"/>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是</w:t>
                  </w:r>
                </w:p>
              </w:tc>
            </w:tr>
          </w:tbl>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w:t>
            </w:r>
            <w:r>
              <w:rPr>
                <w:rFonts w:hint="default" w:ascii="Times New Roman" w:hAnsi="Times New Roman" w:eastAsia="宋体" w:cs="Times New Roman"/>
                <w:color w:val="auto"/>
                <w:kern w:val="0"/>
                <w:sz w:val="24"/>
                <w:szCs w:val="24"/>
                <w:u w:val="none" w:color="auto"/>
                <w:lang w:val="en-US" w:eastAsia="zh-CN" w:bidi="ar"/>
              </w:rPr>
              <w:t>风险潜势初判</w:t>
            </w:r>
          </w:p>
          <w:p>
            <w:pPr>
              <w:keepNext w:val="0"/>
              <w:keepLines w:val="0"/>
              <w:widowControl/>
              <w:suppressLineNumbers w:val="0"/>
              <w:spacing w:line="360" w:lineRule="auto"/>
              <w:ind w:firstLine="462" w:firstLineChars="200"/>
              <w:jc w:val="left"/>
              <w:rPr>
                <w:rFonts w:hint="default" w:ascii="Times New Roman" w:hAnsi="Times New Roman" w:cs="Times New Roman"/>
                <w:color w:val="auto"/>
                <w:sz w:val="24"/>
                <w:szCs w:val="24"/>
                <w:u w:val="none" w:color="auto"/>
              </w:rPr>
            </w:pPr>
            <w:r>
              <w:rPr>
                <w:rFonts w:hint="default" w:ascii="Times New Roman" w:hAnsi="Times New Roman" w:eastAsia="宋体" w:cs="Times New Roman"/>
                <w:color w:val="auto"/>
                <w:kern w:val="0"/>
                <w:sz w:val="24"/>
                <w:szCs w:val="24"/>
                <w:u w:val="none" w:color="auto"/>
                <w:lang w:val="en-US" w:eastAsia="zh-CN" w:bidi="ar"/>
              </w:rPr>
              <w:t>根据建设项目环境风险评价技术导则附录</w:t>
            </w:r>
            <w:r>
              <w:rPr>
                <w:rFonts w:hint="default" w:ascii="Times New Roman" w:hAnsi="Times New Roman" w:eastAsia="TimesNewRomanPSMT" w:cs="Times New Roman"/>
                <w:color w:val="auto"/>
                <w:kern w:val="0"/>
                <w:sz w:val="24"/>
                <w:szCs w:val="24"/>
                <w:u w:val="none" w:color="auto"/>
                <w:lang w:val="en-US" w:eastAsia="zh-CN" w:bidi="ar"/>
              </w:rPr>
              <w:t>B.1</w:t>
            </w:r>
            <w:r>
              <w:rPr>
                <w:rFonts w:hint="default" w:ascii="Times New Roman" w:hAnsi="Times New Roman" w:eastAsia="宋体" w:cs="Times New Roman"/>
                <w:color w:val="auto"/>
                <w:kern w:val="0"/>
                <w:sz w:val="24"/>
                <w:szCs w:val="24"/>
                <w:u w:val="none" w:color="auto"/>
                <w:lang w:val="en-US" w:eastAsia="zh-CN" w:bidi="ar"/>
              </w:rPr>
              <w:t>和</w:t>
            </w:r>
            <w:r>
              <w:rPr>
                <w:rFonts w:hint="default" w:ascii="Times New Roman" w:hAnsi="Times New Roman" w:eastAsia="TimesNewRomanPSMT" w:cs="Times New Roman"/>
                <w:color w:val="auto"/>
                <w:kern w:val="0"/>
                <w:sz w:val="24"/>
                <w:szCs w:val="24"/>
                <w:u w:val="none" w:color="auto"/>
                <w:lang w:val="en-US" w:eastAsia="zh-CN" w:bidi="ar"/>
              </w:rPr>
              <w:t>B.2</w:t>
            </w:r>
            <w:r>
              <w:rPr>
                <w:rFonts w:hint="eastAsia" w:ascii="Times New Roman" w:hAnsi="Times New Roman" w:eastAsia="TimesNewRomanPSMT" w:cs="Times New Roman"/>
                <w:color w:val="auto"/>
                <w:kern w:val="0"/>
                <w:sz w:val="24"/>
                <w:szCs w:val="24"/>
                <w:u w:val="none" w:color="auto"/>
                <w:lang w:val="en-US" w:eastAsia="zh-CN" w:bidi="ar"/>
              </w:rPr>
              <w:t>，具体详见下表</w:t>
            </w:r>
            <w:r>
              <w:rPr>
                <w:rFonts w:hint="default"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jc w:val="center"/>
              <w:rPr>
                <w:b w:val="0"/>
                <w:bCs w:val="0"/>
                <w:color w:val="auto"/>
                <w:sz w:val="24"/>
                <w:szCs w:val="24"/>
                <w:u w:val="none" w:color="auto"/>
              </w:rPr>
            </w:pPr>
            <w:r>
              <w:rPr>
                <w:rFonts w:hint="default" w:ascii="Times New Roman" w:hAnsi="Times New Roman" w:cs="Times New Roman"/>
                <w:b w:val="0"/>
                <w:bCs w:val="0"/>
                <w:color w:val="auto"/>
                <w:sz w:val="24"/>
                <w:szCs w:val="24"/>
                <w:u w:val="none" w:color="auto"/>
              </w:rPr>
              <w:t>表7</w:t>
            </w:r>
            <w:r>
              <w:rPr>
                <w:rFonts w:hint="eastAsia" w:cs="Times New Roman"/>
                <w:b w:val="0"/>
                <w:bCs w:val="0"/>
                <w:color w:val="auto"/>
                <w:sz w:val="24"/>
                <w:szCs w:val="24"/>
                <w:u w:val="none" w:color="auto"/>
                <w:lang w:val="en-US" w:eastAsia="zh-CN"/>
              </w:rPr>
              <w:t>-20</w:t>
            </w:r>
            <w:r>
              <w:rPr>
                <w:rFonts w:hint="eastAsia" w:ascii="宋体" w:hAnsi="宋体" w:eastAsia="宋体" w:cs="宋体"/>
                <w:b w:val="0"/>
                <w:bCs w:val="0"/>
                <w:color w:val="auto"/>
                <w:kern w:val="0"/>
                <w:sz w:val="24"/>
                <w:szCs w:val="24"/>
                <w:u w:val="none" w:color="auto"/>
                <w:lang w:val="en-US" w:eastAsia="zh-CN" w:bidi="ar"/>
              </w:rPr>
              <w:t>本项目突发环境事件风险物质贮存量及临界量一览表</w:t>
            </w:r>
          </w:p>
          <w:tbl>
            <w:tblPr>
              <w:tblStyle w:val="40"/>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016"/>
              <w:gridCol w:w="1485"/>
              <w:gridCol w:w="2154"/>
              <w:gridCol w:w="2371"/>
              <w:gridCol w:w="209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1" w:hRule="atLeast"/>
                <w:jc w:val="center"/>
              </w:trPr>
              <w:tc>
                <w:tcPr>
                  <w:tcW w:w="557"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序号</w:t>
                  </w:r>
                </w:p>
              </w:tc>
              <w:tc>
                <w:tcPr>
                  <w:tcW w:w="814"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名称</w:t>
                  </w:r>
                </w:p>
              </w:tc>
              <w:tc>
                <w:tcPr>
                  <w:tcW w:w="1181"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日常最大储存量（t）</w:t>
                  </w:r>
                </w:p>
              </w:tc>
              <w:tc>
                <w:tcPr>
                  <w:tcW w:w="1300" w:type="pct"/>
                  <w:noWrap w:val="0"/>
                  <w:vAlign w:val="center"/>
                </w:tcPr>
                <w:p>
                  <w:pPr>
                    <w:pStyle w:val="184"/>
                    <w:spacing w:line="360" w:lineRule="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临界量（t）</w:t>
                  </w:r>
                </w:p>
              </w:tc>
              <w:tc>
                <w:tcPr>
                  <w:tcW w:w="1147" w:type="pct"/>
                  <w:noWrap w:val="0"/>
                  <w:vAlign w:val="center"/>
                </w:tcPr>
                <w:p>
                  <w:pPr>
                    <w:pStyle w:val="184"/>
                    <w:spacing w:line="360" w:lineRule="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qi/Qi</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6" w:hRule="atLeast"/>
                <w:jc w:val="center"/>
              </w:trPr>
              <w:tc>
                <w:tcPr>
                  <w:tcW w:w="557" w:type="pct"/>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1</w:t>
                  </w:r>
                </w:p>
              </w:tc>
              <w:tc>
                <w:tcPr>
                  <w:tcW w:w="814" w:type="pct"/>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变压器油</w:t>
                  </w:r>
                </w:p>
              </w:tc>
              <w:tc>
                <w:tcPr>
                  <w:tcW w:w="1181" w:type="pct"/>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5</w:t>
                  </w:r>
                </w:p>
              </w:tc>
              <w:tc>
                <w:tcPr>
                  <w:tcW w:w="1300" w:type="pct"/>
                  <w:noWrap w:val="0"/>
                  <w:vAlign w:val="center"/>
                </w:tcPr>
                <w:p>
                  <w:pPr>
                    <w:pStyle w:val="184"/>
                    <w:spacing w:line="360" w:lineRule="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2500</w:t>
                  </w:r>
                </w:p>
              </w:tc>
              <w:tc>
                <w:tcPr>
                  <w:tcW w:w="1147" w:type="pct"/>
                  <w:noWrap w:val="0"/>
                  <w:vAlign w:val="center"/>
                </w:tcPr>
                <w:p>
                  <w:pPr>
                    <w:spacing w:line="360" w:lineRule="auto"/>
                    <w:jc w:val="center"/>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val="en-US" w:eastAsia="zh-CN"/>
                    </w:rPr>
                    <w:t>0.002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1" w:hRule="atLeast"/>
                <w:jc w:val="center"/>
              </w:trPr>
              <w:tc>
                <w:tcPr>
                  <w:tcW w:w="557"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2</w:t>
                  </w:r>
                </w:p>
              </w:tc>
              <w:tc>
                <w:tcPr>
                  <w:tcW w:w="814" w:type="pct"/>
                  <w:noWrap w:val="0"/>
                  <w:vAlign w:val="center"/>
                </w:tcPr>
                <w:p>
                  <w:pPr>
                    <w:pStyle w:val="184"/>
                    <w:spacing w:line="360" w:lineRule="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乙炔</w:t>
                  </w:r>
                </w:p>
              </w:tc>
              <w:tc>
                <w:tcPr>
                  <w:tcW w:w="1181"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0.05</w:t>
                  </w:r>
                </w:p>
              </w:tc>
              <w:tc>
                <w:tcPr>
                  <w:tcW w:w="1300" w:type="pct"/>
                  <w:noWrap w:val="0"/>
                  <w:vAlign w:val="center"/>
                </w:tcPr>
                <w:p>
                  <w:pPr>
                    <w:pStyle w:val="184"/>
                    <w:spacing w:line="360" w:lineRule="auto"/>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10</w:t>
                  </w:r>
                </w:p>
              </w:tc>
              <w:tc>
                <w:tcPr>
                  <w:tcW w:w="1147" w:type="pct"/>
                  <w:noWrap w:val="0"/>
                  <w:vAlign w:val="center"/>
                </w:tcPr>
                <w:p>
                  <w:pPr>
                    <w:spacing w:line="360" w:lineRule="auto"/>
                    <w:jc w:val="center"/>
                    <w:rPr>
                      <w:rFonts w:hint="default" w:cs="Times New Roman"/>
                      <w:color w:val="auto"/>
                      <w:sz w:val="21"/>
                      <w:szCs w:val="21"/>
                      <w:u w:val="none" w:color="auto"/>
                      <w:lang w:val="en-US" w:eastAsia="zh-CN"/>
                    </w:rPr>
                  </w:pPr>
                  <w:r>
                    <w:rPr>
                      <w:rFonts w:hint="eastAsia" w:cs="Times New Roman"/>
                      <w:color w:val="auto"/>
                      <w:sz w:val="21"/>
                      <w:szCs w:val="21"/>
                      <w:u w:val="none" w:color="auto"/>
                      <w:lang w:val="en-US" w:eastAsia="zh-CN"/>
                    </w:rPr>
                    <w:t>0.005</w:t>
                  </w:r>
                </w:p>
              </w:tc>
            </w:tr>
          </w:tbl>
          <w:p>
            <w:pPr>
              <w:pStyle w:val="191"/>
              <w:keepNext w:val="0"/>
              <w:keepLines w:val="0"/>
              <w:pageBreakBefore w:val="0"/>
              <w:widowControl w:val="0"/>
              <w:kinsoku/>
              <w:wordWrap/>
              <w:overflowPunct/>
              <w:topLinePunct w:val="0"/>
              <w:autoSpaceDE/>
              <w:autoSpaceDN/>
              <w:bidi w:val="0"/>
              <w:adjustRightInd/>
              <w:snapToGrid/>
              <w:spacing w:line="360" w:lineRule="auto"/>
              <w:ind w:firstLine="512"/>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由</w:t>
            </w:r>
            <w:r>
              <w:rPr>
                <w:rFonts w:hint="eastAsia" w:cs="Times New Roman"/>
                <w:color w:val="auto"/>
                <w:sz w:val="24"/>
                <w:szCs w:val="24"/>
                <w:u w:val="none" w:color="auto"/>
                <w:lang w:eastAsia="zh-CN"/>
              </w:rPr>
              <w:t>上</w:t>
            </w:r>
            <w:r>
              <w:rPr>
                <w:rFonts w:hint="default" w:ascii="Times New Roman" w:hAnsi="Times New Roman" w:cs="Times New Roman"/>
                <w:color w:val="auto"/>
                <w:sz w:val="24"/>
                <w:szCs w:val="24"/>
                <w:u w:val="none" w:color="auto"/>
              </w:rPr>
              <w:t>表计算可知，项目</w:t>
            </w:r>
            <w:r>
              <w:rPr>
                <w:rFonts w:hint="default" w:ascii="Times New Roman" w:hAnsi="Times New Roman" w:cs="Times New Roman"/>
                <w:color w:val="auto"/>
                <w:sz w:val="24"/>
                <w:szCs w:val="24"/>
                <w:u w:val="none" w:color="auto"/>
                <w:lang w:val="en-US" w:eastAsia="zh-CN"/>
              </w:rPr>
              <w:t>qi/Qi</w:t>
            </w:r>
            <w:r>
              <w:rPr>
                <w:rFonts w:hint="default" w:ascii="Times New Roman" w:hAnsi="Times New Roman" w:cs="Times New Roman"/>
                <w:color w:val="auto"/>
                <w:sz w:val="24"/>
                <w:szCs w:val="24"/>
                <w:u w:val="none" w:color="auto"/>
              </w:rPr>
              <w:t>＜1，</w:t>
            </w:r>
            <w:r>
              <w:rPr>
                <w:rFonts w:hint="default" w:ascii="Times New Roman" w:hAnsi="Times New Roman" w:cs="Times New Roman"/>
                <w:color w:val="auto"/>
                <w:sz w:val="24"/>
                <w:szCs w:val="24"/>
                <w:u w:val="none" w:color="auto"/>
                <w:lang w:val="en-US" w:eastAsia="zh-CN"/>
              </w:rPr>
              <w:t>则</w:t>
            </w:r>
            <w:r>
              <w:rPr>
                <w:rFonts w:hint="default" w:ascii="Times New Roman" w:hAnsi="Times New Roman" w:cs="Times New Roman"/>
                <w:b/>
                <w:bCs/>
                <w:color w:val="auto"/>
                <w:sz w:val="24"/>
                <w:szCs w:val="24"/>
                <w:u w:val="none" w:color="auto"/>
                <w:lang w:val="en-US" w:eastAsia="zh-CN"/>
              </w:rPr>
              <w:t>该项目环境风险潜势为Ⅰ</w:t>
            </w:r>
            <w:r>
              <w:rPr>
                <w:rFonts w:hint="default" w:ascii="Times New Roman" w:hAnsi="Times New Roman" w:cs="Times New Roman"/>
                <w:color w:val="auto"/>
                <w:sz w:val="24"/>
                <w:u w:val="none" w:color="auto"/>
                <w:lang w:val="en-US" w:eastAsia="zh-CN"/>
              </w:rPr>
              <w:t>，评价工作等级为简单分析</w:t>
            </w:r>
            <w:r>
              <w:rPr>
                <w:rFonts w:hint="default" w:ascii="Times New Roman" w:hAnsi="Times New Roman" w:cs="Times New Roman"/>
                <w:color w:val="auto"/>
                <w:sz w:val="24"/>
                <w:szCs w:val="24"/>
                <w:u w:val="none" w:color="auto"/>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本项目的环境风险评价工作等级为简单分析。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）项目营运期会用到</w:t>
            </w:r>
            <w:r>
              <w:rPr>
                <w:rFonts w:hint="eastAsia" w:cs="Times New Roman"/>
                <w:color w:val="auto"/>
                <w:kern w:val="0"/>
                <w:sz w:val="24"/>
                <w:szCs w:val="24"/>
                <w:u w:val="none" w:color="auto"/>
                <w:lang w:val="en-US" w:eastAsia="zh-CN" w:bidi="ar"/>
              </w:rPr>
              <w:t>变压器油使用罐装，乙炔储存方式为瓶装，</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、危险废物</w:t>
            </w:r>
            <w:r>
              <w:rPr>
                <w:rFonts w:hint="eastAsia" w:ascii="Times New Roman" w:hAnsi="Times New Roman" w:eastAsia="宋体" w:cs="Times New Roman"/>
                <w:color w:val="auto"/>
                <w:kern w:val="0"/>
                <w:sz w:val="24"/>
                <w:szCs w:val="24"/>
                <w:u w:val="none" w:color="auto"/>
                <w:lang w:val="en-US" w:eastAsia="zh-CN" w:bidi="ar"/>
              </w:rPr>
              <w:t>，均用桶储存，若</w:t>
            </w:r>
            <w:r>
              <w:rPr>
                <w:rFonts w:hint="eastAsia" w:cs="Times New Roman"/>
                <w:color w:val="auto"/>
                <w:kern w:val="0"/>
                <w:sz w:val="24"/>
                <w:szCs w:val="24"/>
                <w:u w:val="none" w:color="auto"/>
                <w:lang w:val="en-US" w:eastAsia="zh-CN" w:bidi="ar"/>
              </w:rPr>
              <w:t>变压器油</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乙炔、危险废物</w:t>
            </w:r>
            <w:r>
              <w:rPr>
                <w:rFonts w:hint="eastAsia" w:ascii="Times New Roman" w:hAnsi="Times New Roman" w:eastAsia="宋体" w:cs="Times New Roman"/>
                <w:color w:val="auto"/>
                <w:kern w:val="0"/>
                <w:sz w:val="24"/>
                <w:szCs w:val="24"/>
                <w:u w:val="none" w:color="auto"/>
                <w:lang w:val="en-US" w:eastAsia="zh-CN" w:bidi="ar"/>
              </w:rPr>
              <w:t>、水性漆泄漏到环境中，其有机溶剂会挥发，可能污染大气环境。如泄漏经雨水管网进入</w:t>
            </w:r>
            <w:r>
              <w:rPr>
                <w:rFonts w:hint="eastAsia" w:cs="Times New Roman"/>
                <w:color w:val="auto"/>
                <w:kern w:val="0"/>
                <w:sz w:val="24"/>
                <w:szCs w:val="24"/>
                <w:u w:val="none" w:color="auto"/>
                <w:lang w:val="en-US" w:eastAsia="zh-CN" w:bidi="ar"/>
              </w:rPr>
              <w:t>湘江</w:t>
            </w:r>
            <w:r>
              <w:rPr>
                <w:rFonts w:hint="eastAsia" w:ascii="Times New Roman" w:hAnsi="Times New Roman" w:eastAsia="宋体" w:cs="Times New Roman"/>
                <w:color w:val="auto"/>
                <w:kern w:val="0"/>
                <w:sz w:val="24"/>
                <w:szCs w:val="24"/>
                <w:u w:val="none" w:color="auto"/>
                <w:lang w:val="en-US" w:eastAsia="zh-CN" w:bidi="ar"/>
              </w:rPr>
              <w:t>，将会对</w:t>
            </w:r>
            <w:r>
              <w:rPr>
                <w:rFonts w:hint="eastAsia" w:cs="Times New Roman"/>
                <w:color w:val="auto"/>
                <w:kern w:val="0"/>
                <w:sz w:val="24"/>
                <w:szCs w:val="24"/>
                <w:u w:val="none" w:color="auto"/>
                <w:lang w:val="en-US" w:eastAsia="zh-CN" w:bidi="ar"/>
              </w:rPr>
              <w:t>湘江</w:t>
            </w:r>
            <w:r>
              <w:rPr>
                <w:rFonts w:hint="eastAsia" w:ascii="Times New Roman" w:hAnsi="Times New Roman" w:eastAsia="宋体" w:cs="Times New Roman"/>
                <w:color w:val="auto"/>
                <w:kern w:val="0"/>
                <w:sz w:val="24"/>
                <w:szCs w:val="24"/>
                <w:u w:val="none" w:color="auto"/>
                <w:lang w:val="en-US" w:eastAsia="zh-CN" w:bidi="ar"/>
              </w:rPr>
              <w:t>水质造成影响；</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）本项目</w:t>
            </w:r>
            <w:r>
              <w:rPr>
                <w:rFonts w:hint="eastAsia" w:cs="Times New Roman"/>
                <w:color w:val="auto"/>
                <w:kern w:val="0"/>
                <w:sz w:val="24"/>
                <w:szCs w:val="24"/>
                <w:u w:val="none" w:color="auto"/>
                <w:lang w:val="en-US" w:eastAsia="zh-CN" w:bidi="ar"/>
              </w:rPr>
              <w:t>变压器油</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、乙炔</w:t>
            </w:r>
            <w:r>
              <w:rPr>
                <w:rFonts w:hint="eastAsia" w:ascii="Times New Roman" w:hAnsi="Times New Roman" w:eastAsia="宋体" w:cs="Times New Roman"/>
                <w:color w:val="auto"/>
                <w:kern w:val="0"/>
                <w:sz w:val="24"/>
                <w:szCs w:val="24"/>
                <w:u w:val="none" w:color="auto"/>
                <w:lang w:val="en-US" w:eastAsia="zh-CN" w:bidi="ar"/>
              </w:rPr>
              <w:t>遇明火易燃，故本项目最大可信事故为遇明火导致</w:t>
            </w:r>
            <w:r>
              <w:rPr>
                <w:rFonts w:hint="eastAsia" w:cs="Times New Roman"/>
                <w:color w:val="auto"/>
                <w:kern w:val="0"/>
                <w:sz w:val="24"/>
                <w:szCs w:val="24"/>
                <w:u w:val="none" w:color="auto"/>
                <w:lang w:val="en-US" w:eastAsia="zh-CN" w:bidi="ar"/>
              </w:rPr>
              <w:t>变压器油</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、乙炔</w:t>
            </w:r>
            <w:r>
              <w:rPr>
                <w:rFonts w:hint="eastAsia" w:ascii="Times New Roman" w:hAnsi="Times New Roman" w:eastAsia="宋体" w:cs="Times New Roman"/>
                <w:color w:val="auto"/>
                <w:kern w:val="0"/>
                <w:sz w:val="24"/>
                <w:szCs w:val="24"/>
                <w:u w:val="none" w:color="auto"/>
                <w:lang w:val="en-US" w:eastAsia="zh-CN" w:bidi="ar"/>
              </w:rPr>
              <w:t>燃烧造成的火灾风险。</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（3）废气经处理后高空排放，如遇处理设备故障或者吸附效率低下导致废气超标排放，将对工业园大气环境造成影响。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 xml:space="preserve"> </w:t>
            </w:r>
            <w:r>
              <w:rPr>
                <w:rFonts w:hint="eastAsia" w:ascii="Times New Roman" w:hAnsi="Times New Roman" w:eastAsia="宋体" w:cs="Times New Roman"/>
                <w:color w:val="auto"/>
                <w:kern w:val="0"/>
                <w:sz w:val="24"/>
                <w:szCs w:val="24"/>
                <w:u w:val="none" w:color="auto"/>
                <w:lang w:val="en-US" w:eastAsia="zh-CN" w:bidi="ar"/>
              </w:rPr>
              <w:t xml:space="preserve">环境风险分析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环评参照过往已经发生的事故情况确定本次评价的最大可信事故为：</w:t>
            </w:r>
            <w:r>
              <w:rPr>
                <w:rFonts w:hint="eastAsia" w:cs="Times New Roman"/>
                <w:color w:val="auto"/>
                <w:kern w:val="0"/>
                <w:sz w:val="24"/>
                <w:szCs w:val="24"/>
                <w:u w:val="none" w:color="auto"/>
                <w:lang w:val="en-US" w:eastAsia="zh-CN" w:bidi="ar"/>
              </w:rPr>
              <w:t>变压器油</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危险废物、</w:t>
            </w:r>
            <w:r>
              <w:rPr>
                <w:rFonts w:hint="eastAsia" w:ascii="Times New Roman" w:hAnsi="Times New Roman" w:eastAsia="宋体" w:cs="Times New Roman"/>
                <w:color w:val="auto"/>
                <w:kern w:val="0"/>
                <w:sz w:val="24"/>
                <w:szCs w:val="24"/>
                <w:u w:val="none" w:color="auto"/>
                <w:lang w:val="en-US" w:eastAsia="zh-CN" w:bidi="ar"/>
              </w:rPr>
              <w:t>水性漆</w:t>
            </w:r>
            <w:r>
              <w:rPr>
                <w:rFonts w:hint="eastAsia" w:cs="Times New Roman"/>
                <w:color w:val="auto"/>
                <w:kern w:val="0"/>
                <w:sz w:val="24"/>
                <w:szCs w:val="24"/>
                <w:u w:val="none" w:color="auto"/>
                <w:lang w:val="en-US" w:eastAsia="zh-CN" w:bidi="ar"/>
              </w:rPr>
              <w:t>、乙炔</w:t>
            </w:r>
            <w:r>
              <w:rPr>
                <w:rFonts w:hint="eastAsia" w:ascii="Times New Roman" w:hAnsi="Times New Roman" w:eastAsia="宋体" w:cs="Times New Roman"/>
                <w:color w:val="auto"/>
                <w:kern w:val="0"/>
                <w:sz w:val="24"/>
                <w:szCs w:val="24"/>
                <w:u w:val="none" w:color="auto"/>
                <w:lang w:val="en-US" w:eastAsia="zh-CN" w:bidi="ar"/>
              </w:rPr>
              <w:t xml:space="preserve">泄漏事故、废气超标排放。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）泄漏事故影响分析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本项目若管理操作不当或意外事故，如贮桶遇昼夜温差变化较大</w:t>
            </w:r>
            <w:r>
              <w:rPr>
                <w:rFonts w:hint="eastAsia" w:cs="Times New Roman"/>
                <w:color w:val="auto"/>
                <w:kern w:val="0"/>
                <w:sz w:val="24"/>
                <w:szCs w:val="24"/>
                <w:u w:val="none" w:color="auto"/>
                <w:lang w:val="en-US" w:eastAsia="zh-CN" w:bidi="ar"/>
              </w:rPr>
              <w:t>、操作不当</w:t>
            </w:r>
            <w:r>
              <w:rPr>
                <w:rFonts w:hint="eastAsia" w:ascii="Times New Roman" w:hAnsi="Times New Roman" w:eastAsia="宋体" w:cs="Times New Roman"/>
                <w:color w:val="auto"/>
                <w:kern w:val="0"/>
                <w:sz w:val="24"/>
                <w:szCs w:val="24"/>
                <w:u w:val="none" w:color="auto"/>
                <w:lang w:val="en-US" w:eastAsia="zh-CN" w:bidi="ar"/>
              </w:rPr>
              <w:t>而导致泄漏，存在</w:t>
            </w:r>
            <w:r>
              <w:rPr>
                <w:rFonts w:hint="eastAsia" w:cs="Times New Roman"/>
                <w:color w:val="auto"/>
                <w:kern w:val="0"/>
                <w:sz w:val="24"/>
                <w:szCs w:val="24"/>
                <w:u w:val="none" w:color="auto"/>
                <w:lang w:val="en-US" w:eastAsia="zh-CN" w:bidi="ar"/>
              </w:rPr>
              <w:t>危险废物、</w:t>
            </w:r>
            <w:r>
              <w:rPr>
                <w:rFonts w:hint="eastAsia" w:ascii="Times New Roman" w:hAnsi="Times New Roman" w:eastAsia="宋体" w:cs="Times New Roman"/>
                <w:color w:val="auto"/>
                <w:kern w:val="0"/>
                <w:sz w:val="24"/>
                <w:szCs w:val="24"/>
                <w:u w:val="none" w:color="auto"/>
                <w:lang w:val="en-US" w:eastAsia="zh-CN" w:bidi="ar"/>
              </w:rPr>
              <w:t>水性漆泄漏事故风险</w:t>
            </w:r>
            <w:r>
              <w:rPr>
                <w:rFonts w:hint="eastAsia" w:cs="Times New Roman"/>
                <w:color w:val="auto"/>
                <w:kern w:val="0"/>
                <w:sz w:val="24"/>
                <w:szCs w:val="24"/>
                <w:u w:val="none" w:color="auto"/>
                <w:lang w:val="en-US" w:eastAsia="zh-CN" w:bidi="ar"/>
              </w:rPr>
              <w:t>；储油罐卸油口破损、罐体损坏等导致变压器油泄漏事故风险；乙炔储存瓶破损、接口损坏等事故发生泄漏</w:t>
            </w:r>
            <w:r>
              <w:rPr>
                <w:rFonts w:hint="eastAsia" w:ascii="Times New Roman" w:hAnsi="Times New Roman" w:eastAsia="宋体" w:cs="Times New Roman"/>
                <w:color w:val="auto"/>
                <w:kern w:val="0"/>
                <w:sz w:val="24"/>
                <w:szCs w:val="24"/>
                <w:u w:val="none" w:color="auto"/>
                <w:lang w:val="en-US" w:eastAsia="zh-CN" w:bidi="ar"/>
              </w:rPr>
              <w:t xml:space="preserve">。这不仅会对周围环境产生较大的污染影响，甚至还要危及人身的生命安全。此外，储存、装卸过程可能造成的原料泄漏，除在大气中挥发而损耗外，其余部分会随着地面冲洗水进入污水管道，如果不做好清污分流，地面冲洗水有可能进入雨水管道，从而造成地表水体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2</w:t>
            </w:r>
            <w:r>
              <w:rPr>
                <w:rFonts w:hint="eastAsia" w:ascii="Times New Roman" w:hAnsi="Times New Roman" w:eastAsia="宋体" w:cs="Times New Roman"/>
                <w:color w:val="auto"/>
                <w:kern w:val="0"/>
                <w:sz w:val="24"/>
                <w:szCs w:val="24"/>
                <w:u w:val="none" w:color="auto"/>
                <w:lang w:val="en-US" w:eastAsia="zh-CN" w:bidi="ar"/>
              </w:rPr>
              <w:t xml:space="preserve">）火灾事故影响分析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一旦发生火灾事故，有毒有害气体可通过热辐射、烟雾及冲击波等形式扩散至空气中，泄漏液体和消防水将进入排水系统以及渗透到土壤中，会造成财产损失和人员伤亡，以及水环境、土壤环境的污染。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（3）废气超标排放事故影响分析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本项目若管理操作不当或设备故障、处理能力低下，如风机损坏、活性炭已饱和吸附效率低下导致废气超标排放。这不仅会对周围环境产生较大的污染影响，甚至还要危及人身的生命安全。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 xml:space="preserve">环境风险防范措施及应急要求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1</w:t>
            </w:r>
            <w:r>
              <w:rPr>
                <w:rFonts w:hint="eastAsia" w:ascii="Times New Roman" w:hAnsi="Times New Roman" w:eastAsia="宋体" w:cs="Times New Roman"/>
                <w:color w:val="auto"/>
                <w:kern w:val="0"/>
                <w:sz w:val="24"/>
                <w:szCs w:val="24"/>
                <w:u w:val="none" w:color="auto"/>
                <w:lang w:val="en-US" w:eastAsia="zh-CN" w:bidi="ar"/>
              </w:rPr>
              <w:t xml:space="preserve">）火灾风险防范措施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a</w:t>
            </w:r>
            <w:r>
              <w:rPr>
                <w:rFonts w:hint="eastAsia" w:ascii="Times New Roman" w:hAnsi="Times New Roman" w:eastAsia="宋体" w:cs="Times New Roman"/>
                <w:color w:val="auto"/>
                <w:kern w:val="0"/>
                <w:sz w:val="24"/>
                <w:szCs w:val="24"/>
                <w:u w:val="none" w:color="auto"/>
                <w:lang w:val="en-US" w:eastAsia="zh-CN" w:bidi="ar"/>
              </w:rPr>
              <w:t xml:space="preserve">、火患往往起于细微之处，要格外注意用电的安全，合理布置电源电线的使用。不要同时使用大功率电器，也不要把所有电器设备的插头都插在一个接线板上，避免线路老化，短路发生火灾。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b</w:t>
            </w:r>
            <w:r>
              <w:rPr>
                <w:rFonts w:hint="eastAsia" w:ascii="Times New Roman" w:hAnsi="Times New Roman" w:eastAsia="宋体" w:cs="Times New Roman"/>
                <w:color w:val="auto"/>
                <w:kern w:val="0"/>
                <w:sz w:val="24"/>
                <w:szCs w:val="24"/>
                <w:u w:val="none" w:color="auto"/>
                <w:lang w:val="en-US" w:eastAsia="zh-CN" w:bidi="ar"/>
              </w:rPr>
              <w:t xml:space="preserve">、易燃物品贮存区禁止明火进入，严禁吸烟。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c</w:t>
            </w:r>
            <w:r>
              <w:rPr>
                <w:rFonts w:hint="eastAsia" w:ascii="Times New Roman" w:hAnsi="Times New Roman" w:eastAsia="宋体" w:cs="Times New Roman"/>
                <w:color w:val="auto"/>
                <w:kern w:val="0"/>
                <w:sz w:val="24"/>
                <w:szCs w:val="24"/>
                <w:u w:val="none" w:color="auto"/>
                <w:lang w:val="en-US" w:eastAsia="zh-CN" w:bidi="ar"/>
              </w:rPr>
              <w:t xml:space="preserve">、生产厂房、易燃物品贮存区须确保全面通风、配备相应品种和数量的消防器材，预留必要的安全间距，远离火种和热源，防止阳光直射。车间工作人员及相关责任人均应熟悉其放置地点，用法，而且要经常检查，消防通道保持畅通。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d</w:t>
            </w:r>
            <w:r>
              <w:rPr>
                <w:rFonts w:hint="eastAsia" w:ascii="Times New Roman" w:hAnsi="Times New Roman" w:eastAsia="宋体" w:cs="Times New Roman"/>
                <w:color w:val="auto"/>
                <w:kern w:val="0"/>
                <w:sz w:val="24"/>
                <w:szCs w:val="24"/>
                <w:u w:val="none" w:color="auto"/>
                <w:lang w:val="en-US" w:eastAsia="zh-CN" w:bidi="ar"/>
              </w:rPr>
              <w:t xml:space="preserve">、应加强消防设施及消防教育建设，对重要场所需要重点防范，制定严格的操作规范，避免火灾等事故发生。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e</w:t>
            </w:r>
            <w:r>
              <w:rPr>
                <w:rFonts w:hint="eastAsia" w:ascii="Times New Roman" w:hAnsi="Times New Roman" w:eastAsia="宋体" w:cs="Times New Roman"/>
                <w:color w:val="auto"/>
                <w:kern w:val="0"/>
                <w:sz w:val="24"/>
                <w:szCs w:val="24"/>
                <w:u w:val="none" w:color="auto"/>
                <w:lang w:val="en-US" w:eastAsia="zh-CN" w:bidi="ar"/>
              </w:rPr>
              <w:t xml:space="preserve">、确保安全出口和疏散通道畅通无阻。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f</w:t>
            </w:r>
            <w:r>
              <w:rPr>
                <w:rFonts w:hint="eastAsia" w:ascii="Times New Roman" w:hAnsi="Times New Roman" w:eastAsia="宋体" w:cs="Times New Roman"/>
                <w:color w:val="auto"/>
                <w:kern w:val="0"/>
                <w:sz w:val="24"/>
                <w:szCs w:val="24"/>
                <w:u w:val="none" w:color="auto"/>
                <w:lang w:val="en-US" w:eastAsia="zh-CN" w:bidi="ar"/>
              </w:rPr>
              <w:t>、加强电气防火安全管理，消除火灾隐患，不得超负荷用电，不得擅自拉接临时电线。</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g</w:t>
            </w:r>
            <w:r>
              <w:rPr>
                <w:rFonts w:hint="eastAsia" w:ascii="Times New Roman" w:hAnsi="Times New Roman" w:eastAsia="宋体" w:cs="Times New Roman"/>
                <w:color w:val="auto"/>
                <w:kern w:val="0"/>
                <w:sz w:val="24"/>
                <w:szCs w:val="24"/>
                <w:u w:val="none" w:color="auto"/>
                <w:lang w:val="en-US" w:eastAsia="zh-CN" w:bidi="ar"/>
              </w:rPr>
              <w:t xml:space="preserve">、对于电器的使用，应当养成随手断电、随手关灯的好习惯。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h</w:t>
            </w:r>
            <w:r>
              <w:rPr>
                <w:rFonts w:hint="eastAsia" w:ascii="Times New Roman" w:hAnsi="Times New Roman" w:eastAsia="宋体" w:cs="Times New Roman"/>
                <w:color w:val="auto"/>
                <w:kern w:val="0"/>
                <w:sz w:val="24"/>
                <w:szCs w:val="24"/>
                <w:u w:val="none" w:color="auto"/>
                <w:lang w:val="en-US" w:eastAsia="zh-CN" w:bidi="ar"/>
              </w:rPr>
              <w:t>、定期对操作人员进行安全生产与安全知识培训，并制定严格的安全操作规程</w:t>
            </w:r>
            <w:r>
              <w:rPr>
                <w:rFonts w:hint="eastAsia" w:cs="Times New Roman"/>
                <w:color w:val="auto"/>
                <w:kern w:val="0"/>
                <w:sz w:val="24"/>
                <w:szCs w:val="24"/>
                <w:u w:val="none" w:color="auto"/>
                <w:lang w:val="en-US" w:eastAsia="zh-CN" w:bidi="ar"/>
              </w:rPr>
              <w:t>，</w:t>
            </w:r>
            <w:r>
              <w:rPr>
                <w:rFonts w:hint="eastAsia" w:ascii="Times New Roman" w:hAnsi="Times New Roman" w:eastAsia="宋体" w:cs="Times New Roman"/>
                <w:color w:val="auto"/>
                <w:kern w:val="0"/>
                <w:sz w:val="24"/>
                <w:szCs w:val="24"/>
                <w:u w:val="none" w:color="auto"/>
                <w:lang w:val="en-US" w:eastAsia="zh-CN" w:bidi="ar"/>
              </w:rPr>
              <w:t xml:space="preserve">切实加强生产过程中的温度控制，保证劳动安全，防止意外事故的发生。应加强消防设施及消防教育建设，对厂区等重要场所需要重点防范，制定严格的操作规范，避免火灾等事故发生。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i</w:t>
            </w:r>
            <w:r>
              <w:rPr>
                <w:rFonts w:hint="eastAsia" w:ascii="Times New Roman" w:hAnsi="Times New Roman" w:eastAsia="宋体" w:cs="Times New Roman"/>
                <w:color w:val="auto"/>
                <w:kern w:val="0"/>
                <w:sz w:val="24"/>
                <w:szCs w:val="24"/>
                <w:u w:val="none" w:color="auto"/>
                <w:lang w:val="en-US" w:eastAsia="zh-CN" w:bidi="ar"/>
              </w:rPr>
              <w:t xml:space="preserve">、火灾发生时，先把总电源关掉，按响警铃以警示车间内其他人员，同时联络消防队，利用灭火器尽量灭火，如果无效，应该马上离开现场到安全地点集合，在离开时要确保所有人都已经离开车间，再把门窗关上。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j</w:t>
            </w:r>
            <w:r>
              <w:rPr>
                <w:rFonts w:hint="eastAsia" w:ascii="Times New Roman" w:hAnsi="Times New Roman" w:eastAsia="宋体" w:cs="Times New Roman"/>
                <w:color w:val="auto"/>
                <w:kern w:val="0"/>
                <w:sz w:val="24"/>
                <w:szCs w:val="24"/>
                <w:u w:val="none" w:color="auto"/>
                <w:lang w:val="en-US" w:eastAsia="zh-CN" w:bidi="ar"/>
              </w:rPr>
              <w:t xml:space="preserve">、为了减轻万一发生火灾事故造成的损失，工厂还应该制定火灾应急预案，并报上级主管部门批准，并定期演练。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eastAsia" w:ascii="Times New Roman" w:hAnsi="Times New Roman" w:eastAsia="宋体" w:cs="Times New Roman"/>
                <w:color w:val="auto"/>
                <w:kern w:val="0"/>
                <w:sz w:val="24"/>
                <w:szCs w:val="24"/>
                <w:u w:val="single" w:color="auto"/>
                <w:lang w:val="en-US" w:eastAsia="zh-CN" w:bidi="ar"/>
              </w:rPr>
              <w:t>（</w:t>
            </w:r>
            <w:r>
              <w:rPr>
                <w:rFonts w:hint="default" w:ascii="Times New Roman" w:hAnsi="Times New Roman" w:eastAsia="宋体" w:cs="Times New Roman"/>
                <w:color w:val="auto"/>
                <w:kern w:val="0"/>
                <w:sz w:val="24"/>
                <w:szCs w:val="24"/>
                <w:u w:val="single" w:color="auto"/>
                <w:lang w:val="en-US" w:eastAsia="zh-CN" w:bidi="ar"/>
              </w:rPr>
              <w:t>2</w:t>
            </w:r>
            <w:r>
              <w:rPr>
                <w:rFonts w:hint="eastAsia" w:ascii="Times New Roman" w:hAnsi="Times New Roman" w:eastAsia="宋体" w:cs="Times New Roman"/>
                <w:color w:val="auto"/>
                <w:kern w:val="0"/>
                <w:sz w:val="24"/>
                <w:szCs w:val="24"/>
                <w:u w:val="single" w:color="auto"/>
                <w:lang w:val="en-US" w:eastAsia="zh-CN" w:bidi="ar"/>
              </w:rPr>
              <w:t xml:space="preserve">）泄漏防范措施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a</w:t>
            </w:r>
            <w:r>
              <w:rPr>
                <w:rFonts w:hint="eastAsia" w:ascii="Times New Roman" w:hAnsi="Times New Roman" w:eastAsia="宋体" w:cs="Times New Roman"/>
                <w:color w:val="auto"/>
                <w:kern w:val="0"/>
                <w:sz w:val="24"/>
                <w:szCs w:val="24"/>
                <w:u w:val="single" w:color="auto"/>
                <w:lang w:val="en-US" w:eastAsia="zh-CN" w:bidi="ar"/>
              </w:rPr>
              <w:t>、运营期除定期检查</w:t>
            </w:r>
            <w:r>
              <w:rPr>
                <w:rFonts w:hint="eastAsia" w:cs="Times New Roman"/>
                <w:color w:val="auto"/>
                <w:kern w:val="0"/>
                <w:sz w:val="24"/>
                <w:szCs w:val="24"/>
                <w:u w:val="single" w:color="auto"/>
                <w:lang w:val="en-US" w:eastAsia="zh-CN" w:bidi="ar"/>
              </w:rPr>
              <w:t>变压器油</w:t>
            </w:r>
            <w:r>
              <w:rPr>
                <w:rFonts w:hint="eastAsia" w:ascii="Times New Roman" w:hAnsi="Times New Roman" w:eastAsia="宋体" w:cs="Times New Roman"/>
                <w:color w:val="auto"/>
                <w:kern w:val="0"/>
                <w:sz w:val="24"/>
                <w:szCs w:val="24"/>
                <w:u w:val="single" w:color="auto"/>
                <w:lang w:val="en-US" w:eastAsia="zh-CN" w:bidi="ar"/>
              </w:rPr>
              <w:t>、</w:t>
            </w:r>
            <w:r>
              <w:rPr>
                <w:rFonts w:hint="eastAsia" w:cs="Times New Roman"/>
                <w:color w:val="auto"/>
                <w:kern w:val="0"/>
                <w:sz w:val="24"/>
                <w:szCs w:val="24"/>
                <w:u w:val="single" w:color="auto"/>
                <w:lang w:val="en-US" w:eastAsia="zh-CN" w:bidi="ar"/>
              </w:rPr>
              <w:t>危险废物</w:t>
            </w:r>
            <w:r>
              <w:rPr>
                <w:rFonts w:hint="eastAsia" w:ascii="Times New Roman" w:hAnsi="Times New Roman" w:eastAsia="宋体" w:cs="Times New Roman"/>
                <w:color w:val="auto"/>
                <w:kern w:val="0"/>
                <w:sz w:val="24"/>
                <w:szCs w:val="24"/>
                <w:u w:val="single" w:color="auto"/>
                <w:lang w:val="en-US" w:eastAsia="zh-CN" w:bidi="ar"/>
              </w:rPr>
              <w:t>、水性漆等液体是否发生泄露外，还应对车间地面进行水泥硬化，并作防渗处理</w:t>
            </w:r>
            <w:r>
              <w:rPr>
                <w:rFonts w:hint="eastAsia" w:cs="Times New Roman"/>
                <w:color w:val="auto"/>
                <w:kern w:val="0"/>
                <w:sz w:val="24"/>
                <w:szCs w:val="24"/>
                <w:u w:val="single" w:color="auto"/>
                <w:lang w:val="en-US" w:eastAsia="zh-CN" w:bidi="ar"/>
              </w:rPr>
              <w:t>；油罐区设置围堰、原辅料仓库门口设置拱背型围堰；乙炔设置专门储存区域、并安装标识标牌</w:t>
            </w:r>
            <w:r>
              <w:rPr>
                <w:rFonts w:hint="eastAsia" w:ascii="Times New Roman" w:hAnsi="Times New Roman" w:eastAsia="宋体" w:cs="Times New Roman"/>
                <w:color w:val="auto"/>
                <w:kern w:val="0"/>
                <w:sz w:val="24"/>
                <w:szCs w:val="24"/>
                <w:u w:val="single" w:color="auto"/>
                <w:lang w:val="en-US" w:eastAsia="zh-CN" w:bidi="ar"/>
              </w:rPr>
              <w:t xml:space="preserve">。应按照有关消防规范储存，并配备必要的消防设施。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single" w:color="auto"/>
                <w:lang w:val="en-US" w:eastAsia="zh-CN" w:bidi="ar"/>
              </w:rPr>
            </w:pPr>
            <w:r>
              <w:rPr>
                <w:rFonts w:hint="default" w:ascii="Times New Roman" w:hAnsi="Times New Roman" w:eastAsia="宋体" w:cs="Times New Roman"/>
                <w:color w:val="auto"/>
                <w:kern w:val="0"/>
                <w:sz w:val="24"/>
                <w:szCs w:val="24"/>
                <w:u w:val="single" w:color="auto"/>
                <w:lang w:val="en-US" w:eastAsia="zh-CN" w:bidi="ar"/>
              </w:rPr>
              <w:t>b</w:t>
            </w:r>
            <w:r>
              <w:rPr>
                <w:rFonts w:hint="eastAsia" w:ascii="Times New Roman" w:hAnsi="Times New Roman" w:eastAsia="宋体" w:cs="Times New Roman"/>
                <w:color w:val="auto"/>
                <w:kern w:val="0"/>
                <w:sz w:val="24"/>
                <w:szCs w:val="24"/>
                <w:u w:val="single" w:color="auto"/>
                <w:lang w:val="en-US" w:eastAsia="zh-CN" w:bidi="ar"/>
              </w:rPr>
              <w:t>、危废暂存间应按规范设置</w:t>
            </w:r>
            <w:r>
              <w:rPr>
                <w:rFonts w:hint="eastAsia" w:cs="Times New Roman"/>
                <w:color w:val="auto"/>
                <w:kern w:val="0"/>
                <w:sz w:val="24"/>
                <w:szCs w:val="24"/>
                <w:u w:val="single" w:color="auto"/>
                <w:lang w:val="en-US" w:eastAsia="zh-CN" w:bidi="ar"/>
              </w:rPr>
              <w:t>，危险废物门口设置拱背型围堰。</w:t>
            </w:r>
            <w:r>
              <w:rPr>
                <w:rFonts w:hint="eastAsia" w:ascii="Times New Roman" w:hAnsi="Times New Roman" w:eastAsia="宋体" w:cs="Times New Roman"/>
                <w:color w:val="auto"/>
                <w:kern w:val="0"/>
                <w:sz w:val="24"/>
                <w:szCs w:val="24"/>
                <w:u w:val="single" w:color="auto"/>
                <w:lang w:val="en-US" w:eastAsia="zh-CN" w:bidi="ar"/>
              </w:rPr>
              <w:t xml:space="preserve">防止泄露的危废污染地表水体。同时，应强化管理，并及时交有资质的单位处置。 </w:t>
            </w:r>
          </w:p>
          <w:p>
            <w:pPr>
              <w:keepNext w:val="0"/>
              <w:keepLines w:val="0"/>
              <w:widowControl/>
              <w:suppressLineNumbers w:val="0"/>
              <w:spacing w:line="360" w:lineRule="auto"/>
              <w:ind w:firstLine="462" w:firstLineChars="200"/>
              <w:jc w:val="left"/>
              <w:rPr>
                <w:rFonts w:hint="eastAsia"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default" w:ascii="Times New Roman" w:hAnsi="Times New Roman" w:eastAsia="宋体" w:cs="Times New Roman"/>
                <w:color w:val="auto"/>
                <w:kern w:val="0"/>
                <w:sz w:val="24"/>
                <w:szCs w:val="24"/>
                <w:u w:val="none" w:color="auto"/>
                <w:lang w:val="en-US" w:eastAsia="zh-CN" w:bidi="ar"/>
              </w:rPr>
              <w:t>3</w:t>
            </w: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废气超标排放防范措施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a</w:t>
            </w:r>
            <w:r>
              <w:rPr>
                <w:rFonts w:hint="default" w:ascii="Times New Roman" w:hAnsi="Times New Roman" w:eastAsia="宋体" w:cs="Times New Roman"/>
                <w:color w:val="auto"/>
                <w:kern w:val="0"/>
                <w:sz w:val="24"/>
                <w:szCs w:val="24"/>
                <w:u w:val="none" w:color="auto"/>
                <w:lang w:val="en-US" w:eastAsia="zh-CN" w:bidi="ar"/>
              </w:rPr>
              <w:t>废气末端治理措施必须确保日常正常运行，如发现人为原因不开启环保治理设置，责任人应受行政和经济处罚，并承担事故排放责任。若末端治理措施因故不能运行，则必须停止生产。</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b</w:t>
            </w:r>
            <w:r>
              <w:rPr>
                <w:rFonts w:hint="default" w:ascii="Times New Roman" w:hAnsi="Times New Roman" w:eastAsia="宋体" w:cs="Times New Roman"/>
                <w:color w:val="auto"/>
                <w:kern w:val="0"/>
                <w:sz w:val="24"/>
                <w:szCs w:val="24"/>
                <w:u w:val="none" w:color="auto"/>
                <w:lang w:val="en-US" w:eastAsia="zh-CN" w:bidi="ar"/>
              </w:rPr>
              <w:t>为确保处理效率，在车间设备检修期间，末端处理系统也应同时进行检修，日常应有专人负责进行维护。</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c</w:t>
            </w:r>
            <w:r>
              <w:rPr>
                <w:rFonts w:hint="default" w:ascii="Times New Roman" w:hAnsi="Times New Roman" w:eastAsia="宋体" w:cs="Times New Roman"/>
                <w:color w:val="auto"/>
                <w:kern w:val="0"/>
                <w:sz w:val="24"/>
                <w:szCs w:val="24"/>
                <w:u w:val="none" w:color="auto"/>
                <w:lang w:val="en-US" w:eastAsia="zh-CN" w:bidi="ar"/>
              </w:rPr>
              <w:t>废气处理岗位严格按照操作规程进行，确保废气处理效果。</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d</w:t>
            </w:r>
            <w:r>
              <w:rPr>
                <w:rFonts w:hint="default" w:ascii="Times New Roman" w:hAnsi="Times New Roman" w:eastAsia="宋体" w:cs="Times New Roman"/>
                <w:color w:val="auto"/>
                <w:kern w:val="0"/>
                <w:sz w:val="24"/>
                <w:szCs w:val="24"/>
                <w:u w:val="none" w:color="auto"/>
                <w:lang w:val="en-US" w:eastAsia="zh-CN" w:bidi="ar"/>
              </w:rPr>
              <w:t>对废气治理设施进行定期检修（每周至少一次），保证其正常运行，同时，为了确保废气净化设施的电力供应，本环评要求：</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如果全厂停电，停止生产，无污染物产生。为确保安全，风机仍然继续运转（采用应急发电机）。风机出现故障时，备用风机立即启动。</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其他防范措施</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default" w:ascii="Times New Roman" w:hAnsi="Times New Roman" w:eastAsia="宋体" w:cs="Times New Roman"/>
                <w:color w:val="auto"/>
                <w:kern w:val="0"/>
                <w:sz w:val="24"/>
                <w:szCs w:val="24"/>
                <w:u w:val="none" w:color="auto"/>
                <w:lang w:val="en-US" w:eastAsia="zh-CN" w:bidi="ar"/>
              </w:rPr>
              <w:t>厂区内应按照规范的要求配置手提式干粉灭火器、二氧化碳灭火器等。按规范要求配备足够的正压式防毒面具</w:t>
            </w:r>
            <w:r>
              <w:rPr>
                <w:rFonts w:hint="eastAsia" w:ascii="Times New Roman" w:hAnsi="Times New Roman" w:eastAsia="宋体" w:cs="Times New Roman"/>
                <w:color w:val="auto"/>
                <w:kern w:val="0"/>
                <w:sz w:val="24"/>
                <w:szCs w:val="24"/>
                <w:u w:val="none" w:color="auto"/>
                <w:lang w:val="en-US" w:eastAsia="zh-CN" w:bidi="ar"/>
              </w:rPr>
              <w:t>。</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w:t>
            </w:r>
            <w:r>
              <w:rPr>
                <w:rFonts w:hint="eastAsia" w:cs="Times New Roman"/>
                <w:color w:val="auto"/>
                <w:kern w:val="0"/>
                <w:sz w:val="24"/>
                <w:szCs w:val="24"/>
                <w:u w:val="none" w:color="auto"/>
                <w:lang w:val="en-US" w:eastAsia="zh-CN" w:bidi="ar"/>
              </w:rPr>
              <w:t>4</w:t>
            </w:r>
            <w:r>
              <w:rPr>
                <w:rFonts w:hint="eastAsia" w:ascii="Times New Roman" w:hAnsi="Times New Roman" w:eastAsia="宋体" w:cs="Times New Roman"/>
                <w:color w:val="auto"/>
                <w:kern w:val="0"/>
                <w:sz w:val="24"/>
                <w:szCs w:val="24"/>
                <w:u w:val="none" w:color="auto"/>
                <w:lang w:val="en-US" w:eastAsia="zh-CN" w:bidi="ar"/>
              </w:rPr>
              <w:t xml:space="preserve">）建立事故救援应急机制 </w:t>
            </w:r>
          </w:p>
          <w:p>
            <w:pPr>
              <w:keepNext w:val="0"/>
              <w:keepLines w:val="0"/>
              <w:widowControl/>
              <w:suppressLineNumbers w:val="0"/>
              <w:spacing w:line="360" w:lineRule="auto"/>
              <w:ind w:firstLine="462" w:firstLineChars="200"/>
              <w:jc w:val="left"/>
              <w:rPr>
                <w:rFonts w:hint="default" w:ascii="Times New Roman" w:hAnsi="Times New Roman" w:eastAsia="宋体" w:cs="Times New Roman"/>
                <w:color w:val="auto"/>
                <w:kern w:val="0"/>
                <w:sz w:val="24"/>
                <w:szCs w:val="24"/>
                <w:u w:val="none" w:color="auto"/>
                <w:lang w:val="en-US" w:eastAsia="zh-CN" w:bidi="ar"/>
              </w:rPr>
            </w:pPr>
            <w:r>
              <w:rPr>
                <w:rFonts w:hint="eastAsia" w:ascii="Times New Roman" w:hAnsi="Times New Roman" w:eastAsia="宋体" w:cs="Times New Roman"/>
                <w:color w:val="auto"/>
                <w:kern w:val="0"/>
                <w:sz w:val="24"/>
                <w:szCs w:val="24"/>
                <w:u w:val="none" w:color="auto"/>
                <w:lang w:val="en-US" w:eastAsia="zh-CN" w:bidi="ar"/>
              </w:rPr>
              <w:t>为保证企业及人民生命财产的安全，在发生事故时，能够迅速有序的开展救援工作，尽最大努力减少事故的危害和损失，根据《企业事业单位突发环境事件应急预案备案管理办法（试行）》，公司需成立一负责人为总指挥，分管生产负责人为副指挥的事故应急救援队伍，指挥部下设立办公室、工程抢修救援组、医疗救护组、后勤保障组。制定《突发环境事故应急救援预案》和实施细则，组织专业队伍学习和演练，提高队伍实战能力，防患于未然，以便应急救援工作的顺利开展。同时该厂必须将本单位危险源及有关安全措施、应急措施报告地方政府的安全生产监督管理部门和有关部门，以便政府及有关部门能够及时掌握有关情况，一旦发生事故，政府及其有关部门可以调动有关方面的力量进行救援，以减少事故损失</w:t>
            </w:r>
            <w:r>
              <w:rPr>
                <w:rFonts w:hint="eastAsia" w:cs="Times New Roman"/>
                <w:color w:val="auto"/>
                <w:kern w:val="0"/>
                <w:sz w:val="24"/>
                <w:szCs w:val="24"/>
                <w:u w:val="none" w:color="auto"/>
                <w:lang w:val="en-US" w:eastAsia="zh-CN" w:bidi="ar"/>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ind w:firstLine="462" w:firstLineChars="200"/>
              <w:textAlignment w:val="auto"/>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项目环境风险简单分析内容表见表</w:t>
            </w:r>
            <w:r>
              <w:rPr>
                <w:rFonts w:hint="eastAsia" w:cs="Times New Roman"/>
                <w:color w:val="auto"/>
                <w:kern w:val="0"/>
                <w:sz w:val="24"/>
                <w:szCs w:val="24"/>
                <w:u w:val="none" w:color="auto"/>
                <w:lang w:val="en-US" w:eastAsia="zh-CN"/>
              </w:rPr>
              <w:t>7-21</w:t>
            </w:r>
            <w:r>
              <w:rPr>
                <w:rFonts w:hint="default" w:ascii="Times New Roman" w:hAnsi="Times New Roman" w:cs="Times New Roman"/>
                <w:color w:val="auto"/>
                <w:kern w:val="0"/>
                <w:sz w:val="24"/>
                <w:szCs w:val="24"/>
                <w:u w:val="none" w:color="auto"/>
              </w:rPr>
              <w:t>。</w:t>
            </w:r>
          </w:p>
          <w:p>
            <w:pPr>
              <w:keepNext w:val="0"/>
              <w:keepLines w:val="0"/>
              <w:pageBreakBefore w:val="0"/>
              <w:widowControl w:val="0"/>
              <w:tabs>
                <w:tab w:val="left" w:pos="942"/>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val="0"/>
                <w:color w:val="auto"/>
                <w:kern w:val="0"/>
                <w:sz w:val="21"/>
                <w:szCs w:val="21"/>
                <w:u w:val="none" w:color="auto"/>
              </w:rPr>
            </w:pPr>
            <w:r>
              <w:rPr>
                <w:rFonts w:hint="default" w:ascii="Times New Roman" w:hAnsi="Times New Roman" w:eastAsia="宋体" w:cs="Times New Roman"/>
                <w:b/>
                <w:bCs w:val="0"/>
                <w:color w:val="auto"/>
                <w:sz w:val="21"/>
                <w:szCs w:val="21"/>
                <w:u w:val="none" w:color="auto"/>
              </w:rPr>
              <w:t>表</w:t>
            </w:r>
            <w:r>
              <w:rPr>
                <w:rFonts w:hint="eastAsia" w:cs="Times New Roman"/>
                <w:b/>
                <w:bCs w:val="0"/>
                <w:color w:val="auto"/>
                <w:sz w:val="21"/>
                <w:szCs w:val="21"/>
                <w:u w:val="none" w:color="auto"/>
                <w:lang w:val="en-US" w:eastAsia="zh-CN"/>
              </w:rPr>
              <w:t>7-21</w:t>
            </w:r>
            <w:r>
              <w:rPr>
                <w:rFonts w:hint="default" w:ascii="Times New Roman" w:hAnsi="Times New Roman" w:eastAsia="宋体" w:cs="Times New Roman"/>
                <w:b/>
                <w:bCs w:val="0"/>
                <w:color w:val="auto"/>
                <w:sz w:val="21"/>
                <w:szCs w:val="21"/>
                <w:u w:val="none" w:color="auto"/>
              </w:rPr>
              <w:t xml:space="preserve">  建设项目环境风险简单分析内容表</w:t>
            </w:r>
          </w:p>
          <w:tbl>
            <w:tblPr>
              <w:tblStyle w:val="40"/>
              <w:tblW w:w="906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9"/>
              <w:gridCol w:w="1260"/>
              <w:gridCol w:w="1992"/>
              <w:gridCol w:w="1315"/>
              <w:gridCol w:w="22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建设项目名称</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eastAsia="zh-CN"/>
                    </w:rPr>
                    <w:t>“文星”节能变压器产品革新及技术改造项目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建设地点</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eastAsia="zh-CN"/>
                    </w:rPr>
                    <w:t>湖南省</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eastAsia" w:ascii="Times New Roman" w:hAnsi="Times New Roman" w:eastAsia="宋体" w:cs="Times New Roman"/>
                      <w:color w:val="auto"/>
                      <w:kern w:val="0"/>
                      <w:sz w:val="22"/>
                      <w:szCs w:val="22"/>
                      <w:u w:val="none" w:color="auto"/>
                      <w:lang w:eastAsia="zh-CN"/>
                    </w:rPr>
                  </w:pPr>
                  <w:r>
                    <w:rPr>
                      <w:rFonts w:hint="eastAsia" w:cs="Times New Roman"/>
                      <w:color w:val="auto"/>
                      <w:kern w:val="0"/>
                      <w:sz w:val="22"/>
                      <w:szCs w:val="22"/>
                      <w:u w:val="none" w:color="auto"/>
                      <w:lang w:eastAsia="zh-CN"/>
                    </w:rPr>
                    <w:t>岳阳市</w:t>
                  </w:r>
                </w:p>
              </w:tc>
              <w:tc>
                <w:tcPr>
                  <w:tcW w:w="3611" w:type="dxa"/>
                  <w:gridSpan w:val="2"/>
                  <w:tcBorders>
                    <w:tl2br w:val="nil"/>
                    <w:tr2bl w:val="nil"/>
                  </w:tcBorders>
                  <w:noWrap w:val="0"/>
                  <w:vAlign w:val="center"/>
                </w:tcPr>
                <w:p>
                  <w:pPr>
                    <w:tabs>
                      <w:tab w:val="left" w:pos="942"/>
                    </w:tabs>
                    <w:adjustRightInd w:val="0"/>
                    <w:snapToGrid w:val="0"/>
                    <w:spacing w:line="360" w:lineRule="auto"/>
                    <w:jc w:val="center"/>
                    <w:rPr>
                      <w:rFonts w:hint="default" w:cs="Times New Roman"/>
                      <w:color w:val="auto"/>
                      <w:kern w:val="0"/>
                      <w:sz w:val="22"/>
                      <w:szCs w:val="22"/>
                      <w:u w:val="none" w:color="auto"/>
                      <w:lang w:eastAsia="zh-CN"/>
                    </w:rPr>
                  </w:pPr>
                  <w:r>
                    <w:rPr>
                      <w:rFonts w:hint="eastAsia" w:cs="Times New Roman"/>
                      <w:color w:val="auto"/>
                      <w:sz w:val="22"/>
                      <w:szCs w:val="22"/>
                      <w:u w:val="none" w:color="auto"/>
                      <w:lang w:eastAsia="zh-CN"/>
                    </w:rPr>
                    <w:t>湖南省湘阴县工业园区健铭路（湖南湘变电气有限责任公司内）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地理坐标</w:t>
                  </w:r>
                </w:p>
              </w:tc>
              <w:tc>
                <w:tcPr>
                  <w:tcW w:w="1260"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经度</w:t>
                  </w:r>
                </w:p>
              </w:tc>
              <w:tc>
                <w:tcPr>
                  <w:tcW w:w="1992"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112.919680</w:t>
                  </w:r>
                </w:p>
              </w:tc>
              <w:tc>
                <w:tcPr>
                  <w:tcW w:w="1315"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纬度</w:t>
                  </w:r>
                </w:p>
              </w:tc>
              <w:tc>
                <w:tcPr>
                  <w:tcW w:w="2296"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28.642163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主要危险物质及分布</w:t>
                  </w:r>
                </w:p>
              </w:tc>
              <w:tc>
                <w:tcPr>
                  <w:tcW w:w="6863" w:type="dxa"/>
                  <w:gridSpan w:val="4"/>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eastAsia="宋体" w:cs="Times New Roman"/>
                      <w:color w:val="auto"/>
                      <w:kern w:val="0"/>
                      <w:sz w:val="22"/>
                      <w:szCs w:val="22"/>
                      <w:u w:val="none" w:color="auto"/>
                      <w:lang w:val="en-US" w:eastAsia="zh-CN"/>
                    </w:rPr>
                  </w:pPr>
                  <w:r>
                    <w:rPr>
                      <w:rFonts w:hint="eastAsia" w:cs="Times New Roman"/>
                      <w:color w:val="auto"/>
                      <w:kern w:val="0"/>
                      <w:sz w:val="22"/>
                      <w:szCs w:val="22"/>
                      <w:u w:val="none" w:color="auto"/>
                      <w:lang w:val="en-US" w:eastAsia="zh-CN"/>
                    </w:rPr>
                    <w:t>原辅材料仓库、危险废物储存间、油罐区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环境影响途径及危害后果(大气、地表水、地下水等)</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ind w:firstLine="422" w:firstLineChars="200"/>
                    <w:jc w:val="left"/>
                    <w:textAlignment w:val="auto"/>
                    <w:rPr>
                      <w:rFonts w:hint="default" w:ascii="Times New Roman" w:hAnsi="Times New Roman" w:cs="Times New Roman"/>
                      <w:color w:val="auto"/>
                      <w:kern w:val="0"/>
                      <w:sz w:val="22"/>
                      <w:szCs w:val="22"/>
                      <w:u w:val="none" w:color="auto"/>
                      <w:lang w:val="en-US" w:eastAsia="zh-CN"/>
                    </w:rPr>
                  </w:pPr>
                  <w:r>
                    <w:rPr>
                      <w:rFonts w:hint="eastAsia" w:ascii="Times New Roman" w:hAnsi="Times New Roman" w:cs="Times New Roman"/>
                      <w:color w:val="auto"/>
                      <w:kern w:val="0"/>
                      <w:sz w:val="22"/>
                      <w:szCs w:val="22"/>
                      <w:u w:val="none" w:color="auto"/>
                      <w:lang w:val="en-US" w:eastAsia="zh-CN"/>
                    </w:rPr>
                    <w:t>如不做好防范措施，</w:t>
                  </w:r>
                  <w:r>
                    <w:rPr>
                      <w:rFonts w:hint="eastAsia" w:cs="Times New Roman"/>
                      <w:color w:val="auto"/>
                      <w:kern w:val="0"/>
                      <w:sz w:val="22"/>
                      <w:szCs w:val="22"/>
                      <w:u w:val="none" w:color="auto"/>
                      <w:lang w:val="en-US" w:eastAsia="zh-CN"/>
                    </w:rPr>
                    <w:t>变压器油</w:t>
                  </w:r>
                  <w:r>
                    <w:rPr>
                      <w:rFonts w:hint="eastAsia" w:ascii="Times New Roman" w:hAnsi="Times New Roman" w:cs="Times New Roman"/>
                      <w:color w:val="auto"/>
                      <w:kern w:val="0"/>
                      <w:sz w:val="22"/>
                      <w:szCs w:val="22"/>
                      <w:u w:val="none" w:color="auto"/>
                      <w:lang w:val="en-US" w:eastAsia="zh-CN"/>
                    </w:rPr>
                    <w:t>、</w:t>
                  </w:r>
                  <w:r>
                    <w:rPr>
                      <w:rFonts w:hint="eastAsia" w:cs="Times New Roman"/>
                      <w:color w:val="auto"/>
                      <w:kern w:val="0"/>
                      <w:sz w:val="22"/>
                      <w:szCs w:val="22"/>
                      <w:u w:val="none" w:color="auto"/>
                      <w:lang w:val="en-US" w:eastAsia="zh-CN"/>
                    </w:rPr>
                    <w:t>磷化剂、危险废物</w:t>
                  </w:r>
                  <w:r>
                    <w:rPr>
                      <w:rFonts w:hint="eastAsia" w:ascii="Times New Roman" w:hAnsi="Times New Roman" w:cs="Times New Roman"/>
                      <w:color w:val="auto"/>
                      <w:kern w:val="0"/>
                      <w:sz w:val="22"/>
                      <w:szCs w:val="22"/>
                      <w:u w:val="none" w:color="auto"/>
                      <w:lang w:val="en-US" w:eastAsia="zh-CN"/>
                    </w:rPr>
                    <w:t>、水性漆泄漏会流入市政管网。造成</w:t>
                  </w:r>
                  <w:r>
                    <w:rPr>
                      <w:rFonts w:hint="eastAsia" w:cs="Times New Roman"/>
                      <w:color w:val="auto"/>
                      <w:kern w:val="0"/>
                      <w:sz w:val="22"/>
                      <w:szCs w:val="22"/>
                      <w:u w:val="none" w:color="auto"/>
                      <w:lang w:val="en-US" w:eastAsia="zh-CN"/>
                    </w:rPr>
                    <w:t>变压器油、危险废物</w:t>
                  </w:r>
                  <w:r>
                    <w:rPr>
                      <w:rFonts w:hint="eastAsia" w:ascii="Times New Roman" w:hAnsi="Times New Roman" w:cs="Times New Roman"/>
                      <w:color w:val="auto"/>
                      <w:kern w:val="0"/>
                      <w:sz w:val="22"/>
                      <w:szCs w:val="22"/>
                      <w:u w:val="none" w:color="auto"/>
                      <w:lang w:val="en-US" w:eastAsia="zh-CN"/>
                    </w:rPr>
                    <w:t>、水性漆浪费，同时对</w:t>
                  </w:r>
                  <w:r>
                    <w:rPr>
                      <w:rFonts w:hint="eastAsia" w:cs="Times New Roman"/>
                      <w:color w:val="auto"/>
                      <w:kern w:val="0"/>
                      <w:sz w:val="22"/>
                      <w:szCs w:val="22"/>
                      <w:u w:val="none" w:color="auto"/>
                      <w:lang w:val="en-US" w:eastAsia="zh-CN"/>
                    </w:rPr>
                    <w:t>周边</w:t>
                  </w:r>
                  <w:r>
                    <w:rPr>
                      <w:rFonts w:hint="eastAsia" w:ascii="Times New Roman" w:hAnsi="Times New Roman" w:cs="Times New Roman"/>
                      <w:color w:val="auto"/>
                      <w:kern w:val="0"/>
                      <w:sz w:val="22"/>
                      <w:szCs w:val="22"/>
                      <w:u w:val="none" w:color="auto"/>
                      <w:lang w:val="en-US" w:eastAsia="zh-CN"/>
                    </w:rPr>
                    <w:t>水质造成冲击影响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99" w:type="dxa"/>
                  <w:tcBorders>
                    <w:tl2br w:val="nil"/>
                    <w:tr2bl w:val="nil"/>
                  </w:tcBorders>
                  <w:noWrap w:val="0"/>
                  <w:vAlign w:val="center"/>
                </w:tcPr>
                <w:p>
                  <w:pPr>
                    <w:tabs>
                      <w:tab w:val="left" w:pos="942"/>
                    </w:tabs>
                    <w:adjustRightInd w:val="0"/>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风险防范措施要求</w:t>
                  </w:r>
                </w:p>
              </w:tc>
              <w:tc>
                <w:tcPr>
                  <w:tcW w:w="6863" w:type="dxa"/>
                  <w:gridSpan w:val="4"/>
                  <w:tcBorders>
                    <w:tl2br w:val="nil"/>
                    <w:tr2bl w:val="nil"/>
                  </w:tcBorders>
                  <w:noWrap w:val="0"/>
                  <w:vAlign w:val="center"/>
                </w:tcPr>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①加强职工的环保教育，提高安全防范风险的意识；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②厂区地面进行硬化；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③</w:t>
                  </w:r>
                  <w:r>
                    <w:rPr>
                      <w:rFonts w:hint="eastAsia" w:cs="Times New Roman"/>
                      <w:color w:val="auto"/>
                      <w:kern w:val="0"/>
                      <w:sz w:val="22"/>
                      <w:szCs w:val="22"/>
                      <w:u w:val="none" w:color="auto"/>
                      <w:lang w:val="en-US" w:eastAsia="zh-CN"/>
                    </w:rPr>
                    <w:t>油罐区设置围堰，地面进行硬化处理；</w:t>
                  </w:r>
                  <w:r>
                    <w:rPr>
                      <w:rFonts w:hint="eastAsia" w:ascii="Times New Roman" w:hAnsi="Times New Roman" w:cs="Times New Roman"/>
                      <w:color w:val="auto"/>
                      <w:kern w:val="0"/>
                      <w:sz w:val="22"/>
                      <w:szCs w:val="22"/>
                      <w:u w:val="none" w:color="auto"/>
                      <w:lang w:val="en-US" w:eastAsia="zh-CN"/>
                    </w:rPr>
                    <w:t>水性漆</w:t>
                  </w:r>
                  <w:r>
                    <w:rPr>
                      <w:rFonts w:hint="eastAsia" w:cs="Times New Roman"/>
                      <w:color w:val="auto"/>
                      <w:kern w:val="0"/>
                      <w:sz w:val="22"/>
                      <w:szCs w:val="22"/>
                      <w:u w:val="none" w:color="auto"/>
                      <w:lang w:val="en-US" w:eastAsia="zh-CN"/>
                    </w:rPr>
                    <w:t>储存间门口设置拱背型围堰，地面进行硬化处理、乙炔设置专门区域、增加标识标牌</w:t>
                  </w:r>
                  <w:r>
                    <w:rPr>
                      <w:rFonts w:hint="eastAsia" w:ascii="Times New Roman" w:hAnsi="Times New Roman" w:cs="Times New Roman"/>
                      <w:color w:val="auto"/>
                      <w:kern w:val="0"/>
                      <w:sz w:val="22"/>
                      <w:szCs w:val="22"/>
                      <w:u w:val="none" w:color="auto"/>
                      <w:lang w:val="en-US" w:eastAsia="zh-CN"/>
                    </w:rPr>
                    <w:t xml:space="preserve">。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rPr>
                  </w:pPr>
                  <w:r>
                    <w:rPr>
                      <w:rFonts w:hint="eastAsia" w:ascii="Times New Roman" w:hAnsi="Times New Roman" w:cs="Times New Roman"/>
                      <w:color w:val="auto"/>
                      <w:kern w:val="0"/>
                      <w:sz w:val="22"/>
                      <w:szCs w:val="22"/>
                      <w:u w:val="none" w:color="auto"/>
                      <w:lang w:val="en-US" w:eastAsia="zh-CN"/>
                    </w:rPr>
                    <w:t xml:space="preserve">④建立夜间值班巡查制度； </w:t>
                  </w:r>
                </w:p>
                <w:p>
                  <w:pPr>
                    <w:keepNext w:val="0"/>
                    <w:keepLines w:val="0"/>
                    <w:pageBreakBefore w:val="0"/>
                    <w:widowControl w:val="0"/>
                    <w:tabs>
                      <w:tab w:val="left" w:pos="942"/>
                    </w:tabs>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color w:val="auto"/>
                      <w:kern w:val="0"/>
                      <w:sz w:val="22"/>
                      <w:szCs w:val="22"/>
                      <w:u w:val="none" w:color="auto"/>
                      <w:lang w:eastAsia="zh-CN"/>
                    </w:rPr>
                  </w:pPr>
                  <w:r>
                    <w:rPr>
                      <w:rFonts w:hint="eastAsia" w:ascii="Times New Roman" w:hAnsi="Times New Roman" w:cs="Times New Roman"/>
                      <w:color w:val="auto"/>
                      <w:kern w:val="0"/>
                      <w:sz w:val="22"/>
                      <w:szCs w:val="22"/>
                      <w:u w:val="none" w:color="auto"/>
                      <w:lang w:val="en-US" w:eastAsia="zh-CN"/>
                    </w:rPr>
                    <w:t>⑤危废暂存间应按规范设置</w:t>
                  </w:r>
                  <w:r>
                    <w:rPr>
                      <w:rFonts w:hint="eastAsia" w:cs="Times New Roman"/>
                      <w:color w:val="auto"/>
                      <w:kern w:val="0"/>
                      <w:sz w:val="22"/>
                      <w:szCs w:val="22"/>
                      <w:u w:val="none" w:color="auto"/>
                      <w:lang w:val="en-US" w:eastAsia="zh-CN"/>
                    </w:rPr>
                    <w:t>，门口设置拱背型围堰，</w:t>
                  </w:r>
                  <w:r>
                    <w:rPr>
                      <w:rFonts w:hint="eastAsia" w:ascii="Times New Roman" w:hAnsi="Times New Roman" w:cs="Times New Roman"/>
                      <w:color w:val="auto"/>
                      <w:kern w:val="0"/>
                      <w:sz w:val="22"/>
                      <w:szCs w:val="22"/>
                      <w:u w:val="none" w:color="auto"/>
                      <w:lang w:val="en-US" w:eastAsia="zh-CN"/>
                    </w:rPr>
                    <w:t>防止泄露的危废污染地表水体。同时，应强化管理，并及时交有资质的单位处置</w:t>
                  </w:r>
                  <w:r>
                    <w:rPr>
                      <w:rFonts w:hint="default" w:ascii="Times New Roman" w:hAnsi="Times New Roman" w:cs="Times New Roman"/>
                      <w:color w:val="auto"/>
                      <w:kern w:val="0"/>
                      <w:sz w:val="22"/>
                      <w:szCs w:val="22"/>
                      <w:u w:val="none" w:color="auto"/>
                      <w:lang w:eastAsia="zh-CN"/>
                    </w:rPr>
                    <w:t>。</w:t>
                  </w:r>
                </w:p>
              </w:tc>
            </w:tr>
          </w:tbl>
          <w:p>
            <w:pPr>
              <w:pStyle w:val="172"/>
              <w:spacing w:line="360" w:lineRule="auto"/>
              <w:ind w:firstLine="462" w:firstLineChars="200"/>
              <w:rPr>
                <w:rFonts w:hint="default" w:ascii="Times New Roman" w:hAnsi="Times New Roman" w:cs="Times New Roman"/>
                <w:color w:val="auto"/>
                <w:sz w:val="24"/>
                <w:szCs w:val="24"/>
                <w:u w:val="none" w:color="auto"/>
              </w:rPr>
            </w:pPr>
            <w:bookmarkStart w:id="8" w:name="_Toc280188871"/>
            <w:bookmarkStart w:id="9" w:name="_Toc299377553"/>
            <w:bookmarkStart w:id="10" w:name="_Toc312221061"/>
            <w:bookmarkStart w:id="11" w:name="_Toc424919844"/>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风险评价结论</w:t>
            </w:r>
            <w:bookmarkEnd w:id="8"/>
            <w:bookmarkEnd w:id="9"/>
            <w:bookmarkEnd w:id="10"/>
            <w:bookmarkEnd w:id="11"/>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严格落实本报告的提出各项事故防范和应急措施，加强管理，可最大限度地减少可能发生的环境风险。且一旦发生事故，也可将影响范围控制在较小程度之内，减小损失。企业在运营期间应不断完善企业事故防范和应急体系，实现企业联防联动，减少项目环境风险事故发生的概率，其影响危害可控制在厂区内，其风险在可接受范围内。</w:t>
            </w:r>
          </w:p>
          <w:p>
            <w:pPr>
              <w:pStyle w:val="185"/>
              <w:spacing w:line="360" w:lineRule="auto"/>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应急预案</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组织机构、参加单位、人员及作用；环境应急工作组负责现场所需抢险物资的搬运及现场抢救工作，做好各小队之间的协调配合工作。迅速、有效地实施先期处置，全力控制事故灾难发展态势，防止次生、衍生和耦合事故发生，果断控制或切断事故灾害链。</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明确应急反应总负责人，以及每一具体行动负责人；负责人负责应急救援指挥工作，发布抢险救援命令，对特殊情况进行紧急决断，协调副总指挥工作内容，向上级领导报告事故及对事故的处理情况。</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认可能发生的事故类型、地点；定期组织隐患排查治理，公司对仓库、重要生产设备、设施和场所采取24小时值班巡检和不定期检测等方式进行监控；遵循“早发现、早报告、早处置”的原则对异常情况及早处置。建设单位应编制危险废物装卸作业严格按照规程操作，使用的工具可避免损坏储桶，并有相应防护装置。加强安全管理，对于从事作业的工人，应进行生产操作和安全技术教育。在生产车间里，一定要严禁烟火。</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确定事故影响范围及可能影响的人数；</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确定报警方式，如电话、警报器等；</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6</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明确可用于应急求援的设备、设施；</w:t>
            </w:r>
          </w:p>
          <w:p>
            <w:pPr>
              <w:pStyle w:val="172"/>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7</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明确保护措施程序；企业应建立危险源的管理制度，落实监控措施。分析汇总数据，并建立危险源台帐、档案。对区域内容易引发突发环境事件的环境危险源、危险区域进行调查、登记、风险评估，对环境危险源、危险区域采用人工和自动监控</w:t>
            </w:r>
            <w:r>
              <w:rPr>
                <w:rFonts w:hint="eastAsia" w:cs="Times New Roman"/>
                <w:color w:val="auto"/>
                <w:sz w:val="24"/>
                <w:szCs w:val="24"/>
                <w:u w:val="none" w:color="auto"/>
                <w:lang w:eastAsia="zh-CN"/>
              </w:rPr>
              <w:t>；</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8</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做好事故后的恢复工作程序；</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9</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做好培训与演练。</w:t>
            </w:r>
          </w:p>
          <w:p>
            <w:pPr>
              <w:pStyle w:val="34"/>
              <w:spacing w:line="360" w:lineRule="auto"/>
              <w:ind w:left="0" w:leftChars="0" w:firstLine="462" w:firstLineChars="200"/>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综上所述，本项目采取以上措施后，风险防范措施切实可行，在采取安全防范措施和监控系统以及事故应急预案后，项目的事故风险在可接受范围内</w:t>
            </w:r>
            <w:r>
              <w:rPr>
                <w:rFonts w:hint="eastAsia" w:cs="Times New Roman"/>
                <w:color w:val="auto"/>
                <w:sz w:val="24"/>
                <w:szCs w:val="24"/>
                <w:u w:val="none" w:color="auto"/>
                <w:lang w:eastAsia="zh-CN"/>
              </w:rPr>
              <w:t>。</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8</w:t>
            </w:r>
            <w:r>
              <w:rPr>
                <w:rFonts w:hint="default" w:ascii="Times New Roman" w:hAnsi="Times New Roman" w:cs="Times New Roman"/>
                <w:b/>
                <w:bCs/>
                <w:color w:val="auto"/>
                <w:sz w:val="24"/>
                <w:szCs w:val="24"/>
                <w:u w:val="none" w:color="auto"/>
              </w:rPr>
              <w:t>、环境管理与监测计划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环境管理</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环境管理是协调经济发展与环境保护的关系，是使经济、社会、环境有序持续发展的重要手段，根据本项目的工程特性，建设单位应设置工程管理机构中环境保护管理专职人员，其环境管理主要内容如下：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贯彻落实国家和地方的环境保护法律、法规、政策和标准，接受行业主管部门的监督、领导，配合环境保护主管部门做好环保工作；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制订全厂环境管理规章制度以及各种污染物排放控制指标；</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定期检查环保设施的运行情况，并根据存在的问题提出改进意见； 参与企业的环保设施竣工验收和污染事故的调查与处理工作；</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在岗职工按环保要求对设备进行操作管理，操作人员需通过培训和定期考核，方可上岗。</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2）</w:t>
            </w:r>
            <w:r>
              <w:rPr>
                <w:rFonts w:hint="default" w:ascii="Times New Roman" w:hAnsi="Times New Roman" w:cs="Times New Roman"/>
                <w:color w:val="auto"/>
                <w:sz w:val="24"/>
                <w:szCs w:val="24"/>
                <w:u w:val="none" w:color="auto"/>
              </w:rPr>
              <w:t>环境监测计划</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为切实做好废气的达标排放及污染物排放总量控制，及时了解和掌握建设项目营运期主要污染源污染物的排放情况，建设单位应定期委托有资质的环境监测单位对本项目建设后主要污染源排放的污染物进行监测。</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建议监测点位置和主要监测项目详见表 7-</w:t>
            </w:r>
            <w:r>
              <w:rPr>
                <w:rFonts w:hint="eastAsia" w:cs="Times New Roman"/>
                <w:color w:val="auto"/>
                <w:sz w:val="24"/>
                <w:szCs w:val="24"/>
                <w:u w:val="none" w:color="auto"/>
                <w:lang w:val="en-US" w:eastAsia="zh-CN"/>
              </w:rPr>
              <w:t>22</w:t>
            </w:r>
            <w:r>
              <w:rPr>
                <w:rFonts w:hint="default" w:ascii="Times New Roman" w:hAnsi="Times New Roman" w:cs="Times New Roman"/>
                <w:color w:val="auto"/>
                <w:sz w:val="24"/>
                <w:szCs w:val="24"/>
                <w:u w:val="none" w:color="auto"/>
              </w:rPr>
              <w:t>。</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22</w:t>
            </w:r>
            <w:r>
              <w:rPr>
                <w:rFonts w:hint="default" w:ascii="Times New Roman" w:hAnsi="Times New Roman" w:cs="Times New Roman"/>
                <w:color w:val="auto"/>
                <w:sz w:val="24"/>
                <w:szCs w:val="24"/>
                <w:u w:val="none" w:color="auto"/>
              </w:rPr>
              <w:t xml:space="preserve"> 本项目监测方案</w:t>
            </w:r>
          </w:p>
          <w:tbl>
            <w:tblPr>
              <w:tblStyle w:val="40"/>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056"/>
              <w:gridCol w:w="2474"/>
              <w:gridCol w:w="2859"/>
              <w:gridCol w:w="167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1" w:hRule="atLeast"/>
              </w:trPr>
              <w:tc>
                <w:tcPr>
                  <w:tcW w:w="20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监测项目</w:t>
                  </w: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监测点位</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主要监测因子</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监测频次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56" w:hRule="atLeast"/>
              </w:trPr>
              <w:tc>
                <w:tcPr>
                  <w:tcW w:w="205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大气</w:t>
                  </w: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cs="Times New Roman"/>
                      <w:color w:val="auto"/>
                      <w:sz w:val="21"/>
                      <w:szCs w:val="21"/>
                      <w:u w:val="none" w:color="auto"/>
                      <w:lang w:eastAsia="zh-CN"/>
                    </w:rPr>
                    <w:t>喷塑</w:t>
                  </w:r>
                  <w:r>
                    <w:rPr>
                      <w:rFonts w:hint="default" w:ascii="Times New Roman" w:hAnsi="Times New Roman" w:cs="Times New Roman"/>
                      <w:color w:val="auto"/>
                      <w:sz w:val="21"/>
                      <w:szCs w:val="21"/>
                      <w:u w:val="none" w:color="auto"/>
                    </w:rPr>
                    <w:t>废气排气筒</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lang w:eastAsia="zh-CN"/>
                    </w:rPr>
                    <w:t>颗粒物</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eastAsia="zh-CN"/>
                    </w:rPr>
                    <w:t>半年</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6" w:hRule="atLeast"/>
              </w:trPr>
              <w:tc>
                <w:tcPr>
                  <w:tcW w:w="205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烘干固化</w:t>
                  </w:r>
                  <w:r>
                    <w:rPr>
                      <w:rFonts w:hint="default" w:ascii="Times New Roman" w:hAnsi="Times New Roman" w:cs="Times New Roman"/>
                      <w:color w:val="auto"/>
                      <w:sz w:val="21"/>
                      <w:szCs w:val="21"/>
                      <w:u w:val="none" w:color="auto"/>
                    </w:rPr>
                    <w:t>废气</w:t>
                  </w:r>
                  <w:r>
                    <w:rPr>
                      <w:rFonts w:hint="eastAsia" w:cs="Times New Roman"/>
                      <w:color w:val="auto"/>
                      <w:sz w:val="21"/>
                      <w:szCs w:val="21"/>
                      <w:u w:val="none" w:color="auto"/>
                      <w:lang w:eastAsia="zh-CN"/>
                    </w:rPr>
                    <w:t>、喷漆废气排气筒（现有）</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颗粒物、</w:t>
                  </w:r>
                  <w:r>
                    <w:rPr>
                      <w:rFonts w:hint="default" w:ascii="Times New Roman" w:hAnsi="Times New Roman" w:cs="Times New Roman"/>
                      <w:color w:val="auto"/>
                      <w:sz w:val="21"/>
                      <w:szCs w:val="21"/>
                      <w:u w:val="none" w:color="auto"/>
                      <w:lang w:val="en-US" w:eastAsia="zh-CN"/>
                    </w:rPr>
                    <w:t>VOC</w:t>
                  </w:r>
                  <w:r>
                    <w:rPr>
                      <w:rFonts w:hint="default" w:ascii="Times New Roman" w:hAnsi="Times New Roman" w:cs="Times New Roman"/>
                      <w:color w:val="auto"/>
                      <w:sz w:val="21"/>
                      <w:szCs w:val="21"/>
                      <w:u w:val="none" w:color="auto"/>
                      <w:vertAlign w:val="subscript"/>
                      <w:lang w:val="en-US" w:eastAsia="zh-CN"/>
                    </w:rPr>
                    <w:t>S</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半年</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6" w:hRule="atLeast"/>
              </w:trPr>
              <w:tc>
                <w:tcPr>
                  <w:tcW w:w="205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rPr>
                    <w:t>厂界</w:t>
                  </w:r>
                  <w:r>
                    <w:rPr>
                      <w:rFonts w:hint="default" w:ascii="Times New Roman" w:hAnsi="Times New Roman" w:cs="Times New Roman"/>
                      <w:color w:val="auto"/>
                      <w:sz w:val="21"/>
                      <w:szCs w:val="21"/>
                      <w:u w:val="none" w:color="auto"/>
                      <w:lang w:val="en-US" w:eastAsia="zh-CN"/>
                    </w:rPr>
                    <w:t>上、</w:t>
                  </w:r>
                  <w:r>
                    <w:rPr>
                      <w:rFonts w:hint="default" w:ascii="Times New Roman" w:hAnsi="Times New Roman" w:cs="Times New Roman"/>
                      <w:color w:val="auto"/>
                      <w:sz w:val="21"/>
                      <w:szCs w:val="21"/>
                      <w:u w:val="none" w:color="auto"/>
                      <w:lang w:eastAsia="zh-CN"/>
                    </w:rPr>
                    <w:t>下风向</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default" w:ascii="Times New Roman" w:hAnsi="Times New Roman" w:cs="Times New Roman"/>
                      <w:color w:val="auto"/>
                      <w:sz w:val="21"/>
                      <w:szCs w:val="21"/>
                      <w:u w:val="none" w:color="auto"/>
                      <w:lang w:eastAsia="zh-CN"/>
                    </w:rPr>
                    <w:t>颗粒物</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eastAsia" w:cs="Times New Roman"/>
                      <w:color w:val="auto"/>
                      <w:sz w:val="21"/>
                      <w:szCs w:val="21"/>
                      <w:u w:val="none" w:color="auto"/>
                      <w:lang w:eastAsia="zh-CN"/>
                    </w:rPr>
                    <w:t>半年</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0" w:hRule="atLeast"/>
              </w:trPr>
              <w:tc>
                <w:tcPr>
                  <w:tcW w:w="205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厂区内上风向、下风向</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非甲烷总烃</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1"/>
                      <w:szCs w:val="21"/>
                      <w:u w:val="none" w:color="auto"/>
                      <w:lang w:eastAsia="zh-CN"/>
                    </w:rPr>
                  </w:pPr>
                  <w:r>
                    <w:rPr>
                      <w:rFonts w:hint="eastAsia" w:cs="Times New Roman"/>
                      <w:color w:val="auto"/>
                      <w:sz w:val="21"/>
                      <w:szCs w:val="21"/>
                      <w:u w:val="none" w:color="auto"/>
                      <w:lang w:eastAsia="zh-CN"/>
                    </w:rPr>
                    <w:t>半年</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trPr>
              <w:tc>
                <w:tcPr>
                  <w:tcW w:w="20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废水</w:t>
                  </w: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cs="Times New Roman"/>
                      <w:color w:val="auto"/>
                      <w:sz w:val="21"/>
                      <w:szCs w:val="21"/>
                      <w:u w:val="none" w:color="auto"/>
                      <w:lang w:eastAsia="zh-CN"/>
                    </w:rPr>
                    <w:t>废水总排口</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val="en-US" w:eastAsia="zh-CN"/>
                    </w:rPr>
                    <w:t>pH值、悬浮物、氨氮、动植物油、化学需氧量、五日生化需氧量</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val="en-US" w:eastAsia="zh-CN"/>
                    </w:rPr>
                  </w:pPr>
                  <w:r>
                    <w:rPr>
                      <w:rFonts w:hint="eastAsia" w:cs="Times New Roman"/>
                      <w:color w:val="auto"/>
                      <w:sz w:val="21"/>
                      <w:szCs w:val="21"/>
                      <w:u w:val="none" w:color="auto"/>
                      <w:lang w:eastAsia="zh-CN"/>
                    </w:rPr>
                    <w:t>一个季度</w:t>
                  </w:r>
                  <w:r>
                    <w:rPr>
                      <w:rFonts w:hint="eastAsia" w:cs="Times New Roman"/>
                      <w:color w:val="auto"/>
                      <w:sz w:val="21"/>
                      <w:szCs w:val="21"/>
                      <w:u w:val="none" w:color="auto"/>
                      <w:lang w:val="en-US" w:eastAsia="zh-CN"/>
                    </w:rPr>
                    <w:t>/次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5" w:hRule="atLeast"/>
              </w:trPr>
              <w:tc>
                <w:tcPr>
                  <w:tcW w:w="20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噪声</w:t>
                  </w:r>
                </w:p>
              </w:tc>
              <w:tc>
                <w:tcPr>
                  <w:tcW w:w="24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lang w:eastAsia="zh-CN"/>
                    </w:rPr>
                  </w:pPr>
                  <w:r>
                    <w:rPr>
                      <w:rFonts w:hint="default" w:ascii="Times New Roman" w:hAnsi="Times New Roman" w:cs="Times New Roman"/>
                      <w:color w:val="auto"/>
                      <w:sz w:val="21"/>
                      <w:szCs w:val="21"/>
                      <w:u w:val="none" w:color="auto"/>
                    </w:rPr>
                    <w:t>厂界</w:t>
                  </w:r>
                  <w:r>
                    <w:rPr>
                      <w:rFonts w:hint="default" w:ascii="Times New Roman" w:hAnsi="Times New Roman" w:cs="Times New Roman"/>
                      <w:color w:val="auto"/>
                      <w:sz w:val="21"/>
                      <w:szCs w:val="21"/>
                      <w:u w:val="none" w:color="auto"/>
                      <w:lang w:eastAsia="zh-CN"/>
                    </w:rPr>
                    <w:t>四周</w:t>
                  </w:r>
                </w:p>
              </w:tc>
              <w:tc>
                <w:tcPr>
                  <w:tcW w:w="28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color w:val="auto"/>
                      <w:sz w:val="21"/>
                      <w:szCs w:val="21"/>
                      <w:u w:val="none" w:color="auto"/>
                      <w:lang w:eastAsia="zh-CN"/>
                    </w:rPr>
                  </w:pPr>
                  <w:r>
                    <w:rPr>
                      <w:rFonts w:hint="eastAsia" w:ascii="Times New Roman" w:hAnsi="Times New Roman" w:cs="Times New Roman"/>
                      <w:color w:val="auto"/>
                      <w:sz w:val="21"/>
                      <w:szCs w:val="21"/>
                      <w:u w:val="none" w:color="auto"/>
                      <w:lang w:eastAsia="zh-CN"/>
                    </w:rPr>
                    <w:t>噪声</w:t>
                  </w:r>
                </w:p>
              </w:tc>
              <w:tc>
                <w:tcPr>
                  <w:tcW w:w="16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lang w:eastAsia="zh-CN"/>
                    </w:rPr>
                    <w:t>一个季度</w:t>
                  </w:r>
                  <w:r>
                    <w:rPr>
                      <w:rFonts w:hint="default" w:ascii="Times New Roman" w:hAnsi="Times New Roman" w:cs="Times New Roman"/>
                      <w:color w:val="auto"/>
                      <w:sz w:val="21"/>
                      <w:szCs w:val="21"/>
                      <w:u w:val="none" w:color="auto"/>
                      <w:lang w:val="en-US" w:eastAsia="zh-CN"/>
                    </w:rPr>
                    <w:t>/</w:t>
                  </w:r>
                  <w:r>
                    <w:rPr>
                      <w:rFonts w:hint="default" w:ascii="Times New Roman" w:hAnsi="Times New Roman" w:cs="Times New Roman"/>
                      <w:color w:val="auto"/>
                      <w:sz w:val="21"/>
                      <w:szCs w:val="21"/>
                      <w:u w:val="none" w:color="auto"/>
                    </w:rPr>
                    <w:t>次</w:t>
                  </w:r>
                </w:p>
              </w:tc>
            </w:tr>
          </w:tbl>
          <w:p>
            <w:pPr>
              <w:pStyle w:val="34"/>
              <w:spacing w:line="360" w:lineRule="auto"/>
              <w:ind w:left="4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监测计划实施由公司负责组织协调，可委托有资质的环境监测单位承担监测任务</w:t>
            </w:r>
          </w:p>
          <w:p>
            <w:pPr>
              <w:snapToGrid w:val="0"/>
              <w:spacing w:line="360" w:lineRule="auto"/>
              <w:ind w:firstLine="462" w:firstLineChars="200"/>
              <w:rPr>
                <w:rFonts w:hint="default" w:ascii="Times New Roman" w:hAnsi="Times New Roman" w:cs="Times New Roman"/>
                <w:b/>
                <w:color w:val="auto"/>
                <w:sz w:val="24"/>
                <w:szCs w:val="24"/>
                <w:u w:val="none" w:color="auto"/>
              </w:rPr>
            </w:pPr>
            <w:r>
              <w:rPr>
                <w:rFonts w:hint="eastAsia" w:cs="Times New Roman"/>
                <w:b/>
                <w:color w:val="auto"/>
                <w:sz w:val="24"/>
                <w:szCs w:val="24"/>
                <w:u w:val="none" w:color="auto"/>
                <w:lang w:val="en-US" w:eastAsia="zh-CN"/>
              </w:rPr>
              <w:t>9</w:t>
            </w:r>
            <w:r>
              <w:rPr>
                <w:rFonts w:hint="default" w:ascii="Times New Roman" w:hAnsi="Times New Roman" w:cs="Times New Roman"/>
                <w:b/>
                <w:color w:val="auto"/>
                <w:sz w:val="24"/>
                <w:szCs w:val="24"/>
                <w:u w:val="none" w:color="auto"/>
              </w:rPr>
              <w:t>、项目合理性分析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（1）产业政策符合性分析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电气设备及器材生产</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eastAsia" w:cs="Times New Roman"/>
                <w:color w:val="auto"/>
                <w:sz w:val="24"/>
                <w:szCs w:val="24"/>
                <w:u w:val="none" w:color="auto"/>
                <w:lang w:val="en-US" w:eastAsia="zh-CN"/>
              </w:rPr>
              <w:t>》</w:t>
            </w:r>
            <w:r>
              <w:rPr>
                <w:rFonts w:hint="eastAsia"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，符合国家产业政策要求。</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（2）规划合理性分析</w:t>
            </w:r>
          </w:p>
          <w:p>
            <w:pPr>
              <w:spacing w:line="360" w:lineRule="auto"/>
              <w:ind w:firstLine="462" w:firstLineChars="200"/>
              <w:rPr>
                <w:rFonts w:hint="default" w:ascii="Times New Roman" w:hAnsi="Times New Roman" w:cs="Times New Roman"/>
                <w:color w:val="auto"/>
                <w:spacing w:val="-6"/>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湖南省湘阴县工业园区健铭路（湖南湘变电气有限责任公司内）进行</w:t>
            </w:r>
            <w:r>
              <w:rPr>
                <w:rFonts w:hint="eastAsia" w:ascii="Times New Roman" w:hAnsi="Times New Roman" w:cs="Times New Roman"/>
                <w:color w:val="auto"/>
                <w:sz w:val="24"/>
                <w:szCs w:val="24"/>
                <w:u w:val="none" w:color="auto"/>
                <w:lang w:eastAsia="zh-CN"/>
              </w:rPr>
              <w:t>厂房</w:t>
            </w:r>
            <w:r>
              <w:rPr>
                <w:rFonts w:hint="eastAsia" w:cs="Times New Roman"/>
                <w:color w:val="auto"/>
                <w:sz w:val="24"/>
                <w:szCs w:val="24"/>
                <w:u w:val="none" w:color="auto"/>
                <w:lang w:eastAsia="zh-CN"/>
              </w:rPr>
              <w:t>建设</w:t>
            </w:r>
            <w:r>
              <w:rPr>
                <w:rFonts w:hint="default" w:ascii="Times New Roman" w:hAnsi="Times New Roman" w:cs="Times New Roman"/>
                <w:color w:val="auto"/>
                <w:sz w:val="24"/>
                <w:szCs w:val="24"/>
                <w:u w:val="none" w:color="auto"/>
              </w:rPr>
              <w:t>，项目所在地不属于生活饮用水水源保护区、风景名胜区等区域。根据湘阴</w:t>
            </w:r>
            <w:r>
              <w:rPr>
                <w:rFonts w:hint="eastAsia" w:cs="Times New Roman"/>
                <w:color w:val="auto"/>
                <w:sz w:val="24"/>
                <w:szCs w:val="24"/>
                <w:u w:val="none" w:color="auto"/>
                <w:lang w:eastAsia="zh-CN"/>
              </w:rPr>
              <w:t>县</w:t>
            </w:r>
            <w:r>
              <w:rPr>
                <w:rFonts w:hint="default" w:ascii="Times New Roman" w:hAnsi="Times New Roman" w:cs="Times New Roman"/>
                <w:color w:val="auto"/>
                <w:sz w:val="24"/>
                <w:szCs w:val="24"/>
                <w:u w:val="none" w:color="auto"/>
              </w:rPr>
              <w:t>土地规划可知，本项目用地性质为工业用地，用地符合湘阴用地规划要求。</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（3）选址合理性分析</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①地理位置</w:t>
            </w:r>
          </w:p>
          <w:p>
            <w:pPr>
              <w:snapToGrid w:val="0"/>
              <w:spacing w:line="360" w:lineRule="auto"/>
              <w:ind w:firstLine="453" w:firstLineChars="196"/>
              <w:rPr>
                <w:rFonts w:hint="default" w:ascii="Times New Roman" w:hAnsi="Times New Roman" w:cs="Times New Roman"/>
                <w:bCs/>
                <w:color w:val="auto"/>
                <w:sz w:val="24"/>
                <w:szCs w:val="24"/>
                <w:u w:val="none" w:color="auto"/>
              </w:rPr>
            </w:pPr>
            <w:r>
              <w:rPr>
                <w:rFonts w:hint="default" w:ascii="Times New Roman" w:hAnsi="Times New Roman" w:cs="Times New Roman"/>
                <w:bCs/>
                <w:color w:val="auto"/>
                <w:sz w:val="24"/>
                <w:szCs w:val="24"/>
                <w:u w:val="none" w:color="auto"/>
              </w:rPr>
              <w:t>本项目选址于</w:t>
            </w:r>
            <w:r>
              <w:rPr>
                <w:rFonts w:hint="eastAsia" w:cs="Times New Roman"/>
                <w:color w:val="auto"/>
                <w:sz w:val="24"/>
                <w:u w:val="none" w:color="auto"/>
                <w:lang w:eastAsia="zh-CN"/>
              </w:rPr>
              <w:t>湖南省湘阴县工业园区健铭路（湖南湘变电气有限责任公司内）</w:t>
            </w:r>
            <w:r>
              <w:rPr>
                <w:rFonts w:hint="default" w:ascii="Times New Roman" w:hAnsi="Times New Roman" w:cs="Times New Roman"/>
                <w:bCs/>
                <w:color w:val="auto"/>
                <w:sz w:val="24"/>
                <w:szCs w:val="24"/>
                <w:u w:val="none" w:color="auto"/>
              </w:rPr>
              <w:t>，交通较为便利。</w:t>
            </w:r>
            <w:r>
              <w:rPr>
                <w:rFonts w:hint="default" w:ascii="Times New Roman" w:hAnsi="Times New Roman" w:cs="Times New Roman"/>
                <w:color w:val="auto"/>
                <w:sz w:val="24"/>
                <w:szCs w:val="24"/>
                <w:u w:val="none" w:color="auto"/>
              </w:rPr>
              <w:t>本项目所在地供电、通讯、道路等基础设施比较完善，电、水源供应充足。</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②环境容量</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根据环境功能区划的划分，项目选址区环境空气功能为二级区，水体功能为Ⅲ类水体，声环境功能为</w:t>
            </w:r>
            <w:r>
              <w:rPr>
                <w:rFonts w:hint="eastAsia" w:cs="Times New Roman"/>
                <w:color w:val="auto"/>
                <w:sz w:val="24"/>
                <w:szCs w:val="24"/>
                <w:u w:val="none" w:color="auto"/>
                <w:lang w:val="en-US" w:eastAsia="zh-CN"/>
              </w:rPr>
              <w:t>3</w:t>
            </w:r>
            <w:r>
              <w:rPr>
                <w:rFonts w:hint="default" w:ascii="Times New Roman" w:hAnsi="Times New Roman" w:cs="Times New Roman"/>
                <w:color w:val="auto"/>
                <w:sz w:val="24"/>
                <w:szCs w:val="24"/>
                <w:u w:val="none" w:color="auto"/>
              </w:rPr>
              <w:t>类区。根据环境质量现状数据，本项目所在区域大气、地表水、声环境质量满足相应功能区划要求，环境质量现状良好，在充分落实本评价提出的各项处理措施后，项目营运对周围环境产生的影响较小，不会降低该区现有环境功能。</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③达标排放</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本项目营运期产生的各类污染物经过相关环保措施处理后可实现达标排放，固废可实现有效处理和处置，对周围环境产生的影响在可接受的范围之内。</w:t>
            </w:r>
          </w:p>
          <w:p>
            <w:pPr>
              <w:snapToGrid w:val="0"/>
              <w:spacing w:line="360" w:lineRule="auto"/>
              <w:ind w:firstLine="453" w:firstLineChars="196"/>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综上所述，本项目符合当地环境功能区规划，各污染物在采取相关环保措施后都可以实现达标排放，对周围环境影响不大，本项目选址合理。</w:t>
            </w:r>
          </w:p>
          <w:p>
            <w:pPr>
              <w:snapToGrid w:val="0"/>
              <w:spacing w:line="360" w:lineRule="auto"/>
              <w:ind w:firstLine="462" w:firstLineChars="200"/>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4</w:t>
            </w:r>
            <w:r>
              <w:rPr>
                <w:rFonts w:hint="eastAsia" w:cs="Times New Roman"/>
                <w:color w:val="auto"/>
                <w:sz w:val="24"/>
                <w:szCs w:val="24"/>
                <w:u w:val="none" w:color="auto"/>
                <w:lang w:eastAsia="zh-CN"/>
              </w:rPr>
              <w:t>）与湘阴县工业园规划相符性</w:t>
            </w:r>
          </w:p>
          <w:p>
            <w:pPr>
              <w:adjustRightInd w:val="0"/>
              <w:snapToGrid w:val="0"/>
              <w:spacing w:line="360" w:lineRule="auto"/>
              <w:ind w:right="172" w:rightChars="86" w:firstLine="480"/>
              <w:rPr>
                <w:sz w:val="24"/>
                <w:u w:val="none" w:color="auto"/>
              </w:rPr>
            </w:pPr>
            <w:r>
              <w:rPr>
                <w:sz w:val="24"/>
                <w:u w:val="none" w:color="auto"/>
              </w:rPr>
              <w:t>根据湘阴县工业园的产业定位：三主（发展食品加工业、电子信息、</w:t>
            </w:r>
            <w:r>
              <w:rPr>
                <w:b/>
                <w:sz w:val="24"/>
                <w:u w:val="none" w:color="auto"/>
              </w:rPr>
              <w:t>机械制造</w:t>
            </w:r>
            <w:r>
              <w:rPr>
                <w:sz w:val="24"/>
                <w:u w:val="none" w:color="auto"/>
              </w:rPr>
              <w:t>）</w:t>
            </w:r>
            <w:r>
              <w:rPr>
                <w:rFonts w:hint="eastAsia"/>
                <w:sz w:val="24"/>
                <w:u w:val="none" w:color="auto"/>
                <w:lang w:eastAsia="zh-CN"/>
              </w:rPr>
              <w:t>、</w:t>
            </w:r>
            <w:r>
              <w:rPr>
                <w:sz w:val="24"/>
                <w:u w:val="none" w:color="auto"/>
              </w:rPr>
              <w:t>三辅（建材装饰、轻纺服装和传统基础产业）形成工业园的六大产业板块，本项目为</w:t>
            </w:r>
            <w:r>
              <w:rPr>
                <w:rFonts w:hint="eastAsia"/>
                <w:sz w:val="24"/>
                <w:u w:val="none" w:color="auto"/>
                <w:lang w:eastAsia="zh-CN"/>
              </w:rPr>
              <w:t>电气设备</w:t>
            </w:r>
            <w:r>
              <w:rPr>
                <w:rFonts w:hint="eastAsia"/>
                <w:sz w:val="24"/>
                <w:u w:val="none" w:color="auto"/>
              </w:rPr>
              <w:t>生产</w:t>
            </w:r>
            <w:r>
              <w:rPr>
                <w:sz w:val="24"/>
                <w:u w:val="none" w:color="auto"/>
              </w:rPr>
              <w:t>项目，属于</w:t>
            </w:r>
            <w:r>
              <w:rPr>
                <w:rFonts w:hint="eastAsia"/>
                <w:sz w:val="24"/>
                <w:u w:val="none" w:color="auto"/>
              </w:rPr>
              <w:t>机械制造</w:t>
            </w:r>
            <w:r>
              <w:rPr>
                <w:sz w:val="24"/>
                <w:u w:val="none" w:color="auto"/>
              </w:rPr>
              <w:t>，因此本项目的建设符合湘阴县工业园的产业定位。</w:t>
            </w:r>
          </w:p>
          <w:p>
            <w:pPr>
              <w:adjustRightInd w:val="0"/>
              <w:snapToGrid w:val="0"/>
              <w:spacing w:line="360" w:lineRule="auto"/>
              <w:ind w:right="172" w:rightChars="86" w:firstLine="480"/>
              <w:rPr>
                <w:rFonts w:hint="eastAsia"/>
                <w:sz w:val="24"/>
                <w:u w:val="none" w:color="auto"/>
              </w:rPr>
            </w:pPr>
            <w:r>
              <w:rPr>
                <w:sz w:val="24"/>
                <w:u w:val="none" w:color="auto"/>
              </w:rPr>
              <w:t>与湘阴县工业园准入条件的相符性</w:t>
            </w:r>
            <w:r>
              <w:rPr>
                <w:rFonts w:hint="eastAsia"/>
                <w:sz w:val="24"/>
                <w:u w:val="none" w:color="auto"/>
              </w:rPr>
              <w:t>：根据湖南省环境保护厅文件湘环评【2013】305号 关于湖南湘阴工业园区环境影响报告书的批复中（二）“严格执行园区入园企业准入制度，严禁限制三类工业入驻，禁止大型喷涂、涉及酸雾排放等气型污染严重企业入驻；禁止涉重金属企业入驻”，本项目为</w:t>
            </w:r>
            <w:r>
              <w:rPr>
                <w:rFonts w:hint="eastAsia"/>
                <w:sz w:val="24"/>
                <w:u w:val="none" w:color="auto"/>
                <w:lang w:eastAsia="zh-CN"/>
              </w:rPr>
              <w:t>电气设备</w:t>
            </w:r>
            <w:r>
              <w:rPr>
                <w:rFonts w:hint="eastAsia"/>
                <w:sz w:val="24"/>
                <w:u w:val="none" w:color="auto"/>
              </w:rPr>
              <w:t>生产，不属于三类工业且不涉及大型喷涂、涉酸雾严重</w:t>
            </w:r>
            <w:r>
              <w:rPr>
                <w:rFonts w:hint="eastAsia"/>
                <w:sz w:val="24"/>
                <w:u w:val="none" w:color="auto"/>
                <w:lang w:eastAsia="zh-CN"/>
              </w:rPr>
              <w:t>和</w:t>
            </w:r>
            <w:r>
              <w:rPr>
                <w:rFonts w:hint="eastAsia"/>
                <w:sz w:val="24"/>
                <w:u w:val="none" w:color="auto"/>
              </w:rPr>
              <w:t>涉重金属的企业，因此本项目与园区准入条件不违背。</w:t>
            </w:r>
          </w:p>
          <w:p>
            <w:pPr>
              <w:adjustRightInd w:val="0"/>
              <w:snapToGrid w:val="0"/>
              <w:spacing w:line="360" w:lineRule="auto"/>
              <w:ind w:right="172" w:rightChars="86" w:firstLine="480"/>
              <w:rPr>
                <w:sz w:val="24"/>
                <w:u w:val="none" w:color="auto"/>
              </w:rPr>
            </w:pPr>
            <w:r>
              <w:rPr>
                <w:sz w:val="24"/>
                <w:u w:val="none" w:color="auto"/>
              </w:rPr>
              <w:t>项目所在地空气环境质量、地表水环境质量与声环境质量均较好，具有一定的环境容量，项目的建设符合当地环境功能区划要求。</w:t>
            </w:r>
          </w:p>
          <w:p>
            <w:pPr>
              <w:adjustRightInd w:val="0"/>
              <w:snapToGrid w:val="0"/>
              <w:spacing w:line="360" w:lineRule="auto"/>
              <w:ind w:right="172" w:rightChars="86" w:firstLine="480"/>
              <w:rPr>
                <w:sz w:val="24"/>
                <w:u w:val="none" w:color="auto"/>
              </w:rPr>
            </w:pPr>
            <w:r>
              <w:rPr>
                <w:sz w:val="24"/>
                <w:u w:val="none" w:color="auto"/>
              </w:rPr>
              <w:t>拟建项目地址位于湘阴县工业园内，区位优势明显：北依湘阴县城、西滨风景秀丽的湘江黄金水道，经高等级的长湘公路半小时车程可达黄花国际机场、长沙新港、京广铁路长沙北站和京珠高速公路、G107，水路交通便捷，区位优势明显。</w:t>
            </w:r>
          </w:p>
          <w:p>
            <w:pPr>
              <w:adjustRightInd w:val="0"/>
              <w:snapToGrid w:val="0"/>
              <w:spacing w:line="360" w:lineRule="auto"/>
              <w:ind w:right="172" w:rightChars="86" w:firstLine="480"/>
              <w:rPr>
                <w:sz w:val="24"/>
                <w:u w:val="none" w:color="auto"/>
              </w:rPr>
            </w:pPr>
            <w:r>
              <w:rPr>
                <w:sz w:val="24"/>
                <w:u w:val="none" w:color="auto"/>
              </w:rPr>
              <w:t>厂址所在地水、电、原料供应均有保证，满足生产及生活需求。工业园排污管网比较完善，工业园区的统一的污水处理厂</w:t>
            </w:r>
            <w:r>
              <w:rPr>
                <w:rFonts w:hint="eastAsia"/>
                <w:sz w:val="24"/>
                <w:u w:val="none" w:color="auto"/>
              </w:rPr>
              <w:t>（湘阴县第二污水处理厂），已于2016年11月试运行</w:t>
            </w:r>
            <w:r>
              <w:rPr>
                <w:sz w:val="24"/>
                <w:u w:val="none" w:color="auto"/>
              </w:rPr>
              <w:t>。</w:t>
            </w:r>
          </w:p>
          <w:p>
            <w:pPr>
              <w:snapToGrid w:val="0"/>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rPr>
              <w:t>）平面布置合理性分析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u w:val="none" w:color="auto"/>
                <w:lang w:eastAsia="zh-CN"/>
              </w:rPr>
              <w:t>湖南省湘阴县工业园区健铭路（湖南湘变电气有限责任公司内）</w:t>
            </w:r>
            <w:r>
              <w:rPr>
                <w:rFonts w:hint="default" w:ascii="Times New Roman" w:hAnsi="Times New Roman" w:cs="Times New Roman"/>
                <w:color w:val="auto"/>
                <w:sz w:val="24"/>
                <w:szCs w:val="24"/>
                <w:u w:val="none" w:color="auto"/>
              </w:rPr>
              <w:t>，根据现场调查，项目建设内容分为</w:t>
            </w:r>
            <w:r>
              <w:rPr>
                <w:rFonts w:hint="eastAsia" w:cs="Times New Roman"/>
                <w:color w:val="auto"/>
                <w:sz w:val="24"/>
                <w:szCs w:val="24"/>
                <w:u w:val="none" w:color="auto"/>
                <w:lang w:val="en-US" w:eastAsia="zh-CN"/>
              </w:rPr>
              <w:t>2个生产车间和1栋办公楼，主要有机加工区、喷塑区、原料储存区、成品区等，项目4号厂房位于厂区西侧，1号厂房位于厂区南侧，新建办公楼位于厂区西南侧</w:t>
            </w:r>
            <w:r>
              <w:rPr>
                <w:rFonts w:hint="default" w:ascii="Times New Roman" w:hAnsi="Times New Roman" w:cs="Times New Roman"/>
                <w:color w:val="auto"/>
                <w:sz w:val="24"/>
                <w:szCs w:val="24"/>
                <w:u w:val="none" w:color="auto"/>
              </w:rPr>
              <w:t>，项目主要生产设备均按照有利于物料的运输和储存的原则进行布置。平面布置比较合理。</w:t>
            </w:r>
          </w:p>
          <w:p>
            <w:pPr>
              <w:spacing w:line="360" w:lineRule="auto"/>
              <w:ind w:firstLine="462" w:firstLineChars="200"/>
              <w:rPr>
                <w:rFonts w:hint="default" w:ascii="Times New Roman" w:hAnsi="Times New Roman" w:cs="Times New Roman"/>
                <w:b/>
                <w:bCs/>
                <w:color w:val="auto"/>
                <w:sz w:val="24"/>
                <w:szCs w:val="24"/>
                <w:u w:val="none" w:color="auto"/>
              </w:rPr>
            </w:pPr>
            <w:r>
              <w:rPr>
                <w:rFonts w:hint="eastAsia" w:cs="Times New Roman"/>
                <w:b/>
                <w:bCs/>
                <w:color w:val="auto"/>
                <w:sz w:val="24"/>
                <w:szCs w:val="24"/>
                <w:u w:val="none" w:color="auto"/>
                <w:lang w:val="en-US" w:eastAsia="zh-CN"/>
              </w:rPr>
              <w:t>10</w:t>
            </w:r>
            <w:r>
              <w:rPr>
                <w:rFonts w:hint="default" w:ascii="Times New Roman" w:hAnsi="Times New Roman" w:cs="Times New Roman"/>
                <w:b/>
                <w:bCs/>
                <w:color w:val="auto"/>
                <w:sz w:val="24"/>
                <w:szCs w:val="24"/>
                <w:u w:val="none" w:color="auto"/>
                <w:lang w:val="en-US" w:eastAsia="zh-CN"/>
              </w:rPr>
              <w:t>、</w:t>
            </w:r>
            <w:r>
              <w:rPr>
                <w:rFonts w:hint="default" w:ascii="Times New Roman" w:hAnsi="Times New Roman" w:cs="Times New Roman"/>
                <w:b/>
                <w:bCs/>
                <w:color w:val="auto"/>
                <w:sz w:val="24"/>
                <w:szCs w:val="24"/>
                <w:u w:val="none" w:color="auto"/>
              </w:rPr>
              <w:t>“三线一单”符合性分析</w:t>
            </w:r>
          </w:p>
          <w:p>
            <w:pPr>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本项目选址符合所在区域现行生态环境约束性要求；项目所在区域满足环境质量底线要求；项目生产原料资源条件有保障，满足资源利用上线要求；项目产 生的污染物经采取相应防护措施后可做到达标排放，不会降低区域环境质量等级，对环境影响不大。“三线一单”符合性分析见表 7-</w:t>
            </w:r>
            <w:r>
              <w:rPr>
                <w:rFonts w:hint="eastAsia" w:cs="Times New Roman"/>
                <w:color w:val="auto"/>
                <w:sz w:val="24"/>
                <w:szCs w:val="24"/>
                <w:u w:val="none" w:color="auto"/>
                <w:lang w:val="en-US" w:eastAsia="zh-CN"/>
              </w:rPr>
              <w:t>23</w:t>
            </w:r>
            <w:r>
              <w:rPr>
                <w:rFonts w:hint="default" w:ascii="Times New Roman" w:hAnsi="Times New Roman" w:cs="Times New Roman"/>
                <w:color w:val="auto"/>
                <w:sz w:val="24"/>
                <w:szCs w:val="24"/>
                <w:u w:val="none" w:color="auto"/>
              </w:rPr>
              <w:t xml:space="preserve">。 </w:t>
            </w:r>
          </w:p>
          <w:p>
            <w:pPr>
              <w:spacing w:line="360" w:lineRule="auto"/>
              <w:ind w:firstLine="462" w:firstLineChars="20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表 7-</w:t>
            </w:r>
            <w:r>
              <w:rPr>
                <w:rFonts w:hint="eastAsia" w:cs="Times New Roman"/>
                <w:color w:val="auto"/>
                <w:sz w:val="24"/>
                <w:szCs w:val="24"/>
                <w:u w:val="none" w:color="auto"/>
                <w:lang w:val="en-US" w:eastAsia="zh-CN"/>
              </w:rPr>
              <w:t>23</w:t>
            </w:r>
            <w:r>
              <w:rPr>
                <w:rFonts w:hint="default" w:ascii="Times New Roman" w:hAnsi="Times New Roman" w:cs="Times New Roman"/>
                <w:color w:val="auto"/>
                <w:sz w:val="24"/>
                <w:szCs w:val="24"/>
                <w:u w:val="none" w:color="auto"/>
                <w:lang w:val="en-US" w:eastAsia="zh-CN"/>
              </w:rPr>
              <w:t xml:space="preserve"> </w:t>
            </w:r>
            <w:r>
              <w:rPr>
                <w:rFonts w:hint="default" w:ascii="Times New Roman" w:hAnsi="Times New Roman" w:cs="Times New Roman"/>
                <w:color w:val="auto"/>
                <w:sz w:val="24"/>
                <w:szCs w:val="24"/>
                <w:u w:val="none" w:color="auto"/>
              </w:rPr>
              <w:t>“三线一单”符合性分析</w:t>
            </w:r>
          </w:p>
          <w:tbl>
            <w:tblPr>
              <w:tblStyle w:val="40"/>
              <w:tblW w:w="906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786"/>
              <w:gridCol w:w="727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178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内容</w:t>
                  </w:r>
                </w:p>
              </w:tc>
              <w:tc>
                <w:tcPr>
                  <w:tcW w:w="7276" w:type="dxa"/>
                  <w:tcBorders>
                    <w:tl2br w:val="nil"/>
                    <w:tr2bl w:val="nil"/>
                  </w:tcBorders>
                  <w:noWrap w:val="0"/>
                  <w:vAlign w:val="center"/>
                </w:tcPr>
                <w:p>
                  <w:pPr>
                    <w:spacing w:line="360" w:lineRule="auto"/>
                    <w:ind w:firstLine="422" w:firstLineChars="20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生态保护红线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本项目位于</w:t>
                  </w:r>
                  <w:r>
                    <w:rPr>
                      <w:rFonts w:hint="eastAsia" w:cs="Times New Roman"/>
                      <w:color w:val="auto"/>
                      <w:sz w:val="22"/>
                      <w:szCs w:val="22"/>
                      <w:u w:val="none" w:color="auto"/>
                      <w:lang w:eastAsia="zh-CN"/>
                    </w:rPr>
                    <w:t>湖南省湘阴县工业园区健铭路（湖南湘变电气有限责任公司内）</w:t>
                  </w:r>
                  <w:r>
                    <w:rPr>
                      <w:rFonts w:hint="default" w:ascii="Times New Roman" w:hAnsi="Times New Roman" w:cs="Times New Roman"/>
                      <w:color w:val="auto"/>
                      <w:sz w:val="22"/>
                      <w:szCs w:val="22"/>
                      <w:u w:val="none" w:color="auto"/>
                    </w:rPr>
                    <w:t>，属工业用地，不在</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划定的生态红线范围。项目不在自然保护区、饮用水源保护区等生态保护目标内，符合生态保护红线要求。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资源利用上线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本项目运营过程中消耗一定量的电力、水等资源。①项目用电由当地电网提供；②项目用水来源为当地自来水公司。本项目电力、水的消耗量所占比重较少，符合资源利用上限要求。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93"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环境质量底线</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根据现场调查，项目场址为工业用地，通过对评价区域内空气、地表水、声的监测及调查得知，项目所在区域的环境空气、地表水体、声环境能够达到相应的环境质量标准，项目所在区域的环境质量现状较好。项目对产生的污染物采取相应的措施后，对周边环境影响很小，符合环境质量底线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6" w:hRule="atLeast"/>
              </w:trPr>
              <w:tc>
                <w:tcPr>
                  <w:tcW w:w="178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负面清单</w:t>
                  </w:r>
                </w:p>
              </w:tc>
              <w:tc>
                <w:tcPr>
                  <w:tcW w:w="7276" w:type="dxa"/>
                  <w:tcBorders>
                    <w:tl2br w:val="nil"/>
                    <w:tr2bl w:val="nil"/>
                  </w:tcBorders>
                  <w:noWrap w:val="0"/>
                  <w:vAlign w:val="center"/>
                </w:tcPr>
                <w:p>
                  <w:pPr>
                    <w:spacing w:line="360" w:lineRule="auto"/>
                    <w:ind w:firstLine="422" w:firstLineChars="200"/>
                    <w:jc w:val="both"/>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项目建设符合国家和行业的产业政策，选址符合</w:t>
                  </w:r>
                  <w:r>
                    <w:rPr>
                      <w:rFonts w:hint="default" w:ascii="Times New Roman" w:hAnsi="Times New Roman" w:cs="Times New Roman"/>
                      <w:color w:val="auto"/>
                      <w:sz w:val="22"/>
                      <w:szCs w:val="22"/>
                      <w:u w:val="none" w:color="auto"/>
                      <w:lang w:eastAsia="zh-CN"/>
                    </w:rPr>
                    <w:t>湘阴县</w:t>
                  </w:r>
                  <w:r>
                    <w:rPr>
                      <w:rFonts w:hint="default" w:ascii="Times New Roman" w:hAnsi="Times New Roman" w:cs="Times New Roman"/>
                      <w:color w:val="auto"/>
                      <w:sz w:val="22"/>
                      <w:szCs w:val="22"/>
                      <w:u w:val="none" w:color="auto"/>
                    </w:rPr>
                    <w:t>总体规划，不涉及 产业政策和区域规划的负面清单。</w:t>
                  </w:r>
                </w:p>
              </w:tc>
            </w:tr>
          </w:tbl>
          <w:p>
            <w:pPr>
              <w:pStyle w:val="185"/>
              <w:spacing w:line="360" w:lineRule="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lang w:val="en-US" w:eastAsia="zh-CN"/>
              </w:rPr>
              <w:t>1</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、总量控制</w:t>
            </w:r>
          </w:p>
          <w:p>
            <w:pPr>
              <w:pStyle w:val="172"/>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根据</w:t>
            </w:r>
            <w:r>
              <w:rPr>
                <w:rFonts w:hint="default" w:ascii="Times New Roman" w:hAnsi="Times New Roman" w:cs="Times New Roman"/>
                <w:color w:val="auto"/>
                <w:sz w:val="24"/>
                <w:szCs w:val="24"/>
                <w:u w:val="none" w:color="auto"/>
                <w:lang w:val="zh-TW"/>
              </w:rPr>
              <w:t>国家主要污染物排放总量控制技术规</w:t>
            </w:r>
            <w:r>
              <w:rPr>
                <w:rFonts w:hint="default" w:ascii="Times New Roman" w:hAnsi="Times New Roman" w:cs="Times New Roman"/>
                <w:color w:val="auto"/>
                <w:sz w:val="24"/>
                <w:szCs w:val="24"/>
                <w:u w:val="none" w:color="auto"/>
              </w:rPr>
              <w:t>范要求、《国家环境保护“十三五”规划基本思路》以及本项目污染物排放特点</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本项目主要排放废水为生活污水，无生产废水产生，</w:t>
            </w:r>
            <w:r>
              <w:rPr>
                <w:rFonts w:hint="default" w:ascii="Times New Roman" w:hAnsi="Times New Roman" w:cs="Times New Roman"/>
                <w:color w:val="auto"/>
                <w:sz w:val="24"/>
                <w:szCs w:val="24"/>
                <w:u w:val="none" w:color="auto"/>
              </w:rPr>
              <w:t>生活污水</w:t>
            </w:r>
            <w:r>
              <w:rPr>
                <w:rFonts w:hint="eastAsia" w:cs="Times New Roman"/>
                <w:color w:val="auto"/>
                <w:sz w:val="24"/>
                <w:szCs w:val="24"/>
                <w:u w:val="none" w:color="auto"/>
                <w:lang w:eastAsia="zh-CN"/>
              </w:rPr>
              <w:t>经化粪池</w:t>
            </w:r>
            <w:r>
              <w:rPr>
                <w:rFonts w:hint="default" w:ascii="Times New Roman" w:hAnsi="Times New Roman" w:cs="Times New Roman"/>
                <w:color w:val="auto"/>
                <w:sz w:val="24"/>
                <w:szCs w:val="24"/>
                <w:u w:val="none" w:color="auto"/>
              </w:rPr>
              <w:t>处理后进入</w:t>
            </w:r>
            <w:r>
              <w:rPr>
                <w:rFonts w:hint="default" w:ascii="Times New Roman" w:hAnsi="Times New Roman" w:cs="Times New Roman"/>
                <w:color w:val="auto"/>
                <w:sz w:val="24"/>
                <w:szCs w:val="24"/>
                <w:u w:val="none" w:color="auto"/>
                <w:lang w:eastAsia="zh-CN"/>
              </w:rPr>
              <w:t>工业园</w:t>
            </w:r>
            <w:r>
              <w:rPr>
                <w:rFonts w:hint="default" w:ascii="Times New Roman" w:hAnsi="Times New Roman" w:cs="Times New Roman"/>
                <w:color w:val="auto"/>
                <w:sz w:val="24"/>
                <w:szCs w:val="24"/>
                <w:u w:val="none" w:color="auto"/>
              </w:rPr>
              <w:t>污水管网</w:t>
            </w:r>
            <w:r>
              <w:rPr>
                <w:rFonts w:hint="eastAsia" w:cs="Times New Roman"/>
                <w:color w:val="auto"/>
                <w:sz w:val="24"/>
                <w:szCs w:val="24"/>
                <w:u w:val="none" w:color="auto"/>
                <w:lang w:eastAsia="zh-CN"/>
              </w:rPr>
              <w:t>排入湘阴县第二污水处理厂</w:t>
            </w:r>
            <w:r>
              <w:rPr>
                <w:rFonts w:hint="default" w:ascii="Times New Roman" w:hAnsi="Times New Roman" w:cs="Times New Roman"/>
                <w:color w:val="auto"/>
                <w:sz w:val="24"/>
                <w:szCs w:val="24"/>
                <w:u w:val="none" w:color="auto"/>
                <w:lang w:eastAsia="zh-CN"/>
              </w:rPr>
              <w:t>，</w:t>
            </w:r>
            <w:r>
              <w:rPr>
                <w:color w:val="auto"/>
                <w:sz w:val="24"/>
                <w:szCs w:val="24"/>
                <w:u w:val="none" w:color="auto"/>
              </w:rPr>
              <w:t>处理达到《城镇污水处理厂污染物排放标准（GB18918—2002）》中一级标准的A类标准后</w:t>
            </w:r>
            <w:r>
              <w:rPr>
                <w:rFonts w:hint="default" w:ascii="Times New Roman" w:hAnsi="Times New Roman" w:cs="Times New Roman"/>
                <w:color w:val="auto"/>
                <w:sz w:val="24"/>
                <w:szCs w:val="24"/>
                <w:u w:val="none" w:color="auto"/>
                <w:lang w:eastAsia="zh-CN"/>
              </w:rPr>
              <w:t>汇入湘江</w:t>
            </w:r>
            <w:r>
              <w:rPr>
                <w:rFonts w:hint="eastAsia" w:cs="Times New Roman"/>
                <w:color w:val="auto"/>
                <w:sz w:val="24"/>
                <w:szCs w:val="24"/>
                <w:u w:val="none" w:color="auto"/>
                <w:lang w:eastAsia="zh-CN"/>
              </w:rPr>
              <w:t>，本项目生活污水排放总量纳入湘阴县第二污水处理厂</w:t>
            </w:r>
            <w:r>
              <w:rPr>
                <w:rFonts w:hint="default" w:ascii="Times New Roman" w:hAnsi="Times New Roman" w:cs="Times New Roman"/>
                <w:color w:val="auto"/>
                <w:sz w:val="24"/>
                <w:szCs w:val="24"/>
                <w:u w:val="none" w:color="auto"/>
                <w:lang w:val="en-US" w:eastAsia="zh-CN"/>
              </w:rPr>
              <w:t>，故本</w:t>
            </w:r>
            <w:r>
              <w:rPr>
                <w:rFonts w:hint="eastAsia" w:cs="Times New Roman"/>
                <w:color w:val="auto"/>
                <w:sz w:val="24"/>
                <w:szCs w:val="24"/>
                <w:u w:val="none" w:color="auto"/>
                <w:lang w:val="en-US" w:eastAsia="zh-CN"/>
              </w:rPr>
              <w:t>次不在</w:t>
            </w:r>
            <w:r>
              <w:rPr>
                <w:rFonts w:hint="default" w:ascii="Times New Roman" w:hAnsi="Times New Roman" w:cs="Times New Roman"/>
                <w:color w:val="auto"/>
                <w:sz w:val="24"/>
                <w:szCs w:val="24"/>
                <w:u w:val="none" w:color="auto"/>
                <w:lang w:val="en-US" w:eastAsia="zh-CN"/>
              </w:rPr>
              <w:t>申请水总量</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本项目废气排放为</w:t>
            </w:r>
            <w:r>
              <w:rPr>
                <w:rFonts w:hint="default" w:ascii="Times New Roman" w:hAnsi="Times New Roman" w:cs="Times New Roman"/>
                <w:color w:val="auto"/>
                <w:sz w:val="24"/>
                <w:szCs w:val="24"/>
                <w:u w:val="none" w:color="auto"/>
                <w:lang w:val="en-US" w:eastAsia="zh-CN"/>
              </w:rPr>
              <w:t>颗粒物</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lang w:val="en-US" w:eastAsia="zh-CN"/>
              </w:rPr>
              <w:t>VOCs</w:t>
            </w:r>
            <w:r>
              <w:rPr>
                <w:rFonts w:hint="default" w:ascii="Times New Roman" w:hAnsi="Times New Roman" w:cs="Times New Roman"/>
                <w:color w:val="auto"/>
                <w:sz w:val="24"/>
                <w:szCs w:val="24"/>
                <w:u w:val="none" w:color="auto"/>
              </w:rPr>
              <w:t>，</w:t>
            </w:r>
            <w:r>
              <w:rPr>
                <w:rFonts w:hint="default" w:ascii="Times New Roman" w:hAnsi="Times New Roman" w:cs="Times New Roman"/>
                <w:color w:val="auto"/>
                <w:sz w:val="24"/>
                <w:szCs w:val="24"/>
                <w:u w:val="none" w:color="auto"/>
                <w:lang w:val="en-US" w:eastAsia="zh-CN"/>
              </w:rPr>
              <w:t>颗粒物</w:t>
            </w:r>
            <w:r>
              <w:rPr>
                <w:rFonts w:hint="default" w:ascii="Times New Roman" w:hAnsi="Times New Roman" w:cs="Times New Roman"/>
                <w:color w:val="auto"/>
                <w:sz w:val="24"/>
                <w:szCs w:val="24"/>
                <w:u w:val="none" w:color="auto"/>
              </w:rPr>
              <w:t>不在国家总量指标控制因素中，建议本项目</w:t>
            </w:r>
            <w:r>
              <w:rPr>
                <w:rFonts w:hint="default" w:ascii="Times New Roman" w:hAnsi="Times New Roman" w:cs="Times New Roman"/>
                <w:color w:val="auto"/>
                <w:sz w:val="24"/>
                <w:szCs w:val="24"/>
                <w:u w:val="none" w:color="auto"/>
                <w:lang w:eastAsia="zh-CN"/>
              </w:rPr>
              <w:t>对</w:t>
            </w:r>
            <w:r>
              <w:rPr>
                <w:rFonts w:hint="default" w:ascii="Times New Roman" w:hAnsi="Times New Roman" w:cs="Times New Roman"/>
                <w:color w:val="auto"/>
                <w:sz w:val="24"/>
                <w:szCs w:val="24"/>
                <w:u w:val="none" w:color="auto"/>
                <w:lang w:val="en-US" w:eastAsia="zh-CN"/>
              </w:rPr>
              <w:t>VOCs</w:t>
            </w:r>
            <w:r>
              <w:rPr>
                <w:rFonts w:hint="eastAsia" w:cs="Times New Roman"/>
                <w:color w:val="auto"/>
                <w:sz w:val="24"/>
                <w:szCs w:val="24"/>
                <w:u w:val="none" w:color="auto"/>
                <w:lang w:val="en-US" w:eastAsia="zh-CN"/>
              </w:rPr>
              <w:t>、二氧化硫、氮氧化物</w:t>
            </w:r>
            <w:r>
              <w:rPr>
                <w:rFonts w:hint="default" w:ascii="Times New Roman" w:hAnsi="Times New Roman" w:cs="Times New Roman"/>
                <w:color w:val="auto"/>
                <w:sz w:val="24"/>
                <w:szCs w:val="24"/>
                <w:u w:val="none" w:color="auto"/>
              </w:rPr>
              <w:t>申请总量控制指标</w:t>
            </w:r>
            <w:r>
              <w:rPr>
                <w:rFonts w:hint="default" w:ascii="Times New Roman" w:hAnsi="Times New Roman" w:cs="Times New Roman"/>
                <w:color w:val="auto"/>
                <w:sz w:val="24"/>
                <w:szCs w:val="24"/>
                <w:u w:val="none" w:color="auto"/>
                <w:lang w:eastAsia="zh-CN"/>
              </w:rPr>
              <w:t>，</w:t>
            </w:r>
            <w:r>
              <w:rPr>
                <w:rFonts w:hint="default" w:ascii="Times New Roman" w:hAnsi="Times New Roman" w:cs="Times New Roman"/>
                <w:color w:val="auto"/>
                <w:sz w:val="24"/>
                <w:szCs w:val="24"/>
                <w:u w:val="none" w:color="auto"/>
              </w:rPr>
              <w:t>建议本项目申请总量控制指标如下：</w:t>
            </w:r>
          </w:p>
          <w:p>
            <w:pPr>
              <w:bidi w:val="0"/>
              <w:spacing w:line="360" w:lineRule="auto"/>
              <w:jc w:val="center"/>
              <w:rPr>
                <w:rFonts w:hint="default" w:eastAsia="宋体"/>
                <w:color w:val="auto"/>
                <w:sz w:val="24"/>
                <w:szCs w:val="22"/>
                <w:u w:val="none" w:color="auto"/>
                <w:lang w:val="en-US" w:eastAsia="zh-CN"/>
              </w:rPr>
            </w:pPr>
            <w:r>
              <w:rPr>
                <w:rFonts w:hint="eastAsia"/>
                <w:color w:val="auto"/>
                <w:sz w:val="24"/>
                <w:szCs w:val="22"/>
                <w:u w:val="none" w:color="auto"/>
                <w:lang w:eastAsia="zh-CN"/>
              </w:rPr>
              <w:t>表</w:t>
            </w:r>
            <w:r>
              <w:rPr>
                <w:rFonts w:hint="eastAsia"/>
                <w:color w:val="auto"/>
                <w:sz w:val="24"/>
                <w:szCs w:val="22"/>
                <w:u w:val="none" w:color="auto"/>
                <w:lang w:val="en-US" w:eastAsia="zh-CN"/>
              </w:rPr>
              <w:t>7-24项目总量控制要求</w:t>
            </w:r>
          </w:p>
          <w:tbl>
            <w:tblPr>
              <w:tblStyle w:val="4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1986"/>
              <w:gridCol w:w="2654"/>
              <w:gridCol w:w="26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000"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类别</w:t>
                  </w:r>
                </w:p>
              </w:tc>
              <w:tc>
                <w:tcPr>
                  <w:tcW w:w="1089"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污染物</w:t>
                  </w:r>
                </w:p>
              </w:tc>
              <w:tc>
                <w:tcPr>
                  <w:tcW w:w="1455"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排放总量（</w:t>
                  </w:r>
                  <w:r>
                    <w:rPr>
                      <w:rFonts w:hint="eastAsia" w:cs="Times New Roman"/>
                      <w:color w:val="auto"/>
                      <w:sz w:val="22"/>
                      <w:szCs w:val="22"/>
                      <w:u w:val="none" w:color="auto"/>
                      <w:lang w:val="en-US" w:eastAsia="zh-CN"/>
                    </w:rPr>
                    <w:t>t/a</w:t>
                  </w:r>
                  <w:r>
                    <w:rPr>
                      <w:rFonts w:hint="eastAsia" w:cs="Times New Roman"/>
                      <w:color w:val="auto"/>
                      <w:sz w:val="22"/>
                      <w:szCs w:val="22"/>
                      <w:u w:val="none" w:color="auto"/>
                      <w:lang w:eastAsia="zh-CN"/>
                    </w:rPr>
                    <w:t>）</w:t>
                  </w:r>
                </w:p>
              </w:tc>
              <w:tc>
                <w:tcPr>
                  <w:tcW w:w="1455"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总量控制指标建议（t/a）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1000" w:type="pct"/>
                  <w:noWrap w:val="0"/>
                  <w:vAlign w:val="center"/>
                </w:tcPr>
                <w:p>
                  <w:pPr>
                    <w:pStyle w:val="184"/>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废气</w:t>
                  </w:r>
                </w:p>
              </w:tc>
              <w:tc>
                <w:tcPr>
                  <w:tcW w:w="1089" w:type="pct"/>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VOCs</w:t>
                  </w:r>
                </w:p>
              </w:tc>
              <w:tc>
                <w:tcPr>
                  <w:tcW w:w="1455" w:type="pct"/>
                  <w:noWrap w:val="0"/>
                  <w:vAlign w:val="center"/>
                </w:tcPr>
                <w:p>
                  <w:pPr>
                    <w:spacing w:line="360" w:lineRule="auto"/>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0.1143</w:t>
                  </w:r>
                </w:p>
              </w:tc>
              <w:tc>
                <w:tcPr>
                  <w:tcW w:w="1455"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0.2</w:t>
                  </w:r>
                </w:p>
              </w:tc>
            </w:tr>
          </w:tbl>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b/>
                <w:color w:val="auto"/>
                <w:sz w:val="24"/>
                <w:szCs w:val="24"/>
                <w:u w:val="none" w:color="auto"/>
              </w:rPr>
              <w:t>1</w:t>
            </w:r>
            <w:r>
              <w:rPr>
                <w:rFonts w:hint="eastAsia" w:cs="Times New Roman"/>
                <w:b/>
                <w:color w:val="auto"/>
                <w:sz w:val="24"/>
                <w:szCs w:val="24"/>
                <w:u w:val="none" w:color="auto"/>
                <w:lang w:val="en-US" w:eastAsia="zh-CN"/>
              </w:rPr>
              <w:t>2</w:t>
            </w:r>
            <w:r>
              <w:rPr>
                <w:rFonts w:hint="default" w:ascii="Times New Roman" w:hAnsi="Times New Roman" w:cs="Times New Roman"/>
                <w:b/>
                <w:color w:val="auto"/>
                <w:sz w:val="24"/>
                <w:szCs w:val="24"/>
                <w:u w:val="none" w:color="auto"/>
              </w:rPr>
              <w:t>、环保投资估算</w:t>
            </w:r>
          </w:p>
          <w:p>
            <w:pPr>
              <w:tabs>
                <w:tab w:val="left" w:pos="870"/>
              </w:tabs>
              <w:spacing w:line="360" w:lineRule="auto"/>
              <w:ind w:firstLine="462" w:firstLineChars="200"/>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本项目总投资</w:t>
            </w:r>
            <w:r>
              <w:rPr>
                <w:rFonts w:hint="eastAsia" w:cs="Times New Roman"/>
                <w:color w:val="auto"/>
                <w:sz w:val="24"/>
                <w:szCs w:val="24"/>
                <w:u w:val="none" w:color="auto"/>
                <w:lang w:val="en-US" w:eastAsia="zh-CN"/>
              </w:rPr>
              <w:t>2933.67万元</w:t>
            </w:r>
            <w:r>
              <w:rPr>
                <w:rFonts w:hint="default" w:ascii="Times New Roman" w:hAnsi="Times New Roman" w:cs="Times New Roman"/>
                <w:color w:val="auto"/>
                <w:sz w:val="24"/>
                <w:szCs w:val="24"/>
                <w:u w:val="none" w:color="auto"/>
              </w:rPr>
              <w:t>，其中</w:t>
            </w:r>
            <w:r>
              <w:rPr>
                <w:rFonts w:hint="eastAsia" w:cs="Times New Roman"/>
                <w:color w:val="auto"/>
                <w:sz w:val="24"/>
                <w:szCs w:val="24"/>
                <w:u w:val="none" w:color="auto"/>
                <w:lang w:eastAsia="zh-CN"/>
              </w:rPr>
              <w:t>新增</w:t>
            </w:r>
            <w:r>
              <w:rPr>
                <w:rFonts w:hint="default" w:ascii="Times New Roman" w:hAnsi="Times New Roman" w:cs="Times New Roman"/>
                <w:color w:val="auto"/>
                <w:sz w:val="24"/>
                <w:szCs w:val="24"/>
                <w:u w:val="none" w:color="auto"/>
              </w:rPr>
              <w:t>环保投资</w:t>
            </w:r>
            <w:r>
              <w:rPr>
                <w:rFonts w:hint="eastAsia" w:cs="Times New Roman"/>
                <w:color w:val="auto"/>
                <w:sz w:val="24"/>
                <w:szCs w:val="24"/>
                <w:u w:val="none" w:color="auto"/>
                <w:lang w:val="en-US" w:eastAsia="zh-CN"/>
              </w:rPr>
              <w:t>25</w:t>
            </w:r>
            <w:r>
              <w:rPr>
                <w:rFonts w:hint="default" w:ascii="Times New Roman" w:hAnsi="Times New Roman" w:cs="Times New Roman"/>
                <w:color w:val="auto"/>
                <w:sz w:val="24"/>
                <w:szCs w:val="24"/>
                <w:u w:val="none" w:color="auto"/>
              </w:rPr>
              <w:t>万元，</w:t>
            </w:r>
            <w:r>
              <w:rPr>
                <w:rFonts w:hint="default" w:ascii="Times New Roman" w:hAnsi="Times New Roman" w:cs="Times New Roman"/>
                <w:bCs/>
                <w:color w:val="auto"/>
                <w:sz w:val="24"/>
                <w:szCs w:val="24"/>
                <w:u w:val="none" w:color="auto"/>
              </w:rPr>
              <w:t>环保投资占总投资比例的</w:t>
            </w:r>
            <w:r>
              <w:rPr>
                <w:rFonts w:hint="eastAsia" w:cs="Times New Roman"/>
                <w:bCs/>
                <w:color w:val="auto"/>
                <w:sz w:val="24"/>
                <w:szCs w:val="24"/>
                <w:u w:val="none" w:color="auto"/>
                <w:lang w:val="en-US" w:eastAsia="zh-CN"/>
              </w:rPr>
              <w:t>0.85</w:t>
            </w:r>
            <w:r>
              <w:rPr>
                <w:rFonts w:hint="default" w:ascii="Times New Roman" w:hAnsi="Times New Roman" w:cs="Times New Roman"/>
                <w:bCs/>
                <w:color w:val="auto"/>
                <w:sz w:val="24"/>
                <w:szCs w:val="24"/>
                <w:u w:val="none" w:color="auto"/>
              </w:rPr>
              <w:t>%。</w:t>
            </w:r>
            <w:r>
              <w:rPr>
                <w:rFonts w:hint="default" w:ascii="Times New Roman" w:hAnsi="Times New Roman" w:cs="Times New Roman"/>
                <w:color w:val="auto"/>
                <w:sz w:val="24"/>
                <w:szCs w:val="24"/>
                <w:u w:val="none" w:color="auto"/>
              </w:rPr>
              <w:t>项目环保设施及投资估算详见表7-</w:t>
            </w:r>
            <w:r>
              <w:rPr>
                <w:rFonts w:hint="eastAsia" w:cs="Times New Roman"/>
                <w:color w:val="auto"/>
                <w:sz w:val="24"/>
                <w:szCs w:val="24"/>
                <w:u w:val="none" w:color="auto"/>
                <w:lang w:val="en-US" w:eastAsia="zh-CN"/>
              </w:rPr>
              <w:t>25</w:t>
            </w:r>
            <w:r>
              <w:rPr>
                <w:rFonts w:hint="default" w:ascii="Times New Roman" w:hAnsi="Times New Roman" w:cs="Times New Roman"/>
                <w:color w:val="auto"/>
                <w:sz w:val="24"/>
                <w:szCs w:val="24"/>
                <w:u w:val="none" w:color="auto"/>
              </w:rPr>
              <w:t>。</w:t>
            </w:r>
          </w:p>
          <w:p>
            <w:pPr>
              <w:spacing w:line="360" w:lineRule="auto"/>
              <w:ind w:firstLine="455" w:firstLineChars="197"/>
              <w:jc w:val="center"/>
              <w:rPr>
                <w:rFonts w:hint="default" w:ascii="Times New Roman" w:hAnsi="Times New Roman" w:cs="Times New Roman"/>
                <w:b/>
                <w:color w:val="auto"/>
                <w:sz w:val="24"/>
                <w:szCs w:val="24"/>
                <w:u w:val="none" w:color="auto"/>
              </w:rPr>
            </w:pPr>
            <w:r>
              <w:rPr>
                <w:rFonts w:hint="default" w:ascii="Times New Roman" w:hAnsi="Times New Roman" w:cs="Times New Roman"/>
                <w:b/>
                <w:color w:val="auto"/>
                <w:sz w:val="24"/>
                <w:szCs w:val="24"/>
                <w:u w:val="none" w:color="auto"/>
              </w:rPr>
              <w:t>表7-</w:t>
            </w:r>
            <w:r>
              <w:rPr>
                <w:rFonts w:hint="eastAsia" w:cs="Times New Roman"/>
                <w:b/>
                <w:color w:val="auto"/>
                <w:sz w:val="24"/>
                <w:szCs w:val="24"/>
                <w:u w:val="none" w:color="auto"/>
                <w:lang w:val="en-US" w:eastAsia="zh-CN"/>
              </w:rPr>
              <w:t>25</w:t>
            </w:r>
            <w:r>
              <w:rPr>
                <w:rFonts w:hint="default" w:ascii="Times New Roman" w:hAnsi="Times New Roman" w:cs="Times New Roman"/>
                <w:b/>
                <w:color w:val="auto"/>
                <w:sz w:val="24"/>
                <w:szCs w:val="24"/>
                <w:u w:val="none" w:color="auto"/>
              </w:rPr>
              <w:t xml:space="preserve">  环保投资估算表</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1"/>
              <w:gridCol w:w="1356"/>
              <w:gridCol w:w="3655"/>
              <w:gridCol w:w="1786"/>
              <w:gridCol w:w="15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0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序号</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污染源</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建设内容</w:t>
                  </w:r>
                </w:p>
              </w:tc>
              <w:tc>
                <w:tcPr>
                  <w:tcW w:w="976"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现有</w:t>
                  </w:r>
                  <w:r>
                    <w:rPr>
                      <w:rFonts w:hint="default" w:ascii="Times New Roman" w:hAnsi="Times New Roman" w:cs="Times New Roman"/>
                      <w:color w:val="auto"/>
                      <w:sz w:val="22"/>
                      <w:szCs w:val="22"/>
                      <w:u w:val="none" w:color="auto"/>
                    </w:rPr>
                    <w:t>投资估算金额（万元）</w:t>
                  </w:r>
                </w:p>
              </w:tc>
              <w:tc>
                <w:tcPr>
                  <w:tcW w:w="8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本项目</w:t>
                  </w:r>
                  <w:r>
                    <w:rPr>
                      <w:rFonts w:hint="default" w:ascii="Times New Roman" w:hAnsi="Times New Roman" w:cs="Times New Roman"/>
                      <w:color w:val="auto"/>
                      <w:sz w:val="22"/>
                      <w:szCs w:val="22"/>
                      <w:u w:val="none" w:color="auto"/>
                    </w:rPr>
                    <w:t>投资估算金额（万元）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13"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生活污水</w:t>
                  </w:r>
                </w:p>
              </w:tc>
              <w:tc>
                <w:tcPr>
                  <w:tcW w:w="1997" w:type="pc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化粪池（现有）</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1.5</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02" w:hRule="atLeast"/>
                <w:jc w:val="center"/>
              </w:trPr>
              <w:tc>
                <w:tcPr>
                  <w:tcW w:w="443" w:type="pct"/>
                  <w:vMerge w:val="restar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w:t>
                  </w:r>
                </w:p>
              </w:tc>
              <w:tc>
                <w:tcPr>
                  <w:tcW w:w="741" w:type="pct"/>
                  <w:vMerge w:val="restart"/>
                  <w:noWrap w:val="0"/>
                  <w:vAlign w:val="center"/>
                </w:tcPr>
                <w:p>
                  <w:pPr>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废气</w:t>
                  </w:r>
                </w:p>
              </w:tc>
              <w:tc>
                <w:tcPr>
                  <w:tcW w:w="1997"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喷塑废气：自带滤芯回收系统</w:t>
                  </w:r>
                  <w:r>
                    <w:rPr>
                      <w:rFonts w:hint="default" w:ascii="Times New Roman" w:hAnsi="Times New Roman" w:cs="Times New Roman"/>
                      <w:color w:val="auto"/>
                      <w:sz w:val="22"/>
                      <w:szCs w:val="22"/>
                      <w:u w:val="none" w:color="auto"/>
                      <w:lang w:val="en-US" w:eastAsia="zh-CN"/>
                    </w:rPr>
                    <w:t>+1根15m高排气筒</w:t>
                  </w:r>
                </w:p>
              </w:tc>
              <w:tc>
                <w:tcPr>
                  <w:tcW w:w="976"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c>
                <w:tcPr>
                  <w:tcW w:w="841" w:type="pct"/>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3" w:hRule="atLeast"/>
                <w:jc w:val="center"/>
              </w:trPr>
              <w:tc>
                <w:tcPr>
                  <w:tcW w:w="443"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741"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997" w:type="pct"/>
                  <w:tcBorders>
                    <w:top w:val="single" w:color="auto" w:sz="4" w:space="0"/>
                    <w:bottom w:val="single" w:color="auto" w:sz="4" w:space="0"/>
                  </w:tcBorders>
                  <w:noWrap w:val="0"/>
                  <w:vAlign w:val="center"/>
                </w:tcPr>
                <w:p>
                  <w:pPr>
                    <w:spacing w:line="360" w:lineRule="auto"/>
                    <w:jc w:val="center"/>
                    <w:rPr>
                      <w:rFonts w:hint="eastAsia" w:cs="Times New Roman"/>
                      <w:color w:val="auto"/>
                      <w:sz w:val="22"/>
                      <w:szCs w:val="22"/>
                      <w:u w:val="none" w:color="auto"/>
                      <w:lang w:val="en-US" w:eastAsia="zh-CN"/>
                    </w:rPr>
                  </w:pPr>
                  <w:r>
                    <w:rPr>
                      <w:rFonts w:hint="eastAsia" w:cs="Times New Roman"/>
                      <w:color w:val="auto"/>
                      <w:sz w:val="22"/>
                      <w:szCs w:val="22"/>
                      <w:u w:val="none" w:color="auto"/>
                      <w:lang w:val="en-US" w:eastAsia="zh-CN"/>
                    </w:rPr>
                    <w:t>喷漆废气：水净化</w:t>
                  </w:r>
                  <w:r>
                    <w:rPr>
                      <w:rFonts w:hint="eastAsia" w:ascii="Times New Roman" w:hAnsi="Times New Roman" w:cs="Times New Roman"/>
                      <w:color w:val="auto"/>
                      <w:sz w:val="22"/>
                      <w:szCs w:val="22"/>
                      <w:u w:val="none" w:color="auto"/>
                      <w:lang w:val="en-US" w:eastAsia="zh-CN"/>
                    </w:rPr>
                    <w:t>+活性炭</w:t>
                  </w:r>
                  <w:r>
                    <w:rPr>
                      <w:rFonts w:hint="eastAsia" w:cs="Times New Roman"/>
                      <w:color w:val="auto"/>
                      <w:sz w:val="22"/>
                      <w:szCs w:val="22"/>
                      <w:u w:val="none" w:color="auto"/>
                      <w:lang w:val="en-US" w:eastAsia="zh-CN"/>
                    </w:rPr>
                    <w:t>吸附装置</w:t>
                  </w:r>
                  <w:r>
                    <w:rPr>
                      <w:rFonts w:hint="default" w:ascii="Times New Roman" w:hAnsi="Times New Roman" w:cs="Times New Roman"/>
                      <w:color w:val="auto"/>
                      <w:sz w:val="22"/>
                      <w:szCs w:val="22"/>
                      <w:u w:val="none" w:color="auto"/>
                      <w:lang w:val="en-US" w:eastAsia="zh-CN"/>
                    </w:rPr>
                    <w:t>+1根15m高排气筒</w:t>
                  </w:r>
                </w:p>
              </w:tc>
              <w:tc>
                <w:tcPr>
                  <w:tcW w:w="976" w:type="pct"/>
                  <w:vMerge w:val="restar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20.0</w:t>
                  </w:r>
                </w:p>
              </w:tc>
              <w:tc>
                <w:tcPr>
                  <w:tcW w:w="841" w:type="pct"/>
                  <w:tcBorders>
                    <w:top w:val="single" w:color="auto" w:sz="4" w:space="0"/>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jc w:val="center"/>
              </w:trPr>
              <w:tc>
                <w:tcPr>
                  <w:tcW w:w="443"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741"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997" w:type="pct"/>
                  <w:tcBorders>
                    <w:top w:val="single" w:color="auto" w:sz="4" w:space="0"/>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烘干固化废气：经管道收集和喷漆废气一同经活性炭吸附装置处理后由同一根</w:t>
                  </w:r>
                  <w:r>
                    <w:rPr>
                      <w:rFonts w:hint="default" w:ascii="Times New Roman" w:hAnsi="Times New Roman" w:cs="Times New Roman"/>
                      <w:color w:val="auto"/>
                      <w:sz w:val="22"/>
                      <w:szCs w:val="22"/>
                      <w:u w:val="none" w:color="auto"/>
                      <w:lang w:val="en-US" w:eastAsia="zh-CN"/>
                    </w:rPr>
                    <w:t>15m高排气筒</w:t>
                  </w:r>
                  <w:r>
                    <w:rPr>
                      <w:rFonts w:hint="eastAsia" w:cs="Times New Roman"/>
                      <w:color w:val="auto"/>
                      <w:sz w:val="22"/>
                      <w:szCs w:val="22"/>
                      <w:u w:val="none" w:color="auto"/>
                      <w:lang w:val="en-US" w:eastAsia="zh-CN"/>
                    </w:rPr>
                    <w:t>排放</w:t>
                  </w:r>
                </w:p>
              </w:tc>
              <w:tc>
                <w:tcPr>
                  <w:tcW w:w="976" w:type="pct"/>
                  <w:vMerge w:val="continue"/>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p>
              </w:tc>
              <w:tc>
                <w:tcPr>
                  <w:tcW w:w="841" w:type="pct"/>
                  <w:tcBorders>
                    <w:top w:val="single" w:color="auto" w:sz="4" w:space="0"/>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2" w:hRule="atLeast"/>
                <w:jc w:val="center"/>
              </w:trPr>
              <w:tc>
                <w:tcPr>
                  <w:tcW w:w="443"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741" w:type="pct"/>
                  <w:vMerge w:val="continue"/>
                  <w:noWrap w:val="0"/>
                  <w:vAlign w:val="center"/>
                </w:tcPr>
                <w:p>
                  <w:pPr>
                    <w:spacing w:line="360" w:lineRule="auto"/>
                    <w:jc w:val="center"/>
                    <w:rPr>
                      <w:rFonts w:hint="default" w:ascii="Times New Roman" w:hAnsi="Times New Roman" w:cs="Times New Roman"/>
                      <w:color w:val="auto"/>
                      <w:sz w:val="22"/>
                      <w:szCs w:val="22"/>
                      <w:u w:val="none" w:color="auto"/>
                    </w:rPr>
                  </w:pPr>
                </w:p>
              </w:tc>
              <w:tc>
                <w:tcPr>
                  <w:tcW w:w="1997" w:type="pct"/>
                  <w:tcBorders>
                    <w:top w:val="single" w:color="auto" w:sz="4" w:space="0"/>
                  </w:tcBorders>
                  <w:noWrap w:val="0"/>
                  <w:vAlign w:val="center"/>
                </w:tcPr>
                <w:p>
                  <w:pPr>
                    <w:spacing w:line="360" w:lineRule="auto"/>
                    <w:jc w:val="center"/>
                    <w:rPr>
                      <w:rFonts w:hint="eastAsia"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排风扇</w:t>
                  </w:r>
                  <w:r>
                    <w:rPr>
                      <w:rFonts w:hint="eastAsia" w:cs="Times New Roman"/>
                      <w:color w:val="auto"/>
                      <w:sz w:val="22"/>
                      <w:szCs w:val="22"/>
                      <w:u w:val="none" w:color="auto"/>
                      <w:lang w:val="en-US" w:eastAsia="zh-CN"/>
                    </w:rPr>
                    <w:t>、移动式烟尘净化器</w:t>
                  </w:r>
                </w:p>
              </w:tc>
              <w:tc>
                <w:tcPr>
                  <w:tcW w:w="976"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c>
                <w:tcPr>
                  <w:tcW w:w="841"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6</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减振降噪措施</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7</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生活垃圾</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垃圾桶等环卫设施</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3.0</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443"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8</w:t>
                  </w:r>
                </w:p>
              </w:tc>
              <w:tc>
                <w:tcPr>
                  <w:tcW w:w="741"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固废</w:t>
                  </w:r>
                </w:p>
              </w:tc>
              <w:tc>
                <w:tcPr>
                  <w:tcW w:w="1997" w:type="pct"/>
                  <w:tcBorders>
                    <w:bottom w:val="single" w:color="auto" w:sz="4" w:space="0"/>
                  </w:tcBorders>
                  <w:noWrap w:val="0"/>
                  <w:vAlign w:val="center"/>
                </w:tcPr>
                <w:p>
                  <w:pPr>
                    <w:spacing w:line="360" w:lineRule="auto"/>
                    <w:jc w:val="center"/>
                    <w:rPr>
                      <w:rFonts w:hint="default"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固废堆</w:t>
                  </w:r>
                  <w:r>
                    <w:rPr>
                      <w:rFonts w:hint="default" w:ascii="Times New Roman" w:hAnsi="Times New Roman" w:cs="Times New Roman"/>
                      <w:color w:val="auto"/>
                      <w:sz w:val="22"/>
                      <w:szCs w:val="22"/>
                      <w:u w:val="none" w:color="auto"/>
                    </w:rPr>
                    <w:t>场</w:t>
                  </w:r>
                  <w:r>
                    <w:rPr>
                      <w:rFonts w:hint="default" w:ascii="Times New Roman" w:hAnsi="Times New Roman" w:cs="Times New Roman"/>
                      <w:color w:val="auto"/>
                      <w:sz w:val="22"/>
                      <w:szCs w:val="22"/>
                      <w:u w:val="none" w:color="auto"/>
                      <w:lang w:eastAsia="zh-CN"/>
                    </w:rPr>
                    <w:t>、危险废物储存间</w:t>
                  </w:r>
                </w:p>
              </w:tc>
              <w:tc>
                <w:tcPr>
                  <w:tcW w:w="976" w:type="pct"/>
                  <w:tcBorders>
                    <w:bottom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val="en-US"/>
                    </w:rPr>
                  </w:pPr>
                  <w:r>
                    <w:rPr>
                      <w:rFonts w:hint="eastAsia" w:cs="Times New Roman"/>
                      <w:color w:val="auto"/>
                      <w:sz w:val="22"/>
                      <w:szCs w:val="22"/>
                      <w:u w:val="none" w:color="auto"/>
                      <w:lang w:val="en-US" w:eastAsia="zh-CN"/>
                    </w:rPr>
                    <w:t>5.0</w:t>
                  </w:r>
                </w:p>
              </w:tc>
              <w:tc>
                <w:tcPr>
                  <w:tcW w:w="841" w:type="pct"/>
                  <w:tcBorders>
                    <w:bottom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9" w:hRule="atLeast"/>
                <w:jc w:val="center"/>
              </w:trPr>
              <w:tc>
                <w:tcPr>
                  <w:tcW w:w="443" w:type="pct"/>
                  <w:tcBorders>
                    <w:top w:val="single" w:color="auto" w:sz="4" w:space="0"/>
                  </w:tcBorders>
                  <w:noWrap w:val="0"/>
                  <w:vAlign w:val="center"/>
                </w:tcPr>
                <w:p>
                  <w:pPr>
                    <w:spacing w:line="360" w:lineRule="auto"/>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9</w:t>
                  </w:r>
                </w:p>
              </w:tc>
              <w:tc>
                <w:tcPr>
                  <w:tcW w:w="741" w:type="pct"/>
                  <w:tcBorders>
                    <w:top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风险</w:t>
                  </w:r>
                </w:p>
              </w:tc>
              <w:tc>
                <w:tcPr>
                  <w:tcW w:w="1997" w:type="pct"/>
                  <w:tcBorders>
                    <w:top w:val="single" w:color="auto" w:sz="4" w:space="0"/>
                  </w:tcBorders>
                  <w:noWrap w:val="0"/>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围堰</w:t>
                  </w:r>
                </w:p>
              </w:tc>
              <w:tc>
                <w:tcPr>
                  <w:tcW w:w="976"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0</w:t>
                  </w:r>
                </w:p>
              </w:tc>
              <w:tc>
                <w:tcPr>
                  <w:tcW w:w="841" w:type="pct"/>
                  <w:tcBorders>
                    <w:top w:val="single" w:color="auto" w:sz="4" w:space="0"/>
                  </w:tcBorders>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43"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10</w:t>
                  </w:r>
                </w:p>
              </w:tc>
              <w:tc>
                <w:tcPr>
                  <w:tcW w:w="741"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合计</w:t>
                  </w:r>
                </w:p>
              </w:tc>
              <w:tc>
                <w:tcPr>
                  <w:tcW w:w="1997" w:type="pct"/>
                  <w:noWrap w:val="0"/>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w:t>
                  </w:r>
                </w:p>
              </w:tc>
              <w:tc>
                <w:tcPr>
                  <w:tcW w:w="976" w:type="pct"/>
                  <w:noWrap w:val="0"/>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52.5</w:t>
                  </w:r>
                </w:p>
              </w:tc>
              <w:tc>
                <w:tcPr>
                  <w:tcW w:w="841" w:type="pct"/>
                  <w:noWrap w:val="0"/>
                  <w:vAlign w:val="center"/>
                </w:tcPr>
                <w:p>
                  <w:pPr>
                    <w:spacing w:line="360" w:lineRule="auto"/>
                    <w:jc w:val="center"/>
                    <w:rPr>
                      <w:rFonts w:hint="default" w:cs="Times New Roman"/>
                      <w:color w:val="auto"/>
                      <w:sz w:val="22"/>
                      <w:szCs w:val="22"/>
                      <w:u w:val="none" w:color="auto"/>
                      <w:lang w:val="en-US" w:eastAsia="zh-CN"/>
                    </w:rPr>
                  </w:pPr>
                  <w:r>
                    <w:rPr>
                      <w:rFonts w:hint="eastAsia" w:cs="Times New Roman"/>
                      <w:color w:val="auto"/>
                      <w:sz w:val="22"/>
                      <w:szCs w:val="22"/>
                      <w:u w:val="none" w:color="auto"/>
                      <w:lang w:val="en-US" w:eastAsia="zh-CN"/>
                    </w:rPr>
                    <w:t>25</w:t>
                  </w:r>
                </w:p>
              </w:tc>
            </w:tr>
          </w:tbl>
          <w:p>
            <w:pPr>
              <w:spacing w:line="360" w:lineRule="auto"/>
              <w:ind w:firstLine="462" w:firstLineChars="200"/>
              <w:textAlignment w:val="baseline"/>
              <w:rPr>
                <w:rFonts w:hint="default" w:ascii="Times New Roman" w:hAnsi="Times New Roman" w:cs="Times New Roman"/>
                <w:b/>
                <w:color w:val="auto"/>
                <w:sz w:val="24"/>
                <w:szCs w:val="24"/>
                <w:u w:val="none" w:color="auto"/>
              </w:rPr>
            </w:pPr>
            <w:r>
              <w:rPr>
                <w:rFonts w:hint="default" w:ascii="Times New Roman" w:hAnsi="Times New Roman" w:cs="Times New Roman"/>
                <w:color w:val="auto"/>
                <w:sz w:val="24"/>
                <w:szCs w:val="24"/>
                <w:u w:val="none" w:color="auto"/>
              </w:rPr>
              <w:t>从工程分析结论可知，只有保障上述这部分环保投资落到实处，才能使污染物达标排放。</w:t>
            </w:r>
          </w:p>
          <w:p>
            <w:pPr>
              <w:spacing w:line="360" w:lineRule="auto"/>
              <w:ind w:firstLine="478" w:firstLineChars="207"/>
              <w:textAlignment w:val="baseline"/>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1</w:t>
            </w:r>
            <w:r>
              <w:rPr>
                <w:rFonts w:hint="eastAsia" w:cs="Times New Roman"/>
                <w:b/>
                <w:color w:val="auto"/>
                <w:sz w:val="24"/>
                <w:szCs w:val="24"/>
                <w:u w:val="single" w:color="auto"/>
                <w:lang w:val="en-US" w:eastAsia="zh-CN"/>
              </w:rPr>
              <w:t>3</w:t>
            </w:r>
            <w:r>
              <w:rPr>
                <w:rFonts w:hint="default" w:ascii="Times New Roman" w:hAnsi="Times New Roman" w:cs="Times New Roman"/>
                <w:b/>
                <w:color w:val="auto"/>
                <w:sz w:val="24"/>
                <w:szCs w:val="24"/>
                <w:u w:val="single" w:color="auto"/>
              </w:rPr>
              <w:t>、项目环保竣工验收计划</w:t>
            </w:r>
          </w:p>
          <w:p>
            <w:pPr>
              <w:spacing w:line="360" w:lineRule="auto"/>
              <w:ind w:firstLine="462" w:firstLineChars="200"/>
              <w:rPr>
                <w:rFonts w:hint="default" w:ascii="Times New Roman" w:hAnsi="Times New Roman" w:cs="Times New Roman"/>
                <w:color w:val="auto"/>
                <w:sz w:val="24"/>
                <w:szCs w:val="24"/>
                <w:u w:val="single" w:color="auto"/>
              </w:rPr>
            </w:pPr>
            <w:r>
              <w:rPr>
                <w:rFonts w:hint="default" w:ascii="Times New Roman" w:hAnsi="Times New Roman" w:cs="Times New Roman"/>
                <w:color w:val="auto"/>
                <w:sz w:val="24"/>
                <w:szCs w:val="24"/>
                <w:u w:val="single" w:color="auto"/>
              </w:rPr>
              <w:t>本工程环保竣工验收计划内容，具体见表7-</w:t>
            </w:r>
            <w:r>
              <w:rPr>
                <w:rFonts w:hint="eastAsia" w:cs="Times New Roman"/>
                <w:color w:val="auto"/>
                <w:sz w:val="24"/>
                <w:szCs w:val="24"/>
                <w:u w:val="single" w:color="auto"/>
                <w:lang w:val="en-US" w:eastAsia="zh-CN"/>
              </w:rPr>
              <w:t>26</w:t>
            </w:r>
            <w:r>
              <w:rPr>
                <w:rFonts w:hint="default" w:ascii="Times New Roman" w:hAnsi="Times New Roman" w:cs="Times New Roman"/>
                <w:color w:val="auto"/>
                <w:sz w:val="24"/>
                <w:szCs w:val="24"/>
                <w:u w:val="single" w:color="auto"/>
              </w:rPr>
              <w:t>。</w:t>
            </w:r>
          </w:p>
          <w:p>
            <w:pPr>
              <w:spacing w:before="156" w:beforeLines="50" w:line="360" w:lineRule="auto"/>
              <w:ind w:firstLine="578" w:firstLineChars="250"/>
              <w:jc w:val="center"/>
              <w:rPr>
                <w:rFonts w:hint="default" w:ascii="Times New Roman" w:hAnsi="Times New Roman" w:cs="Times New Roman"/>
                <w:b/>
                <w:color w:val="auto"/>
                <w:sz w:val="24"/>
                <w:szCs w:val="24"/>
                <w:u w:val="single" w:color="auto"/>
              </w:rPr>
            </w:pPr>
            <w:r>
              <w:rPr>
                <w:rFonts w:hint="default" w:ascii="Times New Roman" w:hAnsi="Times New Roman" w:cs="Times New Roman"/>
                <w:b/>
                <w:color w:val="auto"/>
                <w:sz w:val="24"/>
                <w:szCs w:val="24"/>
                <w:u w:val="single" w:color="auto"/>
              </w:rPr>
              <w:t>表7-</w:t>
            </w:r>
            <w:r>
              <w:rPr>
                <w:rFonts w:hint="eastAsia" w:cs="Times New Roman"/>
                <w:b/>
                <w:color w:val="auto"/>
                <w:sz w:val="24"/>
                <w:szCs w:val="24"/>
                <w:u w:val="single" w:color="auto"/>
                <w:lang w:val="en-US" w:eastAsia="zh-CN"/>
              </w:rPr>
              <w:t>26</w:t>
            </w:r>
            <w:r>
              <w:rPr>
                <w:rFonts w:hint="default" w:ascii="Times New Roman" w:hAnsi="Times New Roman" w:cs="Times New Roman"/>
                <w:b/>
                <w:color w:val="auto"/>
                <w:sz w:val="24"/>
                <w:szCs w:val="24"/>
                <w:u w:val="single" w:color="auto"/>
              </w:rPr>
              <w:t>本项目环保竣工验收内容一览表</w:t>
            </w:r>
          </w:p>
          <w:tbl>
            <w:tblPr>
              <w:tblStyle w:val="40"/>
              <w:tblW w:w="90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021"/>
              <w:gridCol w:w="2916"/>
              <w:gridCol w:w="1949"/>
              <w:gridCol w:w="2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污染源</w:t>
                  </w:r>
                </w:p>
              </w:tc>
              <w:tc>
                <w:tcPr>
                  <w:tcW w:w="1021"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污染物名称</w:t>
                  </w:r>
                </w:p>
              </w:tc>
              <w:tc>
                <w:tcPr>
                  <w:tcW w:w="2916"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防治措施与工艺</w:t>
                  </w:r>
                </w:p>
              </w:tc>
              <w:tc>
                <w:tcPr>
                  <w:tcW w:w="1949"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三同时竣</w:t>
                  </w:r>
                </w:p>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工验收</w:t>
                  </w:r>
                </w:p>
              </w:tc>
              <w:tc>
                <w:tcPr>
                  <w:tcW w:w="2471" w:type="dxa"/>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default" w:ascii="Times New Roman" w:hAnsi="Times New Roman" w:cs="Times New Roman"/>
                      <w:b/>
                      <w:color w:val="auto"/>
                      <w:sz w:val="22"/>
                      <w:szCs w:val="22"/>
                      <w:u w:val="single" w:color="auto"/>
                    </w:rPr>
                    <w:t>预期治理效果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71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废水</w:t>
                  </w:r>
                </w:p>
              </w:tc>
              <w:tc>
                <w:tcPr>
                  <w:tcW w:w="10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污水</w:t>
                  </w:r>
                </w:p>
              </w:tc>
              <w:tc>
                <w:tcPr>
                  <w:tcW w:w="2916"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生活污水</w:t>
                  </w:r>
                  <w:r>
                    <w:rPr>
                      <w:rFonts w:hint="eastAsia" w:cs="Times New Roman"/>
                      <w:color w:val="auto"/>
                      <w:sz w:val="22"/>
                      <w:szCs w:val="22"/>
                      <w:u w:val="single" w:color="auto"/>
                      <w:lang w:eastAsia="zh-CN"/>
                    </w:rPr>
                    <w:t>经化粪池处理后排入园区污水管网，进入湘阴县第二污水处理厂</w:t>
                  </w:r>
                </w:p>
              </w:tc>
              <w:tc>
                <w:tcPr>
                  <w:tcW w:w="1949"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化粪池（现有）</w:t>
                  </w:r>
                </w:p>
              </w:tc>
              <w:tc>
                <w:tcPr>
                  <w:tcW w:w="2471"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《污水综合排放标准》（GB8978-1996）三级排放标准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715"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废气</w:t>
                  </w:r>
                </w:p>
              </w:tc>
              <w:tc>
                <w:tcPr>
                  <w:tcW w:w="10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eastAsia" w:cs="Times New Roman"/>
                      <w:color w:val="auto"/>
                      <w:sz w:val="22"/>
                      <w:szCs w:val="22"/>
                      <w:u w:val="single" w:color="auto"/>
                      <w:lang w:eastAsia="zh-CN"/>
                    </w:rPr>
                    <w:t>喷塑</w:t>
                  </w:r>
                  <w:r>
                    <w:rPr>
                      <w:rFonts w:hint="default" w:ascii="Times New Roman" w:hAnsi="Times New Roman" w:cs="Times New Roman"/>
                      <w:color w:val="auto"/>
                      <w:sz w:val="22"/>
                      <w:szCs w:val="22"/>
                      <w:u w:val="single" w:color="auto"/>
                    </w:rPr>
                    <w:t>粉尘</w:t>
                  </w:r>
                </w:p>
              </w:tc>
              <w:tc>
                <w:tcPr>
                  <w:tcW w:w="2916"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经</w:t>
                  </w:r>
                  <w:r>
                    <w:rPr>
                      <w:rFonts w:hint="eastAsia" w:cs="Times New Roman"/>
                      <w:color w:val="auto"/>
                      <w:sz w:val="22"/>
                      <w:szCs w:val="22"/>
                      <w:u w:val="single" w:color="auto"/>
                      <w:lang w:eastAsia="zh-CN"/>
                    </w:rPr>
                    <w:t>自带的滤芯回收系统处理后由</w:t>
                  </w:r>
                  <w:r>
                    <w:rPr>
                      <w:rFonts w:hint="eastAsia" w:cs="Times New Roman"/>
                      <w:color w:val="auto"/>
                      <w:sz w:val="22"/>
                      <w:szCs w:val="22"/>
                      <w:u w:val="single" w:color="auto"/>
                      <w:lang w:val="en-US" w:eastAsia="zh-CN"/>
                    </w:rPr>
                    <w:t>15m高排气筒高空排放</w:t>
                  </w:r>
                </w:p>
              </w:tc>
              <w:tc>
                <w:tcPr>
                  <w:tcW w:w="1949"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eastAsia="zh-CN"/>
                    </w:rPr>
                    <w:t>自带的滤芯回收系统</w:t>
                  </w:r>
                  <w:r>
                    <w:rPr>
                      <w:rFonts w:hint="eastAsia" w:cs="Times New Roman"/>
                      <w:color w:val="auto"/>
                      <w:sz w:val="22"/>
                      <w:szCs w:val="22"/>
                      <w:u w:val="single" w:color="auto"/>
                      <w:lang w:val="en-US" w:eastAsia="zh-CN"/>
                    </w:rPr>
                    <w:t>+15m高排气筒</w:t>
                  </w:r>
                </w:p>
              </w:tc>
              <w:tc>
                <w:tcPr>
                  <w:tcW w:w="2471"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3"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1"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烘干固化</w:t>
                  </w:r>
                </w:p>
              </w:tc>
              <w:tc>
                <w:tcPr>
                  <w:tcW w:w="291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none" w:color="auto"/>
                      <w:lang w:val="en-US" w:eastAsia="zh-CN"/>
                    </w:rPr>
                    <w:t>经管道收集和喷漆废气一同经活性炭吸附装置处理后由同一根</w:t>
                  </w:r>
                  <w:r>
                    <w:rPr>
                      <w:rFonts w:hint="default" w:ascii="Times New Roman" w:hAnsi="Times New Roman" w:cs="Times New Roman"/>
                      <w:color w:val="auto"/>
                      <w:sz w:val="22"/>
                      <w:szCs w:val="22"/>
                      <w:u w:val="none" w:color="auto"/>
                      <w:lang w:val="en-US" w:eastAsia="zh-CN"/>
                    </w:rPr>
                    <w:t>15m高排气筒</w:t>
                  </w:r>
                  <w:r>
                    <w:rPr>
                      <w:rFonts w:hint="eastAsia" w:cs="Times New Roman"/>
                      <w:color w:val="auto"/>
                      <w:sz w:val="22"/>
                      <w:szCs w:val="22"/>
                      <w:u w:val="none" w:color="auto"/>
                      <w:lang w:val="en-US" w:eastAsia="zh-CN"/>
                    </w:rPr>
                    <w:t>排放</w:t>
                  </w:r>
                </w:p>
              </w:tc>
              <w:tc>
                <w:tcPr>
                  <w:tcW w:w="1949"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val="en-US" w:eastAsia="zh-CN"/>
                    </w:rPr>
                    <w:t>水净化+活性炭吸附装置</w:t>
                  </w:r>
                  <w:r>
                    <w:rPr>
                      <w:rFonts w:hint="eastAsia" w:ascii="Times New Roman" w:hAnsi="Times New Roman" w:cs="Times New Roman"/>
                      <w:color w:val="auto"/>
                      <w:sz w:val="22"/>
                      <w:szCs w:val="22"/>
                      <w:u w:val="single" w:color="auto"/>
                      <w:lang w:val="en-US" w:eastAsia="zh-CN"/>
                    </w:rPr>
                    <w:t>+15m高排气筒</w:t>
                  </w:r>
                  <w:r>
                    <w:rPr>
                      <w:rFonts w:hint="eastAsia" w:cs="Times New Roman"/>
                      <w:color w:val="auto"/>
                      <w:sz w:val="22"/>
                      <w:szCs w:val="22"/>
                      <w:u w:val="single" w:color="auto"/>
                      <w:lang w:val="en-US" w:eastAsia="zh-CN"/>
                    </w:rPr>
                    <w:t>（现有）</w:t>
                  </w:r>
                </w:p>
              </w:tc>
              <w:tc>
                <w:tcPr>
                  <w:tcW w:w="2471"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w:t>
                  </w:r>
                  <w:r>
                    <w:rPr>
                      <w:rFonts w:hint="eastAsia" w:ascii="Times New Roman" w:hAnsi="Times New Roman" w:cs="Times New Roman"/>
                      <w:color w:val="auto"/>
                      <w:sz w:val="22"/>
                      <w:szCs w:val="22"/>
                      <w:u w:val="single" w:color="auto"/>
                      <w:lang w:val="en-US" w:eastAsia="zh-CN"/>
                    </w:rPr>
                    <w:t>二级</w:t>
                  </w:r>
                  <w:r>
                    <w:rPr>
                      <w:rFonts w:hint="default" w:ascii="Times New Roman" w:hAnsi="Times New Roman" w:cs="Times New Roman"/>
                      <w:color w:val="auto"/>
                      <w:sz w:val="22"/>
                      <w:szCs w:val="22"/>
                      <w:u w:val="single" w:color="auto"/>
                      <w:lang w:val="en-US" w:eastAsia="zh-CN"/>
                    </w:rPr>
                    <w:t>排放标准</w:t>
                  </w:r>
                  <w:r>
                    <w:rPr>
                      <w:rFonts w:hint="eastAsia" w:ascii="Times New Roman" w:hAnsi="Times New Roman" w:cs="Times New Roman"/>
                      <w:color w:val="auto"/>
                      <w:sz w:val="22"/>
                      <w:szCs w:val="22"/>
                      <w:u w:val="single" w:color="auto"/>
                      <w:lang w:val="en-US" w:eastAsia="zh-CN"/>
                    </w:rPr>
                    <w:t>及无组织排放标准</w:t>
                  </w:r>
                  <w:r>
                    <w:rPr>
                      <w:rFonts w:hint="default" w:ascii="Times New Roman" w:hAnsi="Times New Roman" w:cs="Times New Roman"/>
                      <w:color w:val="auto"/>
                      <w:sz w:val="22"/>
                      <w:szCs w:val="22"/>
                      <w:u w:val="single" w:color="auto"/>
                      <w:lang w:val="en-US" w:eastAsia="zh-CN"/>
                    </w:rPr>
                    <w:t>；有机废气执行《表面涂装（汽车制造及维修）挥发性有机物、 镍排放标准》（DB43/1356-2017）表1中排放标准</w:t>
                  </w:r>
                  <w:r>
                    <w:rPr>
                      <w:rFonts w:hint="eastAsia" w:ascii="Times New Roman" w:hAnsi="Times New Roman" w:cs="Times New Roman"/>
                      <w:color w:val="auto"/>
                      <w:sz w:val="22"/>
                      <w:szCs w:val="22"/>
                      <w:u w:val="single" w:color="auto"/>
                      <w:lang w:val="en-US" w:eastAsia="zh-CN"/>
                    </w:rPr>
                    <w:t>；</w:t>
                  </w:r>
                  <w:r>
                    <w:rPr>
                      <w:rFonts w:hint="default" w:ascii="Times New Roman" w:hAnsi="Times New Roman" w:eastAsia="宋体" w:cs="Times New Roman"/>
                      <w:color w:val="auto"/>
                      <w:sz w:val="22"/>
                      <w:szCs w:val="22"/>
                      <w:u w:val="single" w:color="auto"/>
                      <w:lang w:val="en-US" w:eastAsia="zh-CN"/>
                    </w:rPr>
                    <w:t>无组织有机废气排放执行《挥发性有机物无组织排放控制标准》（GB37822-2019）中限值要求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1"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喷漆废气</w:t>
                  </w:r>
                </w:p>
              </w:tc>
              <w:tc>
                <w:tcPr>
                  <w:tcW w:w="291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废气经水净化</w:t>
                  </w:r>
                  <w:r>
                    <w:rPr>
                      <w:rFonts w:hint="eastAsia" w:cs="Times New Roman"/>
                      <w:color w:val="auto"/>
                      <w:sz w:val="22"/>
                      <w:szCs w:val="22"/>
                      <w:u w:val="single" w:color="auto"/>
                      <w:lang w:val="en-US" w:eastAsia="zh-CN"/>
                    </w:rPr>
                    <w:t>+活性炭吸附装置</w:t>
                  </w:r>
                  <w:r>
                    <w:rPr>
                      <w:rFonts w:hint="eastAsia" w:ascii="Times New Roman" w:hAnsi="Times New Roman" w:cs="Times New Roman"/>
                      <w:color w:val="auto"/>
                      <w:sz w:val="22"/>
                      <w:szCs w:val="22"/>
                      <w:u w:val="single" w:color="auto"/>
                      <w:lang w:val="en-US" w:eastAsia="zh-CN"/>
                    </w:rPr>
                    <w:t>+15m高排气筒处理后高空排放</w:t>
                  </w:r>
                </w:p>
              </w:tc>
              <w:tc>
                <w:tcPr>
                  <w:tcW w:w="1949"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p>
              </w:tc>
              <w:tc>
                <w:tcPr>
                  <w:tcW w:w="2471"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2"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1" w:type="dxa"/>
                  <w:tcBorders>
                    <w:bottom w:val="single" w:color="000000" w:sz="12" w:space="0"/>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焊接烟尘</w:t>
                  </w:r>
                </w:p>
              </w:tc>
              <w:tc>
                <w:tcPr>
                  <w:tcW w:w="2916" w:type="dxa"/>
                  <w:tcBorders>
                    <w:bottom w:val="single" w:color="000000" w:sz="12" w:space="0"/>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经移动式烟尘净化器处理后无组织排放</w:t>
                  </w:r>
                </w:p>
              </w:tc>
              <w:tc>
                <w:tcPr>
                  <w:tcW w:w="1949" w:type="dxa"/>
                  <w:tcBorders>
                    <w:bottom w:val="single" w:color="000000" w:sz="12" w:space="0"/>
                    <w:tl2br w:val="nil"/>
                    <w:tr2bl w:val="nil"/>
                  </w:tcBorders>
                  <w:noWrap w:val="0"/>
                  <w:vAlign w:val="center"/>
                </w:tcPr>
                <w:p>
                  <w:pPr>
                    <w:spacing w:line="360" w:lineRule="auto"/>
                    <w:jc w:val="center"/>
                    <w:rPr>
                      <w:rFonts w:hint="eastAsia" w:cs="Times New Roman"/>
                      <w:color w:val="auto"/>
                      <w:sz w:val="22"/>
                      <w:szCs w:val="22"/>
                      <w:u w:val="single" w:color="auto"/>
                      <w:lang w:eastAsia="zh-CN"/>
                    </w:rPr>
                  </w:pPr>
                  <w:r>
                    <w:rPr>
                      <w:rFonts w:hint="eastAsia" w:cs="Times New Roman"/>
                      <w:color w:val="auto"/>
                      <w:sz w:val="22"/>
                      <w:szCs w:val="22"/>
                      <w:u w:val="single" w:color="auto"/>
                      <w:lang w:val="en-US" w:eastAsia="zh-CN"/>
                    </w:rPr>
                    <w:t>移动式烟尘净化器</w:t>
                  </w:r>
                </w:p>
              </w:tc>
              <w:tc>
                <w:tcPr>
                  <w:tcW w:w="24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《大气污染物综合排放标准》（</w:t>
                  </w:r>
                  <w:r>
                    <w:rPr>
                      <w:rFonts w:hint="default" w:ascii="Times New Roman" w:hAnsi="Times New Roman" w:cs="Times New Roman"/>
                      <w:color w:val="auto"/>
                      <w:sz w:val="22"/>
                      <w:szCs w:val="22"/>
                      <w:u w:val="single" w:color="auto"/>
                      <w:lang w:val="en-US" w:eastAsia="zh-CN"/>
                    </w:rPr>
                    <w:t>GB16297-1996)无组织排放标准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715" w:type="dxa"/>
                  <w:vMerge w:val="restar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固废</w:t>
                  </w:r>
                </w:p>
              </w:tc>
              <w:tc>
                <w:tcPr>
                  <w:tcW w:w="10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一般</w:t>
                  </w:r>
                </w:p>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固废</w:t>
                  </w:r>
                </w:p>
              </w:tc>
              <w:tc>
                <w:tcPr>
                  <w:tcW w:w="291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按《一般工业固体废物贮存、处置场污染控制标准》（GB18599-2001）及其修改单的要求固定堆存</w:t>
                  </w:r>
                </w:p>
              </w:tc>
              <w:tc>
                <w:tcPr>
                  <w:tcW w:w="1949"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建设一般固废堆场</w:t>
                  </w:r>
                  <w:r>
                    <w:rPr>
                      <w:rFonts w:hint="eastAsia" w:cs="Times New Roman"/>
                      <w:color w:val="auto"/>
                      <w:sz w:val="22"/>
                      <w:szCs w:val="22"/>
                      <w:u w:val="single" w:color="auto"/>
                      <w:lang w:eastAsia="zh-CN"/>
                    </w:rPr>
                    <w:t>（现有）</w:t>
                  </w:r>
                </w:p>
              </w:tc>
              <w:tc>
                <w:tcPr>
                  <w:tcW w:w="2471"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废物</w:t>
                  </w:r>
                </w:p>
              </w:tc>
              <w:tc>
                <w:tcPr>
                  <w:tcW w:w="291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《危险废物贮存污染控制标准》</w:t>
                  </w:r>
                  <w:r>
                    <w:rPr>
                      <w:rFonts w:hint="default" w:ascii="Times New Roman" w:hAnsi="Times New Roman" w:cs="Times New Roman"/>
                      <w:color w:val="auto"/>
                      <w:sz w:val="22"/>
                      <w:szCs w:val="22"/>
                      <w:u w:val="single" w:color="auto"/>
                      <w:lang w:eastAsia="zh-CN"/>
                    </w:rPr>
                    <w:t>（</w:t>
                  </w:r>
                  <w:r>
                    <w:rPr>
                      <w:rFonts w:hint="default" w:ascii="Times New Roman" w:hAnsi="Times New Roman" w:cs="Times New Roman"/>
                      <w:color w:val="auto"/>
                      <w:sz w:val="22"/>
                      <w:szCs w:val="22"/>
                      <w:u w:val="single" w:color="auto"/>
                    </w:rPr>
                    <w:t>GB18597-2001）及2013年修改单</w:t>
                  </w:r>
                </w:p>
              </w:tc>
              <w:tc>
                <w:tcPr>
                  <w:tcW w:w="19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危险废物</w:t>
                  </w:r>
                </w:p>
                <w:p>
                  <w:pPr>
                    <w:spacing w:line="360" w:lineRule="auto"/>
                    <w:jc w:val="center"/>
                    <w:rPr>
                      <w:rFonts w:hint="default" w:ascii="Times New Roman" w:hAnsi="Times New Roman" w:cs="Times New Roman"/>
                      <w:color w:val="auto"/>
                      <w:sz w:val="22"/>
                      <w:szCs w:val="22"/>
                      <w:u w:val="single" w:color="auto"/>
                      <w:lang w:eastAsia="zh-CN"/>
                    </w:rPr>
                  </w:pPr>
                  <w:r>
                    <w:rPr>
                      <w:rFonts w:hint="default" w:ascii="Times New Roman" w:hAnsi="Times New Roman" w:cs="Times New Roman"/>
                      <w:color w:val="auto"/>
                      <w:sz w:val="22"/>
                      <w:szCs w:val="22"/>
                      <w:u w:val="single" w:color="auto"/>
                      <w:lang w:eastAsia="zh-CN"/>
                    </w:rPr>
                    <w:t>储存间</w:t>
                  </w:r>
                  <w:r>
                    <w:rPr>
                      <w:rFonts w:hint="eastAsia" w:cs="Times New Roman"/>
                      <w:color w:val="auto"/>
                      <w:sz w:val="22"/>
                      <w:szCs w:val="22"/>
                      <w:u w:val="single" w:color="auto"/>
                      <w:lang w:eastAsia="zh-CN"/>
                    </w:rPr>
                    <w:t>（现有）</w:t>
                  </w:r>
                </w:p>
              </w:tc>
              <w:tc>
                <w:tcPr>
                  <w:tcW w:w="24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交由</w:t>
                  </w:r>
                  <w:r>
                    <w:rPr>
                      <w:rFonts w:hint="eastAsia" w:cs="Times New Roman"/>
                      <w:color w:val="auto"/>
                      <w:sz w:val="22"/>
                      <w:szCs w:val="22"/>
                      <w:u w:val="single" w:color="auto"/>
                      <w:lang w:val="en-US" w:eastAsia="zh-CN"/>
                    </w:rPr>
                    <w:t>有资质单位进行回收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dxa"/>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0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生活</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垃圾</w:t>
                  </w:r>
                </w:p>
              </w:tc>
              <w:tc>
                <w:tcPr>
                  <w:tcW w:w="2916"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集中收集后</w:t>
                  </w:r>
                  <w:r>
                    <w:rPr>
                      <w:rFonts w:hint="default" w:ascii="Times New Roman" w:hAnsi="Times New Roman" w:cs="Times New Roman"/>
                      <w:color w:val="auto"/>
                      <w:sz w:val="22"/>
                      <w:szCs w:val="22"/>
                      <w:u w:val="single" w:color="auto"/>
                      <w:lang w:eastAsia="zh-CN"/>
                    </w:rPr>
                    <w:t>交由环卫部门</w:t>
                  </w:r>
                  <w:r>
                    <w:rPr>
                      <w:rFonts w:hint="default" w:ascii="Times New Roman" w:hAnsi="Times New Roman" w:cs="Times New Roman"/>
                      <w:color w:val="auto"/>
                      <w:sz w:val="22"/>
                      <w:szCs w:val="22"/>
                      <w:u w:val="single" w:color="auto"/>
                    </w:rPr>
                    <w:t>进行处理</w:t>
                  </w:r>
                </w:p>
              </w:tc>
              <w:tc>
                <w:tcPr>
                  <w:tcW w:w="1949" w:type="dxa"/>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rPr>
                    <w:t>生活垃圾</w:t>
                  </w:r>
                  <w:r>
                    <w:rPr>
                      <w:rFonts w:hint="eastAsia" w:cs="Times New Roman"/>
                      <w:color w:val="auto"/>
                      <w:sz w:val="22"/>
                      <w:szCs w:val="22"/>
                      <w:u w:val="single" w:color="auto"/>
                      <w:lang w:eastAsia="zh-CN"/>
                    </w:rPr>
                    <w:t>桶（现有）</w:t>
                  </w:r>
                </w:p>
              </w:tc>
              <w:tc>
                <w:tcPr>
                  <w:tcW w:w="2471" w:type="dxa"/>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default" w:ascii="Times New Roman" w:hAnsi="Times New Roman"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102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机械</w:t>
                  </w:r>
                </w:p>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噪声</w:t>
                  </w:r>
                </w:p>
              </w:tc>
              <w:tc>
                <w:tcPr>
                  <w:tcW w:w="2916" w:type="dxa"/>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c>
                <w:tcPr>
                  <w:tcW w:w="1949"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隔声降噪措施</w:t>
                  </w:r>
                </w:p>
              </w:tc>
              <w:tc>
                <w:tcPr>
                  <w:tcW w:w="2471" w:type="dxa"/>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达到《工业企业厂界环境噪声排放标准》(GB12348-2008)</w:t>
                  </w:r>
                  <w:r>
                    <w:rPr>
                      <w:rFonts w:hint="eastAsia" w:cs="Times New Roman"/>
                      <w:color w:val="auto"/>
                      <w:sz w:val="22"/>
                      <w:szCs w:val="22"/>
                      <w:u w:val="single" w:color="auto"/>
                      <w:lang w:val="en-US" w:eastAsia="zh-CN"/>
                    </w:rPr>
                    <w:t>3、4</w:t>
                  </w:r>
                  <w:r>
                    <w:rPr>
                      <w:rFonts w:hint="default" w:ascii="Times New Roman" w:hAnsi="Times New Roman" w:cs="Times New Roman"/>
                      <w:color w:val="auto"/>
                      <w:sz w:val="22"/>
                      <w:szCs w:val="22"/>
                      <w:u w:val="single" w:color="auto"/>
                    </w:rPr>
                    <w:t>类</w:t>
                  </w:r>
                </w:p>
              </w:tc>
            </w:tr>
          </w:tbl>
          <w:p>
            <w:pPr>
              <w:spacing w:line="360" w:lineRule="auto"/>
              <w:ind w:firstLine="693" w:firstLineChars="300"/>
              <w:rPr>
                <w:rFonts w:hint="eastAsia"/>
                <w:b/>
                <w:color w:val="auto"/>
                <w:sz w:val="24"/>
                <w:u w:val="single" w:color="auto"/>
              </w:rPr>
            </w:pPr>
            <w:r>
              <w:rPr>
                <w:rFonts w:hint="eastAsia"/>
                <w:b/>
                <w:color w:val="auto"/>
                <w:sz w:val="24"/>
                <w:u w:val="single" w:color="auto"/>
              </w:rPr>
              <w:t>1</w:t>
            </w:r>
            <w:r>
              <w:rPr>
                <w:rFonts w:hint="eastAsia"/>
                <w:b/>
                <w:color w:val="auto"/>
                <w:sz w:val="24"/>
                <w:u w:val="single" w:color="auto"/>
                <w:lang w:val="en-US" w:eastAsia="zh-CN"/>
              </w:rPr>
              <w:t>3</w:t>
            </w:r>
            <w:r>
              <w:rPr>
                <w:rFonts w:hint="eastAsia"/>
                <w:b/>
                <w:color w:val="auto"/>
                <w:sz w:val="24"/>
                <w:u w:val="single" w:color="auto"/>
              </w:rPr>
              <w:t>.</w:t>
            </w:r>
            <w:r>
              <w:rPr>
                <w:b/>
                <w:color w:val="auto"/>
                <w:sz w:val="24"/>
                <w:u w:val="single" w:color="auto"/>
              </w:rPr>
              <w:t>项目污染物排放“三本帐”：</w:t>
            </w:r>
          </w:p>
          <w:p>
            <w:pPr>
              <w:spacing w:line="360" w:lineRule="auto"/>
              <w:jc w:val="center"/>
              <w:rPr>
                <w:b/>
                <w:color w:val="auto"/>
                <w:szCs w:val="21"/>
                <w:u w:val="single" w:color="auto"/>
              </w:rPr>
            </w:pPr>
            <w:r>
              <w:rPr>
                <w:rFonts w:hint="eastAsia"/>
                <w:b/>
                <w:color w:val="auto"/>
                <w:szCs w:val="21"/>
                <w:u w:val="single" w:color="auto"/>
              </w:rPr>
              <w:t>表7-</w:t>
            </w:r>
            <w:r>
              <w:rPr>
                <w:rFonts w:hint="eastAsia"/>
                <w:b/>
                <w:color w:val="auto"/>
                <w:szCs w:val="21"/>
                <w:u w:val="single" w:color="auto"/>
                <w:lang w:val="en-US" w:eastAsia="zh-CN"/>
              </w:rPr>
              <w:t>27</w:t>
            </w:r>
            <w:r>
              <w:rPr>
                <w:rFonts w:hint="eastAsia"/>
                <w:b/>
                <w:color w:val="auto"/>
                <w:szCs w:val="21"/>
                <w:u w:val="single" w:color="auto"/>
              </w:rPr>
              <w:t xml:space="preserve">   </w:t>
            </w:r>
            <w:r>
              <w:rPr>
                <w:b/>
                <w:color w:val="auto"/>
                <w:szCs w:val="21"/>
                <w:u w:val="single" w:color="auto"/>
              </w:rPr>
              <w:t xml:space="preserve">项目改扩建前后主要污染物排放“三本帐”表  </w:t>
            </w:r>
          </w:p>
          <w:tbl>
            <w:tblPr>
              <w:tblStyle w:val="40"/>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08" w:type="dxa"/>
                <w:bottom w:w="15" w:type="dxa"/>
                <w:right w:w="108" w:type="dxa"/>
              </w:tblCellMar>
            </w:tblPr>
            <w:tblGrid>
              <w:gridCol w:w="881"/>
              <w:gridCol w:w="1296"/>
              <w:gridCol w:w="945"/>
              <w:gridCol w:w="932"/>
              <w:gridCol w:w="1090"/>
              <w:gridCol w:w="1123"/>
              <w:gridCol w:w="1060"/>
              <w:gridCol w:w="182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743" w:hRule="atLeast"/>
                <w:jc w:val="center"/>
              </w:trPr>
              <w:tc>
                <w:tcPr>
                  <w:tcW w:w="481"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项目</w:t>
                  </w:r>
                </w:p>
              </w:tc>
              <w:tc>
                <w:tcPr>
                  <w:tcW w:w="70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污染物名称</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单位</w:t>
                  </w:r>
                </w:p>
              </w:tc>
              <w:tc>
                <w:tcPr>
                  <w:tcW w:w="50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现有项目排放量</w:t>
                  </w:r>
                </w:p>
              </w:tc>
              <w:tc>
                <w:tcPr>
                  <w:tcW w:w="595"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本扩建项目排放量</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以新带老削减量</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排放增减量</w:t>
                  </w:r>
                </w:p>
              </w:tc>
              <w:tc>
                <w:tcPr>
                  <w:tcW w:w="994"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总体工程排放量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8" w:hRule="atLeast"/>
                <w:jc w:val="center"/>
              </w:trPr>
              <w:tc>
                <w:tcPr>
                  <w:tcW w:w="481"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w:t>
                  </w:r>
                </w:p>
              </w:tc>
              <w:tc>
                <w:tcPr>
                  <w:tcW w:w="70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废水量</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720</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1200</w:t>
                  </w:r>
                </w:p>
              </w:tc>
              <w:tc>
                <w:tcPr>
                  <w:tcW w:w="613"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+1200</w:t>
                  </w:r>
                </w:p>
              </w:tc>
              <w:tc>
                <w:tcPr>
                  <w:tcW w:w="99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1920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45" w:hRule="atLeast"/>
                <w:jc w:val="center"/>
              </w:trPr>
              <w:tc>
                <w:tcPr>
                  <w:tcW w:w="481"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化学需氧量</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0.036</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0.06</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+0.06</w:t>
                  </w:r>
                </w:p>
              </w:tc>
              <w:tc>
                <w:tcPr>
                  <w:tcW w:w="99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01" w:hRule="atLeast"/>
                <w:jc w:val="center"/>
              </w:trPr>
              <w:tc>
                <w:tcPr>
                  <w:tcW w:w="481"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eastAsia="zh-CN"/>
                    </w:rPr>
                  </w:pPr>
                  <w:r>
                    <w:rPr>
                      <w:rFonts w:hint="eastAsia" w:cs="Times New Roman"/>
                      <w:color w:val="auto"/>
                      <w:kern w:val="0"/>
                      <w:sz w:val="22"/>
                      <w:szCs w:val="22"/>
                      <w:u w:val="single" w:color="auto"/>
                      <w:lang w:eastAsia="zh-CN"/>
                    </w:rPr>
                    <w:t>氨氮</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0.0059</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0.0096</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+0.0096</w:t>
                  </w:r>
                </w:p>
              </w:tc>
              <w:tc>
                <w:tcPr>
                  <w:tcW w:w="99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97" w:hRule="atLeast"/>
                <w:jc w:val="center"/>
              </w:trPr>
              <w:tc>
                <w:tcPr>
                  <w:tcW w:w="481"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废气</w:t>
                  </w:r>
                </w:p>
              </w:tc>
              <w:tc>
                <w:tcPr>
                  <w:tcW w:w="708"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eastAsia="zh-CN"/>
                    </w:rPr>
                  </w:pPr>
                  <w:r>
                    <w:rPr>
                      <w:rFonts w:hint="default" w:ascii="Times New Roman" w:hAnsi="Times New Roman" w:cs="Times New Roman"/>
                      <w:color w:val="auto"/>
                      <w:kern w:val="0"/>
                      <w:sz w:val="22"/>
                      <w:szCs w:val="22"/>
                      <w:u w:val="single" w:color="auto"/>
                      <w:lang w:eastAsia="zh-CN"/>
                    </w:rPr>
                    <w:t>颗粒物</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0.015</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0.02975</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rPr>
                  </w:pPr>
                  <w:r>
                    <w:rPr>
                      <w:rFonts w:hint="eastAsia" w:ascii="Times New Roman" w:hAnsi="Times New Roman" w:cs="Times New Roman"/>
                      <w:color w:val="auto"/>
                      <w:kern w:val="0"/>
                      <w:sz w:val="22"/>
                      <w:szCs w:val="22"/>
                      <w:u w:val="single" w:color="auto"/>
                      <w:lang w:val="en-US" w:eastAsia="zh-CN"/>
                    </w:rPr>
                    <w:t>-0.0036</w:t>
                  </w:r>
                </w:p>
              </w:tc>
              <w:tc>
                <w:tcPr>
                  <w:tcW w:w="57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eastAsia="宋体" w:cs="Times New Roman"/>
                      <w:color w:val="auto"/>
                      <w:kern w:val="0"/>
                      <w:sz w:val="22"/>
                      <w:szCs w:val="22"/>
                      <w:u w:val="single" w:color="auto"/>
                      <w:lang w:val="en-US" w:eastAsia="zh-CN"/>
                    </w:rPr>
                    <w:t>+</w:t>
                  </w:r>
                  <w:r>
                    <w:rPr>
                      <w:rFonts w:hint="eastAsia" w:ascii="Times New Roman" w:hAnsi="Times New Roman" w:eastAsia="宋体" w:cs="Times New Roman"/>
                      <w:color w:val="auto"/>
                      <w:kern w:val="0"/>
                      <w:sz w:val="22"/>
                      <w:szCs w:val="22"/>
                      <w:u w:val="single" w:color="auto"/>
                      <w:lang w:val="en-US" w:eastAsia="zh-CN"/>
                    </w:rPr>
                    <w:t>0.02975</w:t>
                  </w:r>
                </w:p>
              </w:tc>
              <w:tc>
                <w:tcPr>
                  <w:tcW w:w="99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0.04115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629" w:hRule="atLeast"/>
                <w:jc w:val="center"/>
              </w:trPr>
              <w:tc>
                <w:tcPr>
                  <w:tcW w:w="481" w:type="pct"/>
                  <w:vMerge w:val="continue"/>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VOC</w:t>
                  </w:r>
                  <w:r>
                    <w:rPr>
                      <w:rFonts w:hint="eastAsia" w:ascii="Times New Roman" w:hAnsi="Times New Roman" w:cs="Times New Roman"/>
                      <w:color w:val="auto"/>
                      <w:kern w:val="0"/>
                      <w:sz w:val="22"/>
                      <w:szCs w:val="22"/>
                      <w:u w:val="single" w:color="auto"/>
                      <w:vertAlign w:val="subscript"/>
                      <w:lang w:val="en-US" w:eastAsia="zh-CN"/>
                    </w:rPr>
                    <w:t>S</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cs="Times New Roman"/>
                      <w:color w:val="auto"/>
                      <w:kern w:val="0"/>
                      <w:sz w:val="22"/>
                      <w:szCs w:val="22"/>
                      <w:u w:val="single" w:color="auto"/>
                      <w:lang w:val="en-US" w:eastAsia="zh-CN"/>
                    </w:rPr>
                    <w:t>0.24</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0.1643</w:t>
                  </w:r>
                </w:p>
              </w:tc>
              <w:tc>
                <w:tcPr>
                  <w:tcW w:w="613"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-0.069</w:t>
                  </w:r>
                </w:p>
              </w:tc>
              <w:tc>
                <w:tcPr>
                  <w:tcW w:w="57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eastAsia="宋体" w:cs="Times New Roman"/>
                      <w:color w:val="auto"/>
                      <w:kern w:val="0"/>
                      <w:sz w:val="22"/>
                      <w:szCs w:val="22"/>
                      <w:u w:val="single" w:color="auto"/>
                      <w:lang w:val="en-US" w:eastAsia="zh-CN"/>
                    </w:rPr>
                    <w:t>+</w:t>
                  </w:r>
                  <w:r>
                    <w:rPr>
                      <w:rFonts w:hint="eastAsia" w:ascii="Times New Roman" w:hAnsi="Times New Roman" w:eastAsia="宋体" w:cs="Times New Roman"/>
                      <w:color w:val="auto"/>
                      <w:kern w:val="0"/>
                      <w:sz w:val="22"/>
                      <w:szCs w:val="22"/>
                      <w:u w:val="single" w:color="auto"/>
                      <w:lang w:val="en-US" w:eastAsia="zh-CN"/>
                    </w:rPr>
                    <w:t>0.</w:t>
                  </w:r>
                  <w:r>
                    <w:rPr>
                      <w:rFonts w:hint="eastAsia" w:ascii="Times New Roman" w:hAnsi="Times New Roman" w:cs="Times New Roman"/>
                      <w:color w:val="auto"/>
                      <w:kern w:val="0"/>
                      <w:sz w:val="22"/>
                      <w:szCs w:val="22"/>
                      <w:u w:val="single" w:color="auto"/>
                      <w:lang w:val="en-US" w:eastAsia="zh-CN"/>
                    </w:rPr>
                    <w:t>1643</w:t>
                  </w:r>
                </w:p>
              </w:tc>
              <w:tc>
                <w:tcPr>
                  <w:tcW w:w="994"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0.3353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85" w:hRule="atLeast"/>
                <w:jc w:val="center"/>
              </w:trPr>
              <w:tc>
                <w:tcPr>
                  <w:tcW w:w="481" w:type="pct"/>
                  <w:vMerge w:val="restar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固体废物</w:t>
                  </w:r>
                </w:p>
              </w:tc>
              <w:tc>
                <w:tcPr>
                  <w:tcW w:w="708"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生活垃圾</w:t>
                  </w:r>
                </w:p>
              </w:tc>
              <w:tc>
                <w:tcPr>
                  <w:tcW w:w="516"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9</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15</w:t>
                  </w:r>
                </w:p>
              </w:tc>
              <w:tc>
                <w:tcPr>
                  <w:tcW w:w="613"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ascii="Times New Roman" w:hAnsi="Times New Roman" w:cs="Times New Roman"/>
                      <w:color w:val="auto"/>
                      <w:kern w:val="0"/>
                      <w:sz w:val="22"/>
                      <w:szCs w:val="22"/>
                      <w:u w:val="single" w:color="auto"/>
                      <w:lang w:val="en-US" w:eastAsia="zh-CN"/>
                    </w:rPr>
                    <w:t>15</w:t>
                  </w:r>
                </w:p>
              </w:tc>
              <w:tc>
                <w:tcPr>
                  <w:tcW w:w="994"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rPr>
                  </w:pPr>
                  <w:r>
                    <w:rPr>
                      <w:rFonts w:hint="default" w:ascii="Times New Roman" w:hAnsi="Times New Roman" w:cs="Times New Roman"/>
                      <w:color w:val="auto"/>
                      <w:kern w:val="0"/>
                      <w:sz w:val="22"/>
                      <w:szCs w:val="22"/>
                      <w:u w:val="single" w:color="auto"/>
                    </w:rPr>
                    <w:t>由环卫部门清运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477"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lang w:eastAsia="zh-CN"/>
                    </w:rPr>
                    <w:t>废金属</w:t>
                  </w:r>
                </w:p>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边角料</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 xml:space="preserve"> t /a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2</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2.49</w:t>
                  </w:r>
                </w:p>
              </w:tc>
              <w:tc>
                <w:tcPr>
                  <w:tcW w:w="613"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ascii="Times New Roman" w:hAnsi="Times New Roman" w:eastAsia="宋体" w:cs="Times New Roman"/>
                      <w:color w:val="auto"/>
                      <w:kern w:val="0"/>
                      <w:sz w:val="22"/>
                      <w:szCs w:val="22"/>
                      <w:u w:val="single" w:color="auto"/>
                      <w:lang w:val="en-US" w:eastAsia="zh-CN"/>
                    </w:rPr>
                    <w:t>2.49</w:t>
                  </w:r>
                </w:p>
              </w:tc>
              <w:tc>
                <w:tcPr>
                  <w:tcW w:w="994"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收集后外售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1026"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喷塑过程中收集的粉尘</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 w:val="22"/>
                      <w:szCs w:val="22"/>
                      <w:u w:val="single" w:color="auto"/>
                      <w:lang w:val="en-US" w:eastAsia="zh-CN"/>
                    </w:rPr>
                    <w:t>0.475</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ascii="Times New Roman" w:hAnsi="Times New Roman" w:cs="Times New Roman"/>
                      <w:color w:val="auto"/>
                      <w:kern w:val="0"/>
                      <w:sz w:val="22"/>
                      <w:szCs w:val="22"/>
                      <w:u w:val="single" w:color="auto"/>
                      <w:lang w:val="en-US" w:eastAsia="zh-CN"/>
                    </w:rPr>
                    <w:t>0.475</w:t>
                  </w:r>
                </w:p>
              </w:tc>
              <w:tc>
                <w:tcPr>
                  <w:tcW w:w="994"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回用于生产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702"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除尘器收集的粉尘</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0.00213</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Cs w:val="21"/>
                      <w:u w:val="none" w:color="auto"/>
                      <w:lang w:val="en-US" w:eastAsia="zh-CN"/>
                    </w:rPr>
                    <w:t>0.00648</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olor w:val="auto"/>
                      <w:szCs w:val="21"/>
                      <w:u w:val="none" w:color="auto"/>
                      <w:lang w:val="en-US" w:eastAsia="zh-CN"/>
                    </w:rPr>
                    <w:t>0.00648</w:t>
                  </w:r>
                </w:p>
              </w:tc>
              <w:tc>
                <w:tcPr>
                  <w:tcW w:w="994"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交由环卫部门进行处理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535"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废活性炭</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0.513</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 w:val="22"/>
                      <w:szCs w:val="22"/>
                      <w:u w:val="single" w:color="auto"/>
                      <w:lang w:val="en-US" w:eastAsia="zh-CN"/>
                    </w:rPr>
                    <w:t>1.2</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cs="Times New Roman"/>
                      <w:color w:val="auto"/>
                      <w:kern w:val="0"/>
                      <w:sz w:val="22"/>
                      <w:szCs w:val="22"/>
                      <w:u w:val="single" w:color="auto"/>
                      <w:lang w:val="en-US" w:eastAsia="zh-CN"/>
                    </w:rPr>
                    <w:t>1.2</w:t>
                  </w:r>
                </w:p>
              </w:tc>
              <w:tc>
                <w:tcPr>
                  <w:tcW w:w="994" w:type="pct"/>
                  <w:vMerge w:val="restar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暂存危废暂存间，定期交由</w:t>
                  </w:r>
                  <w:r>
                    <w:rPr>
                      <w:rFonts w:hint="eastAsia"/>
                      <w:color w:val="auto"/>
                      <w:sz w:val="22"/>
                      <w:szCs w:val="22"/>
                      <w:u w:val="single" w:color="auto"/>
                      <w:lang w:eastAsia="zh-CN"/>
                    </w:rPr>
                    <w:t>有资质单位处理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31"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含油抹布、手套</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val="en-US" w:eastAsia="zh-CN"/>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0.05</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 w:val="22"/>
                      <w:szCs w:val="22"/>
                      <w:u w:val="single" w:color="auto"/>
                      <w:lang w:val="en-US" w:eastAsia="zh-CN"/>
                    </w:rPr>
                    <w:t>0.004</w:t>
                  </w:r>
                </w:p>
              </w:tc>
              <w:tc>
                <w:tcPr>
                  <w:tcW w:w="613"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ascii="Times New Roman" w:hAnsi="Times New Roman" w:cs="Times New Roman"/>
                      <w:color w:val="auto"/>
                      <w:kern w:val="0"/>
                      <w:sz w:val="22"/>
                      <w:szCs w:val="22"/>
                      <w:u w:val="single" w:color="auto"/>
                      <w:lang w:val="en-US" w:eastAsia="zh-CN"/>
                    </w:rPr>
                    <w:t>0.004</w:t>
                  </w:r>
                </w:p>
              </w:tc>
              <w:tc>
                <w:tcPr>
                  <w:tcW w:w="9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281"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eastAsia"/>
                      <w:color w:val="auto"/>
                      <w:sz w:val="22"/>
                      <w:szCs w:val="22"/>
                      <w:u w:val="single" w:color="auto"/>
                      <w:lang w:eastAsia="zh-CN"/>
                    </w:rPr>
                  </w:pPr>
                  <w:r>
                    <w:rPr>
                      <w:rFonts w:hint="eastAsia"/>
                      <w:color w:val="auto"/>
                      <w:sz w:val="22"/>
                      <w:szCs w:val="22"/>
                      <w:u w:val="single" w:color="auto"/>
                    </w:rPr>
                    <w:t>漆渣</w:t>
                  </w:r>
                </w:p>
              </w:tc>
              <w:tc>
                <w:tcPr>
                  <w:tcW w:w="516" w:type="pct"/>
                  <w:tcBorders>
                    <w:tl2br w:val="nil"/>
                    <w:tr2bl w:val="nil"/>
                  </w:tcBorders>
                  <w:noWrap w:val="0"/>
                  <w:vAlign w:val="center"/>
                </w:tcPr>
                <w:p>
                  <w:pPr>
                    <w:spacing w:line="360" w:lineRule="auto"/>
                    <w:jc w:val="center"/>
                    <w:rPr>
                      <w:rFonts w:hint="eastAsia"/>
                      <w:color w:val="auto"/>
                      <w:sz w:val="22"/>
                      <w:szCs w:val="22"/>
                      <w:u w:val="single" w:color="auto"/>
                      <w:lang w:val="en-US" w:eastAsia="zh-CN"/>
                    </w:rPr>
                  </w:pPr>
                  <w:r>
                    <w:rPr>
                      <w:color w:val="auto"/>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eastAsia"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0.009</w:t>
                  </w:r>
                </w:p>
              </w:tc>
              <w:tc>
                <w:tcPr>
                  <w:tcW w:w="595" w:type="pct"/>
                  <w:tcBorders>
                    <w:tl2br w:val="nil"/>
                    <w:tr2bl w:val="nil"/>
                  </w:tcBorders>
                  <w:noWrap w:val="0"/>
                  <w:vAlign w:val="center"/>
                </w:tcPr>
                <w:p>
                  <w:pPr>
                    <w:widowControl/>
                    <w:spacing w:line="360" w:lineRule="auto"/>
                    <w:jc w:val="center"/>
                    <w:rPr>
                      <w:rFonts w:hint="eastAsia"/>
                      <w:color w:val="auto"/>
                      <w:sz w:val="22"/>
                      <w:szCs w:val="22"/>
                      <w:u w:val="single" w:color="auto"/>
                      <w:lang w:val="en-US" w:eastAsia="zh-CN"/>
                    </w:rPr>
                  </w:pPr>
                  <w:r>
                    <w:rPr>
                      <w:rFonts w:hint="eastAsia"/>
                      <w:color w:val="auto"/>
                      <w:sz w:val="22"/>
                      <w:szCs w:val="22"/>
                      <w:u w:val="single" w:color="auto"/>
                      <w:lang w:val="en-US" w:eastAsia="zh-CN"/>
                    </w:rPr>
                    <w:t>0.004</w:t>
                  </w:r>
                </w:p>
              </w:tc>
              <w:tc>
                <w:tcPr>
                  <w:tcW w:w="613" w:type="pct"/>
                  <w:tcBorders>
                    <w:tl2br w:val="nil"/>
                    <w:tr2bl w:val="nil"/>
                  </w:tcBorders>
                  <w:noWrap w:val="0"/>
                  <w:vAlign w:val="center"/>
                </w:tcPr>
                <w:p>
                  <w:pPr>
                    <w:widowControl/>
                    <w:spacing w:line="360" w:lineRule="auto"/>
                    <w:jc w:val="center"/>
                    <w:rPr>
                      <w:rFonts w:hint="eastAsia"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ascii="Times New Roman" w:hAnsi="Times New Roman" w:cs="Times New Roman"/>
                      <w:color w:val="auto"/>
                      <w:kern w:val="0"/>
                      <w:sz w:val="22"/>
                      <w:szCs w:val="22"/>
                      <w:u w:val="single" w:color="auto"/>
                      <w:lang w:val="en-US" w:eastAsia="zh-CN"/>
                    </w:rPr>
                    <w:t>0.004</w:t>
                  </w:r>
                </w:p>
              </w:tc>
              <w:tc>
                <w:tcPr>
                  <w:tcW w:w="994" w:type="pct"/>
                  <w:vMerge w:val="continue"/>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08" w:type="dxa"/>
                  <w:bottom w:w="15" w:type="dxa"/>
                  <w:right w:w="108" w:type="dxa"/>
                </w:tblCellMar>
              </w:tblPrEx>
              <w:trPr>
                <w:trHeight w:val="322" w:hRule="atLeast"/>
                <w:jc w:val="center"/>
              </w:trPr>
              <w:tc>
                <w:tcPr>
                  <w:tcW w:w="481" w:type="pct"/>
                  <w:vMerge w:val="continue"/>
                  <w:tcBorders>
                    <w:tl2br w:val="nil"/>
                    <w:tr2bl w:val="nil"/>
                  </w:tcBorders>
                  <w:noWrap w:val="0"/>
                  <w:vAlign w:val="center"/>
                </w:tcPr>
                <w:p>
                  <w:pPr>
                    <w:widowControl/>
                    <w:spacing w:line="360" w:lineRule="auto"/>
                    <w:jc w:val="left"/>
                    <w:rPr>
                      <w:rFonts w:hint="default" w:ascii="Times New Roman" w:hAnsi="Times New Roman" w:cs="Times New Roman"/>
                      <w:color w:val="auto"/>
                      <w:kern w:val="0"/>
                      <w:sz w:val="22"/>
                      <w:szCs w:val="22"/>
                      <w:u w:val="single" w:color="auto"/>
                    </w:rPr>
                  </w:pPr>
                </w:p>
              </w:tc>
              <w:tc>
                <w:tcPr>
                  <w:tcW w:w="708"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废水性漆包装物</w:t>
                  </w:r>
                </w:p>
              </w:tc>
              <w:tc>
                <w:tcPr>
                  <w:tcW w:w="516"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color w:val="auto"/>
                      <w:sz w:val="22"/>
                      <w:szCs w:val="22"/>
                      <w:u w:val="single" w:color="auto"/>
                    </w:rPr>
                    <w:t>t/a</w:t>
                  </w:r>
                </w:p>
              </w:tc>
              <w:tc>
                <w:tcPr>
                  <w:tcW w:w="50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ascii="Times New Roman" w:hAnsi="Times New Roman" w:eastAsia="宋体" w:cs="Times New Roman"/>
                      <w:color w:val="auto"/>
                      <w:kern w:val="0"/>
                      <w:sz w:val="22"/>
                      <w:szCs w:val="22"/>
                      <w:u w:val="single" w:color="auto"/>
                      <w:lang w:val="en-US" w:eastAsia="zh-CN"/>
                    </w:rPr>
                    <w:t>0.036</w:t>
                  </w:r>
                </w:p>
              </w:tc>
              <w:tc>
                <w:tcPr>
                  <w:tcW w:w="595"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eastAsia"/>
                      <w:color w:val="auto"/>
                      <w:sz w:val="22"/>
                      <w:szCs w:val="22"/>
                      <w:u w:val="single" w:color="auto"/>
                      <w:lang w:val="en-US" w:eastAsia="zh-CN"/>
                    </w:rPr>
                    <w:t>0.01</w:t>
                  </w:r>
                </w:p>
              </w:tc>
              <w:tc>
                <w:tcPr>
                  <w:tcW w:w="613" w:type="pct"/>
                  <w:tcBorders>
                    <w:tl2br w:val="nil"/>
                    <w:tr2bl w:val="nil"/>
                  </w:tcBorders>
                  <w:noWrap w:val="0"/>
                  <w:vAlign w:val="center"/>
                </w:tcPr>
                <w:p>
                  <w:pPr>
                    <w:widowControl/>
                    <w:spacing w:line="360" w:lineRule="auto"/>
                    <w:jc w:val="center"/>
                    <w:rPr>
                      <w:rFonts w:hint="default" w:ascii="Times New Roman" w:hAnsi="Times New Roman" w:cs="Times New Roman"/>
                      <w:color w:val="auto"/>
                      <w:kern w:val="0"/>
                      <w:sz w:val="22"/>
                      <w:szCs w:val="22"/>
                      <w:u w:val="single" w:color="auto"/>
                      <w:lang w:val="en-US" w:eastAsia="zh-CN"/>
                    </w:rPr>
                  </w:pPr>
                  <w:r>
                    <w:rPr>
                      <w:rFonts w:hint="eastAsia" w:ascii="Times New Roman" w:hAnsi="Times New Roman" w:cs="Times New Roman"/>
                      <w:color w:val="auto"/>
                      <w:kern w:val="0"/>
                      <w:sz w:val="22"/>
                      <w:szCs w:val="22"/>
                      <w:u w:val="single" w:color="auto"/>
                      <w:lang w:val="en-US" w:eastAsia="zh-CN"/>
                    </w:rPr>
                    <w:t>0</w:t>
                  </w:r>
                </w:p>
              </w:tc>
              <w:tc>
                <w:tcPr>
                  <w:tcW w:w="579" w:type="pct"/>
                  <w:tcBorders>
                    <w:tl2br w:val="nil"/>
                    <w:tr2bl w:val="nil"/>
                  </w:tcBorders>
                  <w:noWrap w:val="0"/>
                  <w:vAlign w:val="center"/>
                </w:tcPr>
                <w:p>
                  <w:pPr>
                    <w:widowControl/>
                    <w:spacing w:line="360" w:lineRule="auto"/>
                    <w:jc w:val="center"/>
                    <w:rPr>
                      <w:rFonts w:hint="default" w:ascii="Times New Roman" w:hAnsi="Times New Roman" w:eastAsia="宋体" w:cs="Times New Roman"/>
                      <w:color w:val="auto"/>
                      <w:kern w:val="0"/>
                      <w:sz w:val="22"/>
                      <w:szCs w:val="22"/>
                      <w:u w:val="single" w:color="auto"/>
                      <w:lang w:val="en-US" w:eastAsia="zh-CN"/>
                    </w:rPr>
                  </w:pPr>
                  <w:r>
                    <w:rPr>
                      <w:rFonts w:hint="default" w:ascii="Times New Roman" w:hAnsi="Times New Roman" w:cs="Times New Roman"/>
                      <w:color w:val="auto"/>
                      <w:kern w:val="0"/>
                      <w:sz w:val="22"/>
                      <w:szCs w:val="22"/>
                      <w:u w:val="single" w:color="auto"/>
                      <w:lang w:val="en-US" w:eastAsia="zh-CN"/>
                    </w:rPr>
                    <w:t>+</w:t>
                  </w:r>
                  <w:r>
                    <w:rPr>
                      <w:rFonts w:hint="eastAsia" w:ascii="Times New Roman" w:hAnsi="Times New Roman" w:cs="Times New Roman"/>
                      <w:color w:val="auto"/>
                      <w:kern w:val="0"/>
                      <w:sz w:val="22"/>
                      <w:szCs w:val="22"/>
                      <w:u w:val="single" w:color="auto"/>
                      <w:lang w:val="en-US" w:eastAsia="zh-CN"/>
                    </w:rPr>
                    <w:t>0.01</w:t>
                  </w:r>
                </w:p>
              </w:tc>
              <w:tc>
                <w:tcPr>
                  <w:tcW w:w="994" w:type="pct"/>
                  <w:tcBorders>
                    <w:tl2br w:val="nil"/>
                    <w:tr2bl w:val="nil"/>
                  </w:tcBorders>
                  <w:noWrap w:val="0"/>
                  <w:vAlign w:val="center"/>
                </w:tcPr>
                <w:p>
                  <w:pPr>
                    <w:spacing w:line="360" w:lineRule="auto"/>
                    <w:jc w:val="center"/>
                    <w:rPr>
                      <w:rFonts w:hint="default" w:ascii="Times New Roman" w:hAnsi="Times New Roman" w:cs="Times New Roman"/>
                      <w:color w:val="auto"/>
                      <w:kern w:val="0"/>
                      <w:sz w:val="22"/>
                      <w:szCs w:val="22"/>
                      <w:u w:val="single" w:color="auto"/>
                    </w:rPr>
                  </w:pPr>
                  <w:r>
                    <w:rPr>
                      <w:rFonts w:hint="eastAsia"/>
                      <w:color w:val="auto"/>
                      <w:sz w:val="22"/>
                      <w:szCs w:val="22"/>
                      <w:u w:val="single" w:color="auto"/>
                      <w:lang w:eastAsia="zh-CN"/>
                    </w:rPr>
                    <w:t>交由环卫部门进行处理</w:t>
                  </w:r>
                </w:p>
              </w:tc>
            </w:tr>
          </w:tbl>
          <w:p>
            <w:pPr>
              <w:spacing w:line="360" w:lineRule="auto"/>
              <w:jc w:val="center"/>
              <w:rPr>
                <w:rFonts w:hint="default" w:cs="Times New Roman"/>
                <w:color w:val="auto"/>
                <w:sz w:val="24"/>
                <w:szCs w:val="24"/>
                <w:u w:val="single" w:color="auto"/>
                <w:lang w:val="en-US" w:eastAsia="zh-CN"/>
              </w:rPr>
            </w:pPr>
            <w:r>
              <w:rPr>
                <w:rFonts w:hint="eastAsia" w:cs="Times New Roman"/>
                <w:color w:val="auto"/>
                <w:sz w:val="24"/>
                <w:szCs w:val="24"/>
                <w:u w:val="single" w:color="auto"/>
                <w:lang w:val="en-US" w:eastAsia="zh-CN"/>
              </w:rPr>
              <w:t>表7-28 污染设施扩建前后情况一览表</w:t>
            </w:r>
          </w:p>
          <w:tbl>
            <w:tblPr>
              <w:tblStyle w:val="4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1116"/>
              <w:gridCol w:w="2631"/>
              <w:gridCol w:w="2699"/>
              <w:gridCol w:w="18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051" w:type="pct"/>
                  <w:gridSpan w:val="2"/>
                  <w:vMerge w:val="restart"/>
                  <w:tcBorders>
                    <w:tl2br w:val="nil"/>
                    <w:tr2bl w:val="nil"/>
                  </w:tcBorders>
                  <w:noWrap w:val="0"/>
                  <w:vAlign w:val="center"/>
                </w:tcPr>
                <w:p>
                  <w:pPr>
                    <w:spacing w:line="360" w:lineRule="auto"/>
                    <w:jc w:val="center"/>
                    <w:rPr>
                      <w:rFonts w:hint="eastAsia" w:ascii="Times New Roman" w:hAnsi="Times New Roman"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污染类型</w:t>
                  </w:r>
                </w:p>
              </w:tc>
              <w:tc>
                <w:tcPr>
                  <w:tcW w:w="1438" w:type="pct"/>
                  <w:tcBorders>
                    <w:tl2br w:val="nil"/>
                    <w:tr2bl w:val="nil"/>
                  </w:tcBorders>
                  <w:noWrap w:val="0"/>
                  <w:vAlign w:val="center"/>
                </w:tcPr>
                <w:p>
                  <w:pPr>
                    <w:spacing w:line="360" w:lineRule="auto"/>
                    <w:jc w:val="center"/>
                    <w:rPr>
                      <w:rFonts w:hint="default" w:ascii="Times New Roman" w:hAnsi="Times New Roman" w:eastAsia="宋体" w:cs="Times New Roman"/>
                      <w:b/>
                      <w:color w:val="auto"/>
                      <w:sz w:val="22"/>
                      <w:szCs w:val="22"/>
                      <w:u w:val="single" w:color="auto"/>
                      <w:lang w:val="en-US" w:eastAsia="zh-CN"/>
                    </w:rPr>
                  </w:pPr>
                  <w:r>
                    <w:rPr>
                      <w:rFonts w:hint="eastAsia" w:ascii="Times New Roman" w:hAnsi="Times New Roman" w:cs="Times New Roman"/>
                      <w:b/>
                      <w:color w:val="auto"/>
                      <w:sz w:val="22"/>
                      <w:szCs w:val="22"/>
                      <w:u w:val="single" w:color="auto"/>
                      <w:lang w:eastAsia="zh-CN"/>
                    </w:rPr>
                    <w:t>扩建前</w:t>
                  </w:r>
                </w:p>
              </w:tc>
              <w:tc>
                <w:tcPr>
                  <w:tcW w:w="1475"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扩建后</w:t>
                  </w:r>
                </w:p>
              </w:tc>
              <w:tc>
                <w:tcPr>
                  <w:tcW w:w="1035"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1051" w:type="pct"/>
                  <w:gridSpan w:val="2"/>
                  <w:vMerge w:val="continue"/>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p>
              </w:tc>
              <w:tc>
                <w:tcPr>
                  <w:tcW w:w="1438" w:type="pct"/>
                  <w:tcBorders>
                    <w:tl2br w:val="nil"/>
                    <w:tr2bl w:val="nil"/>
                  </w:tcBorders>
                  <w:noWrap w:val="0"/>
                  <w:vAlign w:val="center"/>
                </w:tcPr>
                <w:p>
                  <w:pPr>
                    <w:spacing w:line="360" w:lineRule="auto"/>
                    <w:jc w:val="center"/>
                    <w:rPr>
                      <w:rFonts w:hint="eastAsia" w:ascii="Times New Roman" w:hAnsi="Times New Roman" w:eastAsia="宋体" w:cs="Times New Roman"/>
                      <w:b/>
                      <w:color w:val="auto"/>
                      <w:sz w:val="22"/>
                      <w:szCs w:val="22"/>
                      <w:u w:val="single" w:color="auto"/>
                      <w:lang w:eastAsia="zh-CN"/>
                    </w:rPr>
                  </w:pPr>
                  <w:r>
                    <w:rPr>
                      <w:rFonts w:hint="eastAsia" w:ascii="Times New Roman" w:hAnsi="Times New Roman" w:cs="Times New Roman"/>
                      <w:b/>
                      <w:color w:val="auto"/>
                      <w:sz w:val="22"/>
                      <w:szCs w:val="22"/>
                      <w:u w:val="single" w:color="auto"/>
                      <w:lang w:eastAsia="zh-CN"/>
                    </w:rPr>
                    <w:t>处理方式</w:t>
                  </w:r>
                </w:p>
              </w:tc>
              <w:tc>
                <w:tcPr>
                  <w:tcW w:w="1475" w:type="pct"/>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r>
                    <w:rPr>
                      <w:rFonts w:hint="eastAsia" w:ascii="Times New Roman" w:hAnsi="Times New Roman" w:cs="Times New Roman"/>
                      <w:b/>
                      <w:color w:val="auto"/>
                      <w:sz w:val="22"/>
                      <w:szCs w:val="22"/>
                      <w:u w:val="single" w:color="auto"/>
                      <w:lang w:eastAsia="zh-CN"/>
                    </w:rPr>
                    <w:t>处理方式</w:t>
                  </w:r>
                </w:p>
              </w:tc>
              <w:tc>
                <w:tcPr>
                  <w:tcW w:w="1035" w:type="pct"/>
                  <w:vMerge w:val="continue"/>
                  <w:tcBorders>
                    <w:tl2br w:val="nil"/>
                    <w:tr2bl w:val="nil"/>
                  </w:tcBorders>
                  <w:noWrap w:val="0"/>
                  <w:vAlign w:val="center"/>
                </w:tcPr>
                <w:p>
                  <w:pPr>
                    <w:spacing w:line="360" w:lineRule="auto"/>
                    <w:jc w:val="center"/>
                    <w:rPr>
                      <w:rFonts w:hint="default" w:ascii="Times New Roman" w:hAnsi="Times New Roman" w:cs="Times New Roman"/>
                      <w:b/>
                      <w:color w:val="auto"/>
                      <w:sz w:val="22"/>
                      <w:szCs w:val="22"/>
                      <w:u w:val="singl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9" w:hRule="atLeast"/>
                <w:jc w:val="center"/>
              </w:trPr>
              <w:tc>
                <w:tcPr>
                  <w:tcW w:w="441"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废水</w:t>
                  </w:r>
                </w:p>
              </w:tc>
              <w:tc>
                <w:tcPr>
                  <w:tcW w:w="609"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生活污水</w:t>
                  </w:r>
                </w:p>
              </w:tc>
              <w:tc>
                <w:tcPr>
                  <w:tcW w:w="1438"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default" w:ascii="Times New Roman" w:hAnsi="Times New Roman" w:cs="Times New Roman"/>
                      <w:color w:val="auto"/>
                      <w:sz w:val="22"/>
                      <w:szCs w:val="22"/>
                      <w:u w:val="single" w:color="auto"/>
                      <w:lang w:eastAsia="zh-CN"/>
                    </w:rPr>
                    <w:t>生活污水</w:t>
                  </w:r>
                  <w:r>
                    <w:rPr>
                      <w:rFonts w:hint="eastAsia" w:cs="Times New Roman"/>
                      <w:color w:val="auto"/>
                      <w:sz w:val="22"/>
                      <w:szCs w:val="22"/>
                      <w:u w:val="single" w:color="auto"/>
                      <w:lang w:eastAsia="zh-CN"/>
                    </w:rPr>
                    <w:t>经现有污水处理设施（化粪池）处理后排入园区污水管网，进入湘阴县第二污水处理厂</w:t>
                  </w:r>
                </w:p>
              </w:tc>
              <w:tc>
                <w:tcPr>
                  <w:tcW w:w="1475"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cs="Times New Roman"/>
                      <w:color w:val="auto"/>
                      <w:sz w:val="22"/>
                      <w:szCs w:val="22"/>
                      <w:u w:val="single" w:color="auto"/>
                      <w:lang w:eastAsia="zh-CN"/>
                    </w:rPr>
                    <w:t>依托现有项目</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1" w:hRule="atLeast"/>
                <w:jc w:val="center"/>
              </w:trPr>
              <w:tc>
                <w:tcPr>
                  <w:tcW w:w="441"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609"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生产废水</w:t>
                  </w:r>
                </w:p>
              </w:tc>
              <w:tc>
                <w:tcPr>
                  <w:tcW w:w="1438"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水帘废水经沉淀池沉淀后循环使用，不外排</w:t>
                  </w:r>
                </w:p>
              </w:tc>
              <w:tc>
                <w:tcPr>
                  <w:tcW w:w="147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依托现有项目</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53" w:hRule="atLeast"/>
                <w:jc w:val="center"/>
              </w:trPr>
              <w:tc>
                <w:tcPr>
                  <w:tcW w:w="441" w:type="pct"/>
                  <w:vMerge w:val="restar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废气</w:t>
                  </w:r>
                </w:p>
              </w:tc>
              <w:tc>
                <w:tcPr>
                  <w:tcW w:w="609"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喷漆废气</w:t>
                  </w:r>
                </w:p>
              </w:tc>
              <w:tc>
                <w:tcPr>
                  <w:tcW w:w="1438"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经水帘处理+活性炭吸附处理后由15m高排气筒高空排放</w:t>
                  </w:r>
                </w:p>
              </w:tc>
              <w:tc>
                <w:tcPr>
                  <w:tcW w:w="147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依托现有项目喷漆房及喷漆处理设备</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46" w:hRule="atLeast"/>
                <w:jc w:val="center"/>
              </w:trPr>
              <w:tc>
                <w:tcPr>
                  <w:tcW w:w="441"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609"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喷塑废气</w:t>
                  </w:r>
                </w:p>
              </w:tc>
              <w:tc>
                <w:tcPr>
                  <w:tcW w:w="1438"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c>
                <w:tcPr>
                  <w:tcW w:w="1475"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single" w:color="auto"/>
                      <w:lang w:val="en-US" w:eastAsia="zh-CN"/>
                    </w:rPr>
                    <w:t>喷塑废气经自带的滤芯回收系统处理后由15m高排气筒高空排放</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41"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609"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喷塑后烘干固化废气</w:t>
                  </w:r>
                </w:p>
              </w:tc>
              <w:tc>
                <w:tcPr>
                  <w:tcW w:w="1438"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c>
                <w:tcPr>
                  <w:tcW w:w="1475" w:type="pct"/>
                  <w:tcBorders>
                    <w:tl2br w:val="nil"/>
                    <w:tr2bl w:val="nil"/>
                  </w:tcBorders>
                  <w:noWrap w:val="0"/>
                  <w:vAlign w:val="center"/>
                </w:tcPr>
                <w:p>
                  <w:pPr>
                    <w:spacing w:line="360" w:lineRule="auto"/>
                    <w:jc w:val="center"/>
                    <w:rPr>
                      <w:rFonts w:hint="default" w:cs="Times New Roman"/>
                      <w:color w:val="auto"/>
                      <w:sz w:val="22"/>
                      <w:szCs w:val="22"/>
                      <w:u w:val="single" w:color="auto"/>
                      <w:lang w:val="en-US" w:eastAsia="zh-CN"/>
                    </w:rPr>
                  </w:pPr>
                  <w:r>
                    <w:rPr>
                      <w:rFonts w:hint="eastAsia" w:cs="Times New Roman"/>
                      <w:color w:val="auto"/>
                      <w:sz w:val="22"/>
                      <w:szCs w:val="22"/>
                      <w:u w:val="none" w:color="auto"/>
                      <w:lang w:val="en-US" w:eastAsia="zh-CN"/>
                    </w:rPr>
                    <w:t>经管道收集和喷漆废气一同经活性炭吸附装置处理后由同一根</w:t>
                  </w:r>
                  <w:r>
                    <w:rPr>
                      <w:rFonts w:hint="default" w:ascii="Times New Roman" w:hAnsi="Times New Roman" w:cs="Times New Roman"/>
                      <w:color w:val="auto"/>
                      <w:sz w:val="22"/>
                      <w:szCs w:val="22"/>
                      <w:u w:val="none" w:color="auto"/>
                      <w:lang w:val="en-US" w:eastAsia="zh-CN"/>
                    </w:rPr>
                    <w:t>15m高排气筒</w:t>
                  </w:r>
                  <w:r>
                    <w:rPr>
                      <w:rFonts w:hint="eastAsia" w:cs="Times New Roman"/>
                      <w:color w:val="auto"/>
                      <w:sz w:val="22"/>
                      <w:szCs w:val="22"/>
                      <w:u w:val="none" w:color="auto"/>
                      <w:lang w:val="en-US" w:eastAsia="zh-CN"/>
                    </w:rPr>
                    <w:t>排放</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6" w:hRule="atLeast"/>
                <w:jc w:val="center"/>
              </w:trPr>
              <w:tc>
                <w:tcPr>
                  <w:tcW w:w="441" w:type="pct"/>
                  <w:vMerge w:val="continue"/>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p>
              </w:tc>
              <w:tc>
                <w:tcPr>
                  <w:tcW w:w="609" w:type="pc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cs="Times New Roman"/>
                      <w:color w:val="auto"/>
                      <w:sz w:val="22"/>
                      <w:szCs w:val="22"/>
                      <w:u w:val="single" w:color="auto"/>
                      <w:lang w:eastAsia="zh-CN"/>
                    </w:rPr>
                    <w:t>焊接废气</w:t>
                  </w:r>
                </w:p>
              </w:tc>
              <w:tc>
                <w:tcPr>
                  <w:tcW w:w="1438"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经通风处理后无组织排放</w:t>
                  </w:r>
                </w:p>
              </w:tc>
              <w:tc>
                <w:tcPr>
                  <w:tcW w:w="1475" w:type="pct"/>
                  <w:tcBorders>
                    <w:tl2br w:val="nil"/>
                    <w:tr2bl w:val="nil"/>
                  </w:tcBorders>
                  <w:noWrap w:val="0"/>
                  <w:vAlign w:val="center"/>
                </w:tcPr>
                <w:p>
                  <w:pPr>
                    <w:spacing w:line="360" w:lineRule="auto"/>
                    <w:jc w:val="center"/>
                    <w:rPr>
                      <w:rFonts w:hint="eastAsia" w:cs="Times New Roman"/>
                      <w:color w:val="auto"/>
                      <w:sz w:val="22"/>
                      <w:szCs w:val="22"/>
                      <w:u w:val="single" w:color="auto"/>
                      <w:lang w:val="en-US" w:eastAsia="zh-CN"/>
                    </w:rPr>
                  </w:pPr>
                  <w:r>
                    <w:rPr>
                      <w:rFonts w:hint="eastAsia" w:cs="Times New Roman"/>
                      <w:color w:val="auto"/>
                      <w:sz w:val="22"/>
                      <w:szCs w:val="22"/>
                      <w:u w:val="single" w:color="auto"/>
                      <w:lang w:val="en-US" w:eastAsia="zh-CN"/>
                    </w:rPr>
                    <w:t>移动式烟尘净化装置处理后无组织排放</w:t>
                  </w:r>
                </w:p>
              </w:tc>
              <w:tc>
                <w:tcPr>
                  <w:tcW w:w="1035"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原有项目焊接废气需增加移动式烟尘净化装置处理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1051" w:type="pct"/>
                  <w:gridSpan w:val="2"/>
                  <w:vMerge w:val="restart"/>
                  <w:tcBorders>
                    <w:tl2br w:val="nil"/>
                    <w:tr2bl w:val="nil"/>
                  </w:tcBorders>
                  <w:noWrap w:val="0"/>
                  <w:vAlign w:val="center"/>
                </w:tcPr>
                <w:p>
                  <w:pPr>
                    <w:spacing w:line="360" w:lineRule="auto"/>
                    <w:jc w:val="center"/>
                    <w:rPr>
                      <w:rFonts w:hint="eastAsia" w:ascii="Times New Roman" w:hAnsi="Times New Roman"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固废</w:t>
                  </w:r>
                </w:p>
              </w:tc>
              <w:tc>
                <w:tcPr>
                  <w:tcW w:w="1438"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一般固废收集后</w:t>
                  </w:r>
                  <w:r>
                    <w:rPr>
                      <w:rFonts w:hint="eastAsia" w:cs="Times New Roman"/>
                      <w:color w:val="auto"/>
                      <w:sz w:val="22"/>
                      <w:szCs w:val="22"/>
                      <w:u w:val="single" w:color="auto"/>
                      <w:lang w:eastAsia="zh-CN"/>
                    </w:rPr>
                    <w:t>可回收利用的回收利用，不可回收利用的交由环卫部门进行处理</w:t>
                  </w:r>
                </w:p>
              </w:tc>
              <w:tc>
                <w:tcPr>
                  <w:tcW w:w="147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一般固废收集后</w:t>
                  </w:r>
                  <w:r>
                    <w:rPr>
                      <w:rFonts w:hint="eastAsia" w:cs="Times New Roman"/>
                      <w:color w:val="auto"/>
                      <w:sz w:val="22"/>
                      <w:szCs w:val="22"/>
                      <w:u w:val="single" w:color="auto"/>
                      <w:lang w:eastAsia="zh-CN"/>
                    </w:rPr>
                    <w:t>可回收利用的回收利用，不可回收利用的交由环卫部门进行处理</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051" w:type="pct"/>
                  <w:gridSpan w:val="2"/>
                  <w:vMerge w:val="continue"/>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438"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cs="Times New Roman"/>
                      <w:color w:val="auto"/>
                      <w:sz w:val="22"/>
                      <w:szCs w:val="22"/>
                      <w:u w:val="single" w:color="auto"/>
                      <w:lang w:val="en-US" w:eastAsia="zh-CN"/>
                    </w:rPr>
                    <w:t>废油漆桶、废活性炭、漆渣收集于</w:t>
                  </w:r>
                  <w:r>
                    <w:rPr>
                      <w:rFonts w:hint="eastAsia" w:ascii="Times New Roman" w:hAnsi="Times New Roman" w:cs="Times New Roman"/>
                      <w:color w:val="auto"/>
                      <w:sz w:val="22"/>
                      <w:szCs w:val="22"/>
                      <w:u w:val="single" w:color="auto"/>
                      <w:lang w:eastAsia="zh-CN"/>
                    </w:rPr>
                    <w:t>危险废物储存间内，再交由湖南瀚洋环保科技有限公司进行处置</w:t>
                  </w:r>
                </w:p>
              </w:tc>
              <w:tc>
                <w:tcPr>
                  <w:tcW w:w="147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eastAsia="zh-CN"/>
                    </w:rPr>
                    <w:t>废活性炭、漆渣、废含油抹布手套</w:t>
                  </w:r>
                  <w:r>
                    <w:rPr>
                      <w:rFonts w:hint="eastAsia" w:ascii="Times New Roman" w:hAnsi="Times New Roman" w:cs="Times New Roman"/>
                      <w:color w:val="auto"/>
                      <w:sz w:val="22"/>
                      <w:szCs w:val="22"/>
                      <w:u w:val="single" w:color="auto"/>
                      <w:lang w:eastAsia="zh-CN"/>
                    </w:rPr>
                    <w:t>收集于危险废物储存间内，再交由有资质单位进行处置</w:t>
                  </w:r>
                </w:p>
              </w:tc>
              <w:tc>
                <w:tcPr>
                  <w:tcW w:w="1035" w:type="pct"/>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lang w:val="en-US" w:eastAsia="zh-CN"/>
                    </w:rPr>
                  </w:pPr>
                  <w:r>
                    <w:rPr>
                      <w:rFonts w:hint="eastAsia"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1" w:type="pct"/>
                  <w:gridSpan w:val="2"/>
                  <w:tcBorders>
                    <w:tl2br w:val="nil"/>
                    <w:tr2bl w:val="nil"/>
                  </w:tcBorders>
                  <w:noWrap w:val="0"/>
                  <w:vAlign w:val="center"/>
                </w:tcPr>
                <w:p>
                  <w:pPr>
                    <w:spacing w:line="360" w:lineRule="auto"/>
                    <w:jc w:val="center"/>
                    <w:rPr>
                      <w:rFonts w:hint="default" w:ascii="Times New Roman" w:hAnsi="Times New Roman" w:cs="Times New Roman"/>
                      <w:color w:val="auto"/>
                      <w:sz w:val="22"/>
                      <w:szCs w:val="22"/>
                      <w:u w:val="single" w:color="auto"/>
                    </w:rPr>
                  </w:pPr>
                </w:p>
              </w:tc>
              <w:tc>
                <w:tcPr>
                  <w:tcW w:w="1438"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生活垃圾交由环卫部门进行处置</w:t>
                  </w:r>
                </w:p>
              </w:tc>
              <w:tc>
                <w:tcPr>
                  <w:tcW w:w="1475" w:type="pct"/>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生活垃圾交由环卫部门进行处置</w:t>
                  </w:r>
                </w:p>
              </w:tc>
              <w:tc>
                <w:tcPr>
                  <w:tcW w:w="1035" w:type="pct"/>
                  <w:tcBorders>
                    <w:tl2br w:val="nil"/>
                    <w:tr2bl w:val="nil"/>
                  </w:tcBorders>
                  <w:noWrap w:val="0"/>
                  <w:vAlign w:val="center"/>
                </w:tcPr>
                <w:p>
                  <w:pPr>
                    <w:spacing w:line="360" w:lineRule="auto"/>
                    <w:jc w:val="center"/>
                    <w:rPr>
                      <w:rFonts w:hint="default" w:ascii="Times New Roman" w:hAnsi="Times New Roman" w:eastAsia="宋体" w:cs="Times New Roman"/>
                      <w:color w:val="auto"/>
                      <w:sz w:val="22"/>
                      <w:szCs w:val="22"/>
                      <w:u w:val="single" w:color="auto"/>
                      <w:lang w:val="en-US" w:eastAsia="zh-CN"/>
                    </w:rPr>
                  </w:pPr>
                  <w:r>
                    <w:rPr>
                      <w:rFonts w:hint="eastAsia" w:ascii="Times New Roman" w:hAnsi="Times New Roman" w:eastAsia="宋体" w:cs="Times New Roman"/>
                      <w:color w:val="auto"/>
                      <w:sz w:val="22"/>
                      <w:szCs w:val="22"/>
                      <w:u w:val="singl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51" w:type="pct"/>
                  <w:gridSpan w:val="2"/>
                  <w:tcBorders>
                    <w:tl2br w:val="nil"/>
                    <w:tr2bl w:val="nil"/>
                  </w:tcBorders>
                  <w:noWrap w:val="0"/>
                  <w:vAlign w:val="center"/>
                </w:tcPr>
                <w:p>
                  <w:pPr>
                    <w:spacing w:line="360" w:lineRule="auto"/>
                    <w:jc w:val="center"/>
                    <w:rPr>
                      <w:rFonts w:hint="eastAsia" w:ascii="Times New Roman" w:hAnsi="Times New Roman" w:eastAsia="宋体" w:cs="Times New Roman"/>
                      <w:color w:val="auto"/>
                      <w:sz w:val="22"/>
                      <w:szCs w:val="22"/>
                      <w:u w:val="single" w:color="auto"/>
                      <w:lang w:eastAsia="zh-CN"/>
                    </w:rPr>
                  </w:pPr>
                  <w:r>
                    <w:rPr>
                      <w:rFonts w:hint="eastAsia" w:ascii="Times New Roman" w:hAnsi="Times New Roman" w:cs="Times New Roman"/>
                      <w:color w:val="auto"/>
                      <w:sz w:val="22"/>
                      <w:szCs w:val="22"/>
                      <w:u w:val="single" w:color="auto"/>
                      <w:lang w:eastAsia="zh-CN"/>
                    </w:rPr>
                    <w:t>噪声</w:t>
                  </w:r>
                </w:p>
              </w:tc>
              <w:tc>
                <w:tcPr>
                  <w:tcW w:w="1438"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c>
                <w:tcPr>
                  <w:tcW w:w="1475" w:type="pct"/>
                  <w:tcBorders>
                    <w:tl2br w:val="nil"/>
                    <w:tr2bl w:val="nil"/>
                  </w:tcBorders>
                  <w:noWrap w:val="0"/>
                  <w:vAlign w:val="center"/>
                </w:tcPr>
                <w:p>
                  <w:pPr>
                    <w:adjustRightInd w:val="0"/>
                    <w:snapToGrid w:val="0"/>
                    <w:spacing w:line="360" w:lineRule="auto"/>
                    <w:jc w:val="both"/>
                    <w:rPr>
                      <w:rFonts w:hint="default" w:ascii="Times New Roman" w:hAnsi="Times New Roman" w:cs="Times New Roman"/>
                      <w:color w:val="auto"/>
                      <w:sz w:val="22"/>
                      <w:szCs w:val="22"/>
                      <w:u w:val="single" w:color="auto"/>
                    </w:rPr>
                  </w:pPr>
                  <w:r>
                    <w:rPr>
                      <w:rFonts w:hint="default" w:ascii="Times New Roman" w:hAnsi="Times New Roman" w:cs="Times New Roman"/>
                      <w:color w:val="auto"/>
                      <w:sz w:val="22"/>
                      <w:szCs w:val="22"/>
                      <w:u w:val="single" w:color="auto"/>
                    </w:rPr>
                    <w:t>对所有高噪声的机械设备的安装，其基础均应作减振处理；加强设备的日常维护管理，发现问题及时处理，使设备始终保持在良好状态；合理布局</w:t>
                  </w:r>
                </w:p>
              </w:tc>
              <w:tc>
                <w:tcPr>
                  <w:tcW w:w="1035" w:type="pct"/>
                  <w:tcBorders>
                    <w:tl2br w:val="nil"/>
                    <w:tr2bl w:val="nil"/>
                  </w:tcBorders>
                  <w:noWrap w:val="0"/>
                  <w:vAlign w:val="center"/>
                </w:tcPr>
                <w:p>
                  <w:pPr>
                    <w:adjustRightInd w:val="0"/>
                    <w:snapToGrid w:val="0"/>
                    <w:spacing w:line="360" w:lineRule="auto"/>
                    <w:jc w:val="center"/>
                    <w:rPr>
                      <w:rFonts w:hint="eastAsia" w:ascii="Times New Roman" w:hAnsi="Times New Roman" w:eastAsia="宋体" w:cs="Times New Roman"/>
                      <w:color w:val="auto"/>
                      <w:sz w:val="22"/>
                      <w:szCs w:val="22"/>
                      <w:u w:val="single" w:color="auto"/>
                      <w:lang w:val="en-US" w:eastAsia="zh-CN"/>
                    </w:rPr>
                  </w:pPr>
                  <w:r>
                    <w:rPr>
                      <w:rFonts w:hint="eastAsia" w:ascii="Times New Roman" w:hAnsi="Times New Roman" w:cs="Times New Roman"/>
                      <w:color w:val="auto"/>
                      <w:sz w:val="22"/>
                      <w:szCs w:val="22"/>
                      <w:u w:val="single" w:color="auto"/>
                      <w:lang w:val="en-US" w:eastAsia="zh-CN"/>
                    </w:rPr>
                    <w:t>/</w:t>
                  </w:r>
                </w:p>
              </w:tc>
            </w:tr>
          </w:tbl>
          <w:p>
            <w:pPr>
              <w:spacing w:line="360" w:lineRule="auto"/>
              <w:rPr>
                <w:rFonts w:hint="default" w:ascii="Times New Roman" w:hAnsi="Times New Roman" w:cs="Times New Roman"/>
                <w:color w:val="auto"/>
                <w:sz w:val="24"/>
                <w:szCs w:val="24"/>
                <w:u w:val="none" w:color="auto"/>
              </w:rPr>
            </w:pPr>
          </w:p>
        </w:tc>
      </w:tr>
    </w:tbl>
    <w:p>
      <w:pPr>
        <w:snapToGrid w:val="0"/>
        <w:outlineLvl w:val="0"/>
        <w:rPr>
          <w:rFonts w:eastAsia="黑体"/>
          <w:color w:val="auto"/>
          <w:sz w:val="32"/>
          <w:u w:val="none" w:color="auto"/>
        </w:rPr>
      </w:pPr>
      <w:r>
        <w:rPr>
          <w:color w:val="auto"/>
          <w:u w:val="none" w:color="auto"/>
        </w:rPr>
        <w:br w:type="page"/>
      </w:r>
      <w:bookmarkStart w:id="12" w:name="_Toc22283"/>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8240" behindDoc="0" locked="0" layoutInCell="0" allowOverlap="1">
                <wp:simplePos x="0" y="0"/>
                <wp:positionH relativeFrom="column">
                  <wp:posOffset>-6223000</wp:posOffset>
                </wp:positionH>
                <wp:positionV relativeFrom="paragraph">
                  <wp:posOffset>1311275</wp:posOffset>
                </wp:positionV>
                <wp:extent cx="5334000" cy="635"/>
                <wp:effectExtent l="8890" t="11430" r="10160" b="6985"/>
                <wp:wrapNone/>
                <wp:docPr id="10" name="直线 24"/>
                <wp:cNvGraphicFramePr/>
                <a:graphic xmlns:a="http://schemas.openxmlformats.org/drawingml/2006/main">
                  <a:graphicData uri="http://schemas.microsoft.com/office/word/2010/wordprocessingShape">
                    <wps:wsp>
                      <wps:cNvCnPr>
                        <a:cxnSpLocks noChangeShapeType="1"/>
                      </wps:cNvCnPr>
                      <wps:spPr bwMode="auto">
                        <a:xfrm>
                          <a:off x="0" y="0"/>
                          <a:ext cx="5334000" cy="635"/>
                        </a:xfrm>
                        <a:prstGeom prst="line">
                          <a:avLst/>
                        </a:prstGeom>
                        <a:noFill/>
                        <a:ln w="9525">
                          <a:solidFill>
                            <a:srgbClr val="000000"/>
                          </a:solidFill>
                          <a:round/>
                        </a:ln>
                      </wps:spPr>
                      <wps:bodyPr/>
                    </wps:wsp>
                  </a:graphicData>
                </a:graphic>
              </wp:anchor>
            </w:drawing>
          </mc:Choice>
          <mc:Fallback>
            <w:pict>
              <v:line id="直线 24" o:spid="_x0000_s1026" o:spt="20" style="position:absolute;left:0pt;margin-left:-490pt;margin-top:103.25pt;height:0.05pt;width:420pt;z-index:251658240;mso-width-relative:page;mso-height-relative:page;" filled="f" stroked="t" coordsize="21600,21600" o:allowincell="f" o:gfxdata="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kCezHZAAAADQEAAA8AAAAAAAAAAQAgAAAAIgAAAGRycy9kb3ducmV2Lnht&#10;bFBLAQIUABQAAAAIAIdO4kB7P5wpvwEAAFcDAAAOAAAAAAAAAAEAIAAAACgBAABkcnMvZTJvRG9j&#10;LnhtbFBLBQYAAAAABgAGAFkBAABZBQ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7216" behindDoc="0" locked="0" layoutInCell="0" allowOverlap="1">
                <wp:simplePos x="0" y="0"/>
                <wp:positionH relativeFrom="column">
                  <wp:posOffset>-6578600</wp:posOffset>
                </wp:positionH>
                <wp:positionV relativeFrom="paragraph">
                  <wp:posOffset>949325</wp:posOffset>
                </wp:positionV>
                <wp:extent cx="5422900" cy="635"/>
                <wp:effectExtent l="5715" t="11430" r="10160" b="6985"/>
                <wp:wrapNone/>
                <wp:docPr id="9" name="直线 25"/>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5" o:spid="_x0000_s1026" o:spt="20" style="position:absolute;left:0pt;margin-left:-518pt;margin-top:74.75pt;height:0.05pt;width:427pt;z-index:251657216;mso-width-relative:page;mso-height-relative:page;" filled="f" stroked="t" coordsize="21600,21600" o:allowincell="f" o:gfxdata="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4dJZWtoAAAAOAQAADwAAAAAAAAABACAAAAAiAAAAZHJzL2Rvd25yZXYueG1s&#10;UEsBAhQAFAAAAAgAh07iQHBpb1a9AQAAVgMAAA4AAAAAAAAAAQAgAAAAKQ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9264" behindDoc="0" locked="0" layoutInCell="0" allowOverlap="1">
                <wp:simplePos x="0" y="0"/>
                <wp:positionH relativeFrom="column">
                  <wp:posOffset>-6223000</wp:posOffset>
                </wp:positionH>
                <wp:positionV relativeFrom="paragraph">
                  <wp:posOffset>346075</wp:posOffset>
                </wp:positionV>
                <wp:extent cx="4889500" cy="635"/>
                <wp:effectExtent l="8890" t="8255" r="6985" b="10160"/>
                <wp:wrapNone/>
                <wp:docPr id="8" name="直线 26"/>
                <wp:cNvGraphicFramePr/>
                <a:graphic xmlns:a="http://schemas.openxmlformats.org/drawingml/2006/main">
                  <a:graphicData uri="http://schemas.microsoft.com/office/word/2010/wordprocessingShape">
                    <wps:wsp>
                      <wps:cNvCnPr>
                        <a:cxnSpLocks noChangeShapeType="1"/>
                      </wps:cNvCnPr>
                      <wps:spPr bwMode="auto">
                        <a:xfrm>
                          <a:off x="0" y="0"/>
                          <a:ext cx="4889500" cy="635"/>
                        </a:xfrm>
                        <a:prstGeom prst="line">
                          <a:avLst/>
                        </a:prstGeom>
                        <a:noFill/>
                        <a:ln w="9525">
                          <a:solidFill>
                            <a:srgbClr val="000000"/>
                          </a:solidFill>
                          <a:round/>
                        </a:ln>
                      </wps:spPr>
                      <wps:bodyPr/>
                    </wps:wsp>
                  </a:graphicData>
                </a:graphic>
              </wp:anchor>
            </w:drawing>
          </mc:Choice>
          <mc:Fallback>
            <w:pict>
              <v:line id="直线 26" o:spid="_x0000_s1026" o:spt="20" style="position:absolute;left:0pt;margin-left:-490pt;margin-top:27.25pt;height:0.05pt;width:385pt;z-index:251659264;mso-width-relative:page;mso-height-relative:page;" filled="f" stroked="t" coordsize="21600,21600" o:allowincell="f" o:gfxdata="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NzAnGdgAAAALAQAADwAAAAAAAAABACAAAAAiAAAAZHJzL2Rvd25yZXYueG1s&#10;UEsBAhQAFAAAAAgAh07iQA96ZyC/AQAAVgMAAA4AAAAAAAAAAQAgAAAAJwEAAGRycy9lMm9Eb2Mu&#10;eG1sUEsFBgAAAAAGAAYAWQEAAFgFA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mc:AlternateContent>
          <mc:Choice Requires="wps">
            <w:drawing>
              <wp:anchor distT="0" distB="0" distL="114300" distR="114300" simplePos="0" relativeHeight="251656192" behindDoc="0" locked="0" layoutInCell="0" allowOverlap="1">
                <wp:simplePos x="0" y="0"/>
                <wp:positionH relativeFrom="column">
                  <wp:posOffset>-7112000</wp:posOffset>
                </wp:positionH>
                <wp:positionV relativeFrom="paragraph">
                  <wp:posOffset>466725</wp:posOffset>
                </wp:positionV>
                <wp:extent cx="5422900" cy="635"/>
                <wp:effectExtent l="5715" t="5080" r="10160" b="13335"/>
                <wp:wrapNone/>
                <wp:docPr id="7" name="直线 27"/>
                <wp:cNvGraphicFramePr/>
                <a:graphic xmlns:a="http://schemas.openxmlformats.org/drawingml/2006/main">
                  <a:graphicData uri="http://schemas.microsoft.com/office/word/2010/wordprocessingShape">
                    <wps:wsp>
                      <wps:cNvCnPr>
                        <a:cxnSpLocks noChangeShapeType="1"/>
                      </wps:cNvCnPr>
                      <wps:spPr bwMode="auto">
                        <a:xfrm>
                          <a:off x="0" y="0"/>
                          <a:ext cx="5422900" cy="635"/>
                        </a:xfrm>
                        <a:prstGeom prst="line">
                          <a:avLst/>
                        </a:prstGeom>
                        <a:noFill/>
                        <a:ln w="9525">
                          <a:solidFill>
                            <a:srgbClr val="000000"/>
                          </a:solidFill>
                          <a:round/>
                        </a:ln>
                      </wps:spPr>
                      <wps:bodyPr/>
                    </wps:wsp>
                  </a:graphicData>
                </a:graphic>
              </wp:anchor>
            </w:drawing>
          </mc:Choice>
          <mc:Fallback>
            <w:pict>
              <v:line id="直线 27" o:spid="_x0000_s1026" o:spt="20" style="position:absolute;left:0pt;margin-left:-560pt;margin-top:36.75pt;height:0.05pt;width:427pt;z-index:251656192;mso-width-relative:page;mso-height-relative:page;" filled="f" stroked="t" coordsize="21600,21600" o:allowincell="f" o:gfxdata="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vNIEB1wAAAAwBAAAPAAAAAAAAAAEAIAAAACIAAABkcnMvZG93bnJldi54bWxQ&#10;SwECFAAUAAAACACHTuJAgTJp7L8BAABWAwAADgAAAAAAAAABACAAAAAmAQAAZHJzL2Uyb0RvYy54&#10;bWxQSwUGAAAAAAYABgBZAQAAVwUAAAAA&#10;">
                <v:fill on="f" focussize="0,0"/>
                <v:stroke color="#000000" joinstyle="round"/>
                <v:imagedata o:title=""/>
                <o:lock v:ext="edit" aspectratio="f"/>
              </v:line>
            </w:pict>
          </mc:Fallback>
        </mc:AlternateContent>
      </w:r>
      <w:r>
        <w:rPr>
          <w:rFonts w:hint="default" w:ascii="Times New Roman" w:hAnsi="Times New Roman" w:eastAsia="宋体" w:cs="Times New Roman"/>
          <w:color w:val="auto"/>
          <w:sz w:val="32"/>
          <w:szCs w:val="32"/>
          <w:u w:val="none" w:color="auto"/>
        </w:rPr>
        <w:t>八、建设项目拟采取的防治措施及</w:t>
      </w:r>
      <w:r>
        <w:rPr>
          <w:rFonts w:hint="default" w:ascii="Times New Roman" w:hAnsi="Times New Roman" w:eastAsia="宋体" w:cs="Times New Roman"/>
          <w:color w:val="auto"/>
          <w:sz w:val="32"/>
          <w:u w:val="none" w:color="auto"/>
        </w:rPr>
        <w:t>预期治理效果</w:t>
      </w:r>
      <w:bookmarkEnd w:id="12"/>
    </w:p>
    <w:tbl>
      <w:tblPr>
        <w:tblStyle w:val="40"/>
        <w:tblW w:w="969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78"/>
        <w:gridCol w:w="567"/>
        <w:gridCol w:w="850"/>
        <w:gridCol w:w="1985"/>
        <w:gridCol w:w="2913"/>
        <w:gridCol w:w="23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1" w:hRule="atLeast"/>
          <w:jc w:val="center"/>
        </w:trPr>
        <w:tc>
          <w:tcPr>
            <w:tcW w:w="978" w:type="dxa"/>
            <w:vAlign w:val="center"/>
          </w:tcPr>
          <w:p>
            <w:pPr>
              <w:snapToGrid w:val="0"/>
              <w:spacing w:line="360" w:lineRule="auto"/>
              <w:jc w:val="both"/>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内容</w:t>
            </w:r>
          </w:p>
          <w:p>
            <w:pPr>
              <w:snapToGrid w:val="0"/>
              <w:spacing w:line="360" w:lineRule="auto"/>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类型</w:t>
            </w:r>
          </w:p>
        </w:tc>
        <w:tc>
          <w:tcPr>
            <w:tcW w:w="1417" w:type="dxa"/>
            <w:gridSpan w:val="2"/>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排放源</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（编号）</w:t>
            </w:r>
          </w:p>
        </w:tc>
        <w:tc>
          <w:tcPr>
            <w:tcW w:w="1985" w:type="dxa"/>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污染物</w:t>
            </w:r>
          </w:p>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名称</w:t>
            </w:r>
          </w:p>
        </w:tc>
        <w:tc>
          <w:tcPr>
            <w:tcW w:w="2913" w:type="dxa"/>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防治措施</w:t>
            </w:r>
          </w:p>
        </w:tc>
        <w:tc>
          <w:tcPr>
            <w:tcW w:w="2397" w:type="dxa"/>
            <w:vAlign w:val="center"/>
          </w:tcPr>
          <w:p>
            <w:pPr>
              <w:snapToGrid w:val="0"/>
              <w:spacing w:line="360" w:lineRule="auto"/>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预期</w:t>
            </w:r>
          </w:p>
          <w:p>
            <w:pPr>
              <w:snapToGrid w:val="0"/>
              <w:spacing w:line="360" w:lineRule="auto"/>
              <w:ind w:left="-100" w:leftChars="-50" w:right="-100" w:rightChars="-50"/>
              <w:jc w:val="center"/>
              <w:rPr>
                <w:rFonts w:hint="default" w:ascii="Times New Roman" w:hAnsi="Times New Roman" w:cs="Times New Roman"/>
                <w:b/>
                <w:color w:val="auto"/>
                <w:sz w:val="22"/>
                <w:szCs w:val="22"/>
                <w:u w:val="none" w:color="auto"/>
              </w:rPr>
            </w:pPr>
            <w:r>
              <w:rPr>
                <w:rFonts w:hint="default" w:ascii="Times New Roman" w:hAnsi="Times New Roman" w:cs="Times New Roman"/>
                <w:b/>
                <w:color w:val="auto"/>
                <w:sz w:val="22"/>
                <w:szCs w:val="22"/>
                <w:u w:val="none" w:color="auto"/>
              </w:rPr>
              <w:t>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6" w:hRule="atLeast"/>
          <w:jc w:val="center"/>
        </w:trPr>
        <w:tc>
          <w:tcPr>
            <w:tcW w:w="978" w:type="dxa"/>
            <w:vMerge w:val="restart"/>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大气污染物</w:t>
            </w:r>
          </w:p>
        </w:tc>
        <w:tc>
          <w:tcPr>
            <w:tcW w:w="567" w:type="dxa"/>
            <w:vMerge w:val="restart"/>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850" w:type="dxa"/>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喷漆房</w:t>
            </w:r>
          </w:p>
        </w:tc>
        <w:tc>
          <w:tcPr>
            <w:tcW w:w="1985" w:type="dxa"/>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颗粒物、</w:t>
            </w:r>
            <w:r>
              <w:rPr>
                <w:rFonts w:hint="default" w:ascii="Times New Roman" w:hAnsi="Times New Roman" w:cs="Times New Roman"/>
                <w:color w:val="auto"/>
                <w:sz w:val="22"/>
                <w:szCs w:val="22"/>
                <w:u w:val="none" w:color="auto"/>
              </w:rPr>
              <w:t>VOCs</w:t>
            </w:r>
          </w:p>
        </w:tc>
        <w:tc>
          <w:tcPr>
            <w:tcW w:w="2913" w:type="dxa"/>
            <w:vAlign w:val="center"/>
          </w:tcPr>
          <w:p>
            <w:pPr>
              <w:spacing w:line="360" w:lineRule="auto"/>
              <w:jc w:val="center"/>
              <w:rPr>
                <w:rFonts w:hint="eastAsia"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eastAsia="zh-CN"/>
              </w:rPr>
              <w:t>废气经水净化</w:t>
            </w:r>
            <w:r>
              <w:rPr>
                <w:rFonts w:hint="eastAsia" w:cs="Times New Roman"/>
                <w:color w:val="auto"/>
                <w:sz w:val="22"/>
                <w:szCs w:val="22"/>
                <w:u w:val="none" w:color="auto"/>
                <w:lang w:val="en-US" w:eastAsia="zh-CN"/>
              </w:rPr>
              <w:t>+活性炭</w:t>
            </w:r>
            <w:r>
              <w:rPr>
                <w:rFonts w:hint="eastAsia" w:ascii="Times New Roman" w:hAnsi="Times New Roman" w:cs="Times New Roman"/>
                <w:color w:val="auto"/>
                <w:sz w:val="22"/>
                <w:szCs w:val="22"/>
                <w:u w:val="none" w:color="auto"/>
                <w:lang w:val="en-US" w:eastAsia="zh-CN"/>
              </w:rPr>
              <w:t>+15m高排气筒处理后高空排放</w:t>
            </w:r>
          </w:p>
          <w:p>
            <w:pPr>
              <w:spacing w:line="360" w:lineRule="auto"/>
              <w:jc w:val="center"/>
              <w:rPr>
                <w:rFonts w:hint="default" w:ascii="Times New Roman" w:hAnsi="Times New Roman" w:cs="Times New Roman"/>
                <w:color w:val="auto"/>
                <w:kern w:val="0"/>
                <w:sz w:val="22"/>
                <w:szCs w:val="22"/>
                <w:u w:val="none" w:color="auto"/>
              </w:rPr>
            </w:pPr>
            <w:r>
              <w:rPr>
                <w:rFonts w:hint="eastAsia" w:cs="Times New Roman"/>
                <w:color w:val="auto"/>
                <w:sz w:val="22"/>
                <w:szCs w:val="22"/>
                <w:u w:val="none" w:color="auto"/>
                <w:lang w:val="en-US" w:eastAsia="zh-CN"/>
              </w:rPr>
              <w:t>（现有）</w:t>
            </w:r>
          </w:p>
        </w:tc>
        <w:tc>
          <w:tcPr>
            <w:tcW w:w="2397" w:type="dxa"/>
            <w:vAlign w:val="center"/>
          </w:tcPr>
          <w:p>
            <w:pPr>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r>
              <w:rPr>
                <w:rFonts w:hint="eastAsia" w:cs="Times New Roman"/>
                <w:color w:val="auto"/>
                <w:sz w:val="22"/>
                <w:szCs w:val="22"/>
                <w:u w:val="none" w:color="auto"/>
                <w:lang w:val="en-US" w:eastAsia="zh-CN"/>
              </w:rPr>
              <w:t>及无组织排放标准</w:t>
            </w:r>
            <w:r>
              <w:rPr>
                <w:rFonts w:hint="default" w:ascii="Times New Roman" w:hAnsi="Times New Roman" w:cs="Times New Roman"/>
                <w:color w:val="auto"/>
                <w:sz w:val="22"/>
                <w:szCs w:val="22"/>
                <w:u w:val="none" w:color="auto"/>
                <w:lang w:val="en-US" w:eastAsia="zh-CN"/>
              </w:rPr>
              <w:t>；</w:t>
            </w:r>
            <w:r>
              <w:rPr>
                <w:rFonts w:hint="default" w:ascii="Times New Roman" w:hAnsi="Times New Roman" w:cs="Times New Roman"/>
                <w:color w:val="auto"/>
                <w:sz w:val="22"/>
                <w:szCs w:val="22"/>
                <w:u w:val="none" w:color="auto"/>
                <w:lang w:eastAsia="zh-CN"/>
              </w:rPr>
              <w:t>湖南省</w:t>
            </w:r>
            <w:r>
              <w:rPr>
                <w:rFonts w:hint="default" w:ascii="Times New Roman" w:hAnsi="Times New Roman" w:cs="Times New Roman"/>
                <w:color w:val="auto"/>
                <w:sz w:val="22"/>
                <w:szCs w:val="22"/>
                <w:u w:val="none" w:color="auto"/>
              </w:rPr>
              <w:t>地方标准</w:t>
            </w:r>
            <w:r>
              <w:rPr>
                <w:rFonts w:hint="default" w:ascii="Times New Roman" w:hAnsi="Times New Roman" w:eastAsia="宋体" w:cs="Times New Roman"/>
                <w:color w:val="auto"/>
                <w:sz w:val="22"/>
                <w:szCs w:val="22"/>
                <w:u w:val="none" w:color="auto"/>
                <w:lang w:val="en-US" w:eastAsia="zh-CN"/>
              </w:rPr>
              <w:t>《表面涂装（汽车制造及维修）挥发性有机物、 镍排放标准》（DB43/1356-2017）表1中排放标准</w:t>
            </w:r>
            <w:r>
              <w:rPr>
                <w:rFonts w:hint="eastAsia" w:cs="Times New Roman"/>
                <w:color w:val="auto"/>
                <w:sz w:val="22"/>
                <w:szCs w:val="22"/>
                <w:u w:val="none" w:color="auto"/>
                <w:lang w:val="en-US" w:eastAsia="zh-CN"/>
              </w:rPr>
              <w:t>，</w:t>
            </w:r>
            <w:r>
              <w:rPr>
                <w:rFonts w:hint="default" w:ascii="Times New Roman" w:hAnsi="Times New Roman" w:eastAsia="宋体" w:cs="Times New Roman"/>
                <w:color w:val="auto"/>
                <w:sz w:val="22"/>
                <w:szCs w:val="22"/>
                <w:u w:val="none" w:color="auto"/>
                <w:lang w:val="en-US" w:eastAsia="zh-CN"/>
              </w:rPr>
              <w:t>无组织有机废气排放执行《挥发性有机物无组织排放控制标准》（GB37822-2019）中限值要求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2"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850" w:type="dxa"/>
            <w:tcBorders>
              <w:top w:val="single" w:color="auto" w:sz="4" w:space="0"/>
              <w:bottom w:val="single" w:color="auto" w:sz="4" w:space="0"/>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喷塑废气</w:t>
            </w:r>
          </w:p>
        </w:tc>
        <w:tc>
          <w:tcPr>
            <w:tcW w:w="1985" w:type="dxa"/>
            <w:tcBorders>
              <w:top w:val="single" w:color="auto" w:sz="4" w:space="0"/>
              <w:bottom w:val="single" w:color="auto" w:sz="4" w:space="0"/>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913" w:type="dxa"/>
            <w:tcBorders>
              <w:top w:val="single" w:color="auto" w:sz="4" w:space="0"/>
              <w:bottom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lang w:eastAsia="zh-CN"/>
              </w:rPr>
              <w:t>经</w:t>
            </w:r>
            <w:r>
              <w:rPr>
                <w:rFonts w:hint="eastAsia" w:cs="Times New Roman"/>
                <w:color w:val="auto"/>
                <w:sz w:val="22"/>
                <w:szCs w:val="22"/>
                <w:u w:val="none" w:color="auto"/>
                <w:lang w:eastAsia="zh-CN"/>
              </w:rPr>
              <w:t>自带的滤芯回收系统处理后由</w:t>
            </w:r>
            <w:r>
              <w:rPr>
                <w:rFonts w:hint="eastAsia" w:cs="Times New Roman"/>
                <w:color w:val="auto"/>
                <w:sz w:val="22"/>
                <w:szCs w:val="22"/>
                <w:u w:val="none" w:color="auto"/>
                <w:lang w:val="en-US" w:eastAsia="zh-CN"/>
              </w:rPr>
              <w:t>15m高排气筒高空排放</w:t>
            </w:r>
          </w:p>
        </w:tc>
        <w:tc>
          <w:tcPr>
            <w:tcW w:w="2397" w:type="dxa"/>
            <w:tcBorders>
              <w:top w:val="single" w:color="auto" w:sz="4" w:space="0"/>
              <w:bottom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w:t>
            </w:r>
            <w:r>
              <w:rPr>
                <w:rFonts w:hint="eastAsia" w:cs="Times New Roman"/>
                <w:color w:val="auto"/>
                <w:sz w:val="22"/>
                <w:szCs w:val="22"/>
                <w:u w:val="none" w:color="auto"/>
                <w:lang w:val="en-US" w:eastAsia="zh-CN"/>
              </w:rPr>
              <w:t>二级</w:t>
            </w:r>
            <w:r>
              <w:rPr>
                <w:rFonts w:hint="default" w:ascii="Times New Roman" w:hAnsi="Times New Roman" w:cs="Times New Roman"/>
                <w:color w:val="auto"/>
                <w:sz w:val="22"/>
                <w:szCs w:val="22"/>
                <w:u w:val="none" w:color="auto"/>
                <w:lang w:val="en-US" w:eastAsia="zh-CN"/>
              </w:rPr>
              <w:t>排放标准</w:t>
            </w:r>
            <w:r>
              <w:rPr>
                <w:rFonts w:hint="eastAsia" w:cs="Times New Roman"/>
                <w:color w:val="auto"/>
                <w:sz w:val="22"/>
                <w:szCs w:val="22"/>
                <w:u w:val="none" w:color="auto"/>
                <w:lang w:val="en-US" w:eastAsia="zh-CN"/>
              </w:rPr>
              <w:t>及无组织排放标准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850" w:type="dxa"/>
            <w:tcBorders>
              <w:top w:val="single" w:color="auto" w:sz="4" w:space="0"/>
            </w:tcBorders>
            <w:vAlign w:val="center"/>
          </w:tcPr>
          <w:p>
            <w:pPr>
              <w:adjustRightInd w:val="0"/>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烘干固化废气</w:t>
            </w:r>
          </w:p>
        </w:tc>
        <w:tc>
          <w:tcPr>
            <w:tcW w:w="1985" w:type="dxa"/>
            <w:tcBorders>
              <w:top w:val="single" w:color="auto" w:sz="4" w:space="0"/>
            </w:tcBorders>
            <w:vAlign w:val="center"/>
          </w:tcPr>
          <w:p>
            <w:pPr>
              <w:adjustRightInd w:val="0"/>
              <w:snapToGrid w:val="0"/>
              <w:spacing w:line="360" w:lineRule="auto"/>
              <w:ind w:firstLine="633" w:firstLineChars="300"/>
              <w:jc w:val="both"/>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VOCs</w:t>
            </w:r>
          </w:p>
        </w:tc>
        <w:tc>
          <w:tcPr>
            <w:tcW w:w="2913" w:type="dxa"/>
            <w:tcBorders>
              <w:top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val="en-US" w:eastAsia="zh-CN"/>
              </w:rPr>
              <w:t>经管道收集和喷漆废气一同经活性炭吸附装置处理后由同一根</w:t>
            </w:r>
            <w:r>
              <w:rPr>
                <w:rFonts w:hint="default" w:ascii="Times New Roman" w:hAnsi="Times New Roman" w:cs="Times New Roman"/>
                <w:color w:val="auto"/>
                <w:sz w:val="22"/>
                <w:szCs w:val="22"/>
                <w:u w:val="none" w:color="auto"/>
                <w:lang w:val="en-US" w:eastAsia="zh-CN"/>
              </w:rPr>
              <w:t>15m高排气筒</w:t>
            </w:r>
            <w:r>
              <w:rPr>
                <w:rFonts w:hint="eastAsia" w:cs="Times New Roman"/>
                <w:color w:val="auto"/>
                <w:sz w:val="22"/>
                <w:szCs w:val="22"/>
                <w:u w:val="none" w:color="auto"/>
                <w:lang w:val="en-US" w:eastAsia="zh-CN"/>
              </w:rPr>
              <w:t>排放</w:t>
            </w:r>
          </w:p>
        </w:tc>
        <w:tc>
          <w:tcPr>
            <w:tcW w:w="2397" w:type="dxa"/>
            <w:tcBorders>
              <w:top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湖南省</w:t>
            </w:r>
            <w:r>
              <w:rPr>
                <w:rFonts w:hint="default" w:ascii="Times New Roman" w:hAnsi="Times New Roman" w:cs="Times New Roman"/>
                <w:color w:val="auto"/>
                <w:sz w:val="22"/>
                <w:szCs w:val="22"/>
                <w:u w:val="none" w:color="auto"/>
              </w:rPr>
              <w:t>地方标准</w:t>
            </w:r>
            <w:r>
              <w:rPr>
                <w:rFonts w:hint="default" w:ascii="Times New Roman" w:hAnsi="Times New Roman" w:eastAsia="宋体" w:cs="Times New Roman"/>
                <w:color w:val="auto"/>
                <w:sz w:val="22"/>
                <w:szCs w:val="22"/>
                <w:u w:val="none" w:color="auto"/>
                <w:lang w:val="en-US" w:eastAsia="zh-CN"/>
              </w:rPr>
              <w:t>《表面涂装（汽车制造及维修）挥发性有机物、 镍排放标准》（DB43/1356-2017）表1中排放标准</w:t>
            </w:r>
            <w:r>
              <w:rPr>
                <w:rFonts w:hint="eastAsia" w:cs="Times New Roman"/>
                <w:color w:val="auto"/>
                <w:sz w:val="22"/>
                <w:szCs w:val="22"/>
                <w:u w:val="none" w:color="auto"/>
                <w:lang w:val="en-US" w:eastAsia="zh-CN"/>
              </w:rPr>
              <w:t>、</w:t>
            </w:r>
            <w:r>
              <w:rPr>
                <w:rFonts w:hint="default" w:ascii="Times New Roman" w:hAnsi="Times New Roman" w:eastAsia="宋体" w:cs="Times New Roman"/>
                <w:color w:val="auto"/>
                <w:sz w:val="22"/>
                <w:szCs w:val="22"/>
                <w:u w:val="none" w:color="auto"/>
                <w:lang w:val="en-US" w:eastAsia="zh-CN"/>
              </w:rPr>
              <w:t>无组织有机废气排放执行《挥发性有机物无组织排放控制标准》（GB37822-2019）中限值要求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7"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p>
        </w:tc>
        <w:tc>
          <w:tcPr>
            <w:tcW w:w="850" w:type="dxa"/>
            <w:tcBorders>
              <w:bottom w:val="single" w:color="000000" w:sz="12" w:space="0"/>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eastAsia" w:cs="Times New Roman"/>
                <w:color w:val="auto"/>
                <w:sz w:val="22"/>
                <w:szCs w:val="22"/>
                <w:u w:val="none" w:color="auto"/>
                <w:lang w:eastAsia="zh-CN"/>
              </w:rPr>
              <w:t>焊接废气</w:t>
            </w:r>
          </w:p>
        </w:tc>
        <w:tc>
          <w:tcPr>
            <w:tcW w:w="1985" w:type="dxa"/>
            <w:tcBorders>
              <w:top w:val="single" w:color="000000" w:sz="12" w:space="0"/>
              <w:bottom w:val="single" w:color="000000" w:sz="12" w:space="0"/>
            </w:tcBorders>
            <w:vAlign w:val="center"/>
          </w:tcPr>
          <w:p>
            <w:pPr>
              <w:adjustRightInd w:val="0"/>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颗粒物</w:t>
            </w:r>
          </w:p>
        </w:tc>
        <w:tc>
          <w:tcPr>
            <w:tcW w:w="2913" w:type="dxa"/>
            <w:tcBorders>
              <w:top w:val="single" w:color="000000" w:sz="12" w:space="0"/>
              <w:bottom w:val="single" w:color="000000" w:sz="12" w:space="0"/>
            </w:tcBorders>
            <w:vAlign w:val="center"/>
          </w:tcPr>
          <w:p>
            <w:pPr>
              <w:spacing w:line="360" w:lineRule="auto"/>
              <w:jc w:val="center"/>
              <w:rPr>
                <w:rFonts w:hint="default"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eastAsia="zh-CN"/>
              </w:rPr>
              <w:t>移动式烟尘净化器处理后无组织排放</w:t>
            </w:r>
          </w:p>
        </w:tc>
        <w:tc>
          <w:tcPr>
            <w:tcW w:w="2397" w:type="dxa"/>
            <w:tcBorders>
              <w:top w:val="single" w:color="000000" w:sz="12" w:space="0"/>
              <w:bottom w:val="single" w:color="000000" w:sz="12" w:space="0"/>
            </w:tcBorders>
            <w:vAlign w:val="center"/>
          </w:tcPr>
          <w:p>
            <w:pPr>
              <w:adjustRightInd w:val="0"/>
              <w:snapToGrid w:val="0"/>
              <w:spacing w:line="360" w:lineRule="auto"/>
              <w:ind w:left="-105" w:right="-105"/>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lang w:eastAsia="zh-CN"/>
              </w:rPr>
              <w:t>《大气污染物综合排放标准》（</w:t>
            </w:r>
            <w:r>
              <w:rPr>
                <w:rFonts w:hint="default" w:ascii="Times New Roman" w:hAnsi="Times New Roman" w:cs="Times New Roman"/>
                <w:color w:val="auto"/>
                <w:sz w:val="22"/>
                <w:szCs w:val="22"/>
                <w:u w:val="none" w:color="auto"/>
                <w:lang w:val="en-US" w:eastAsia="zh-CN"/>
              </w:rPr>
              <w:t>GB16297-1996)无组织排放标准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9" w:hRule="atLeast"/>
          <w:jc w:val="center"/>
        </w:trPr>
        <w:tc>
          <w:tcPr>
            <w:tcW w:w="978" w:type="dxa"/>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水污染物</w:t>
            </w:r>
          </w:p>
        </w:tc>
        <w:tc>
          <w:tcPr>
            <w:tcW w:w="567" w:type="dxa"/>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850" w:type="dxa"/>
            <w:tcBorders>
              <w:bottom w:val="single" w:color="000000" w:sz="12" w:space="0"/>
            </w:tcBorders>
            <w:vAlign w:val="center"/>
          </w:tcPr>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生活</w:t>
            </w:r>
          </w:p>
          <w:p>
            <w:pPr>
              <w:adjustRightInd w:val="0"/>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污水</w:t>
            </w:r>
          </w:p>
        </w:tc>
        <w:tc>
          <w:tcPr>
            <w:tcW w:w="1985" w:type="dxa"/>
            <w:tcBorders>
              <w:bottom w:val="single" w:color="000000" w:sz="12" w:space="0"/>
            </w:tcBorders>
            <w:vAlign w:val="center"/>
          </w:tcPr>
          <w:p>
            <w:pPr>
              <w:pStyle w:val="122"/>
              <w:overflowPunct/>
              <w:autoSpaceDE/>
              <w:autoSpaceDN/>
              <w:snapToGrid w:val="0"/>
              <w:spacing w:line="360" w:lineRule="auto"/>
              <w:jc w:val="center"/>
              <w:textAlignment w:val="auto"/>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COD</w:t>
            </w:r>
            <w:r>
              <w:rPr>
                <w:rFonts w:hint="default" w:ascii="Times New Roman" w:hAnsi="Times New Roman" w:cs="Times New Roman"/>
                <w:color w:val="auto"/>
                <w:sz w:val="22"/>
                <w:szCs w:val="22"/>
                <w:u w:val="none" w:color="auto"/>
                <w:vertAlign w:val="subscript"/>
              </w:rPr>
              <w:t>Cr</w:t>
            </w:r>
            <w:r>
              <w:rPr>
                <w:rFonts w:hint="default" w:ascii="Times New Roman" w:hAnsi="Times New Roman" w:cs="Times New Roman"/>
                <w:color w:val="auto"/>
                <w:sz w:val="22"/>
                <w:szCs w:val="22"/>
                <w:u w:val="none" w:color="auto"/>
              </w:rPr>
              <w:t>、NH</w:t>
            </w:r>
            <w:r>
              <w:rPr>
                <w:rFonts w:hint="default" w:ascii="Times New Roman" w:hAnsi="Times New Roman" w:cs="Times New Roman"/>
                <w:color w:val="auto"/>
                <w:sz w:val="22"/>
                <w:szCs w:val="22"/>
                <w:u w:val="none" w:color="auto"/>
                <w:vertAlign w:val="subscript"/>
              </w:rPr>
              <w:t>3</w:t>
            </w:r>
            <w:r>
              <w:rPr>
                <w:rFonts w:hint="default" w:ascii="Times New Roman" w:hAnsi="Times New Roman" w:cs="Times New Roman"/>
                <w:color w:val="auto"/>
                <w:sz w:val="22"/>
                <w:szCs w:val="22"/>
                <w:u w:val="none" w:color="auto"/>
              </w:rPr>
              <w:t>-N</w:t>
            </w:r>
          </w:p>
        </w:tc>
        <w:tc>
          <w:tcPr>
            <w:tcW w:w="2913" w:type="dxa"/>
            <w:tcBorders>
              <w:bottom w:val="single" w:color="000000" w:sz="12" w:space="0"/>
            </w:tcBorders>
            <w:vAlign w:val="center"/>
          </w:tcPr>
          <w:p>
            <w:pPr>
              <w:pStyle w:val="4"/>
              <w:spacing w:before="162" w:line="360" w:lineRule="auto"/>
              <w:ind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bidi="ar"/>
              </w:rPr>
              <w:t>经化粪池处理后排入园区污水管网进入湘阴县第二污水处理厂</w:t>
            </w:r>
          </w:p>
        </w:tc>
        <w:tc>
          <w:tcPr>
            <w:tcW w:w="2397" w:type="dxa"/>
            <w:vAlign w:val="center"/>
          </w:tcPr>
          <w:p>
            <w:pPr>
              <w:adjustRightInd w:val="0"/>
              <w:snapToGrid w:val="0"/>
              <w:spacing w:line="360" w:lineRule="auto"/>
              <w:ind w:left="-105" w:right="-105"/>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val="en-US" w:eastAsia="zh-CN"/>
              </w:rPr>
              <w:t>《污水综合排放标准》（GB8978-1996）三级排放标准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978" w:type="dxa"/>
            <w:vMerge w:val="restart"/>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固体废弃物</w:t>
            </w:r>
          </w:p>
        </w:tc>
        <w:tc>
          <w:tcPr>
            <w:tcW w:w="567" w:type="dxa"/>
            <w:vMerge w:val="restart"/>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营运期</w:t>
            </w:r>
          </w:p>
        </w:tc>
        <w:tc>
          <w:tcPr>
            <w:tcW w:w="850" w:type="dxa"/>
            <w:vMerge w:val="restart"/>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生产</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车间</w:t>
            </w:r>
          </w:p>
        </w:tc>
        <w:tc>
          <w:tcPr>
            <w:tcW w:w="1985" w:type="dxa"/>
            <w:tcBorders>
              <w:bottom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废金属边角料</w:t>
            </w:r>
          </w:p>
        </w:tc>
        <w:tc>
          <w:tcPr>
            <w:tcW w:w="2913" w:type="dxa"/>
            <w:tcBorders>
              <w:bottom w:val="single" w:color="auto" w:sz="4" w:space="0"/>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ascii="Times New Roman" w:hAnsi="Times New Roman" w:cs="Times New Roman"/>
                <w:color w:val="auto"/>
                <w:sz w:val="22"/>
                <w:szCs w:val="22"/>
                <w:u w:val="none" w:color="auto"/>
                <w:lang w:eastAsia="zh-CN"/>
              </w:rPr>
              <w:t>收集后外售</w:t>
            </w:r>
            <w:r>
              <w:rPr>
                <w:rFonts w:hint="eastAsia" w:cs="Times New Roman"/>
                <w:color w:val="auto"/>
                <w:sz w:val="22"/>
                <w:szCs w:val="22"/>
                <w:u w:val="none" w:color="auto"/>
                <w:lang w:eastAsia="zh-CN"/>
              </w:rPr>
              <w:t>物资回收公司</w:t>
            </w:r>
          </w:p>
        </w:tc>
        <w:tc>
          <w:tcPr>
            <w:tcW w:w="2397" w:type="dxa"/>
            <w:vMerge w:val="restart"/>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资源化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无害化</w:t>
            </w:r>
          </w:p>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减量化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8"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bottom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喷塑过程中收集的粉尘</w:t>
            </w:r>
          </w:p>
        </w:tc>
        <w:tc>
          <w:tcPr>
            <w:tcW w:w="2913" w:type="dxa"/>
            <w:tcBorders>
              <w:top w:val="single" w:color="auto" w:sz="4" w:space="0"/>
              <w:bottom w:val="single" w:color="auto" w:sz="4" w:space="0"/>
            </w:tcBorders>
            <w:vAlign w:val="center"/>
          </w:tcPr>
          <w:p>
            <w:pPr>
              <w:snapToGrid w:val="0"/>
              <w:spacing w:line="360" w:lineRule="auto"/>
              <w:jc w:val="center"/>
              <w:rPr>
                <w:rFonts w:hint="eastAsia" w:ascii="Times New Roman" w:hAnsi="Times New Roman" w:cs="Times New Roman"/>
                <w:color w:val="auto"/>
                <w:sz w:val="22"/>
                <w:szCs w:val="22"/>
                <w:u w:val="none" w:color="auto"/>
                <w:lang w:eastAsia="zh-CN"/>
              </w:rPr>
            </w:pPr>
            <w:r>
              <w:rPr>
                <w:rFonts w:hint="eastAsia" w:cs="Times New Roman"/>
                <w:color w:val="auto"/>
                <w:sz w:val="22"/>
                <w:szCs w:val="22"/>
                <w:u w:val="none" w:color="auto"/>
                <w:lang w:eastAsia="zh-CN"/>
              </w:rPr>
              <w:t>回用于生产</w:t>
            </w: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bottom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收集的粉尘</w:t>
            </w:r>
          </w:p>
        </w:tc>
        <w:tc>
          <w:tcPr>
            <w:tcW w:w="2913" w:type="dxa"/>
            <w:tcBorders>
              <w:top w:val="single" w:color="auto" w:sz="4" w:space="0"/>
              <w:bottom w:val="single" w:color="auto" w:sz="4" w:space="0"/>
            </w:tcBorders>
            <w:vAlign w:val="center"/>
          </w:tcPr>
          <w:p>
            <w:pPr>
              <w:snapToGrid w:val="0"/>
              <w:spacing w:line="360" w:lineRule="auto"/>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交由环卫部门处理</w:t>
            </w: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漆渣</w:t>
            </w:r>
          </w:p>
        </w:tc>
        <w:tc>
          <w:tcPr>
            <w:tcW w:w="2913" w:type="dxa"/>
            <w:vMerge w:val="restart"/>
            <w:tcBorders>
              <w:top w:val="single" w:color="auto" w:sz="4" w:space="0"/>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default" w:ascii="Times New Roman" w:hAnsi="Times New Roman" w:cs="Times New Roman"/>
                <w:color w:val="auto"/>
                <w:sz w:val="22"/>
                <w:szCs w:val="22"/>
                <w:u w:val="none" w:color="auto"/>
              </w:rPr>
              <w:t>暂存危废暂存间，交由</w:t>
            </w:r>
            <w:r>
              <w:rPr>
                <w:rFonts w:hint="eastAsia" w:cs="Times New Roman"/>
                <w:color w:val="auto"/>
                <w:sz w:val="22"/>
                <w:szCs w:val="22"/>
                <w:u w:val="none" w:color="auto"/>
                <w:lang w:eastAsia="zh-CN"/>
              </w:rPr>
              <w:t>有资质单位进行处理</w:t>
            </w: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bottom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废活性炭</w:t>
            </w:r>
          </w:p>
        </w:tc>
        <w:tc>
          <w:tcPr>
            <w:tcW w:w="2913"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tcBorders>
            <w:vAlign w:val="center"/>
          </w:tcPr>
          <w:p>
            <w:pPr>
              <w:spacing w:line="360" w:lineRule="auto"/>
              <w:jc w:val="center"/>
              <w:rPr>
                <w:rFonts w:hint="default" w:ascii="Times New Roman" w:hAnsi="Times New Roman" w:cs="Times New Roman"/>
                <w:color w:val="auto"/>
                <w:sz w:val="22"/>
                <w:szCs w:val="22"/>
                <w:u w:val="none" w:color="auto"/>
              </w:rPr>
            </w:pPr>
            <w:r>
              <w:rPr>
                <w:rFonts w:hint="eastAsia"/>
                <w:color w:val="auto"/>
                <w:szCs w:val="21"/>
                <w:u w:val="none" w:color="auto"/>
                <w:lang w:eastAsia="zh-CN"/>
              </w:rPr>
              <w:t>含油抹布</w:t>
            </w:r>
          </w:p>
        </w:tc>
        <w:tc>
          <w:tcPr>
            <w:tcW w:w="2913"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3"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bottom w:val="single" w:color="auto" w:sz="4" w:space="0"/>
            </w:tcBorders>
            <w:vAlign w:val="center"/>
          </w:tcPr>
          <w:p>
            <w:pPr>
              <w:spacing w:line="360" w:lineRule="auto"/>
              <w:jc w:val="center"/>
              <w:rPr>
                <w:rFonts w:hint="eastAsia" w:cs="Times New Roman"/>
                <w:color w:val="auto"/>
                <w:sz w:val="22"/>
                <w:szCs w:val="22"/>
                <w:u w:val="none" w:color="auto"/>
                <w:lang w:eastAsia="zh-CN"/>
              </w:rPr>
            </w:pPr>
            <w:r>
              <w:rPr>
                <w:rFonts w:hint="eastAsia"/>
                <w:color w:val="auto"/>
                <w:szCs w:val="21"/>
                <w:u w:val="none" w:color="auto"/>
                <w:lang w:eastAsia="zh-CN"/>
              </w:rPr>
              <w:t>废水性漆包装物</w:t>
            </w:r>
          </w:p>
        </w:tc>
        <w:tc>
          <w:tcPr>
            <w:tcW w:w="2913" w:type="dxa"/>
            <w:vMerge w:val="restart"/>
            <w:tcBorders>
              <w:top w:val="single" w:color="auto" w:sz="4" w:space="0"/>
            </w:tcBorders>
            <w:vAlign w:val="center"/>
          </w:tcPr>
          <w:p>
            <w:pPr>
              <w:snapToGrid w:val="0"/>
              <w:spacing w:line="360" w:lineRule="auto"/>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交由环卫部门进行处理</w:t>
            </w: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1" w:hRule="atLeast"/>
          <w:jc w:val="center"/>
        </w:trPr>
        <w:tc>
          <w:tcPr>
            <w:tcW w:w="978"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56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850"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1985" w:type="dxa"/>
            <w:tcBorders>
              <w:top w:val="single" w:color="auto" w:sz="4" w:space="0"/>
              <w:bottom w:val="single" w:color="000000" w:sz="12" w:space="0"/>
            </w:tcBorders>
            <w:vAlign w:val="center"/>
          </w:tcPr>
          <w:p>
            <w:pPr>
              <w:snapToGrid w:val="0"/>
              <w:spacing w:line="360" w:lineRule="auto"/>
              <w:jc w:val="center"/>
              <w:rPr>
                <w:rFonts w:hint="eastAsia" w:cs="Times New Roman"/>
                <w:color w:val="auto"/>
                <w:sz w:val="22"/>
                <w:szCs w:val="22"/>
                <w:u w:val="none" w:color="auto"/>
                <w:lang w:eastAsia="zh-CN"/>
              </w:rPr>
            </w:pPr>
            <w:r>
              <w:rPr>
                <w:rFonts w:hint="eastAsia" w:cs="Times New Roman"/>
                <w:color w:val="auto"/>
                <w:sz w:val="22"/>
                <w:szCs w:val="22"/>
                <w:u w:val="none" w:color="auto"/>
                <w:lang w:eastAsia="zh-CN"/>
              </w:rPr>
              <w:t>生活垃圾</w:t>
            </w:r>
          </w:p>
        </w:tc>
        <w:tc>
          <w:tcPr>
            <w:tcW w:w="2913" w:type="dxa"/>
            <w:vMerge w:val="continue"/>
            <w:tcBorders>
              <w:bottom w:val="single" w:color="000000" w:sz="12" w:space="0"/>
            </w:tcBorders>
            <w:vAlign w:val="center"/>
          </w:tcPr>
          <w:p>
            <w:pPr>
              <w:snapToGrid w:val="0"/>
              <w:spacing w:line="360" w:lineRule="auto"/>
              <w:jc w:val="center"/>
              <w:rPr>
                <w:rFonts w:hint="default" w:ascii="Times New Roman" w:hAnsi="Times New Roman" w:cs="Times New Roman"/>
                <w:color w:val="auto"/>
                <w:sz w:val="22"/>
                <w:szCs w:val="22"/>
                <w:u w:val="none" w:color="auto"/>
              </w:rPr>
            </w:pPr>
          </w:p>
        </w:tc>
        <w:tc>
          <w:tcPr>
            <w:tcW w:w="2397" w:type="dxa"/>
            <w:vMerge w:val="continue"/>
            <w:vAlign w:val="center"/>
          </w:tcPr>
          <w:p>
            <w:pPr>
              <w:snapToGrid w:val="0"/>
              <w:spacing w:line="360" w:lineRule="auto"/>
              <w:jc w:val="center"/>
              <w:rPr>
                <w:rFonts w:hint="default" w:ascii="Times New Roman" w:hAnsi="Times New Roman" w:cs="Times New Roman"/>
                <w:color w:val="auto"/>
                <w:sz w:val="22"/>
                <w:szCs w:val="22"/>
                <w:u w:val="none" w:color="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3" w:hRule="atLeast"/>
          <w:jc w:val="center"/>
        </w:trPr>
        <w:tc>
          <w:tcPr>
            <w:tcW w:w="978" w:type="dxa"/>
            <w:vAlign w:val="center"/>
          </w:tcPr>
          <w:p>
            <w:pPr>
              <w:snapToGrid w:val="0"/>
              <w:spacing w:line="360" w:lineRule="auto"/>
              <w:jc w:val="center"/>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噪声</w:t>
            </w:r>
          </w:p>
        </w:tc>
        <w:tc>
          <w:tcPr>
            <w:tcW w:w="567" w:type="dxa"/>
            <w:vAlign w:val="center"/>
          </w:tcPr>
          <w:p>
            <w:pPr>
              <w:snapToGrid w:val="0"/>
              <w:spacing w:line="360" w:lineRule="auto"/>
              <w:jc w:val="center"/>
              <w:rPr>
                <w:rFonts w:hint="default" w:ascii="Times New Roman" w:hAnsi="Times New Roman" w:cs="Times New Roman"/>
                <w:b/>
                <w:color w:val="auto"/>
                <w:kern w:val="0"/>
                <w:sz w:val="22"/>
                <w:szCs w:val="22"/>
                <w:u w:val="none" w:color="auto"/>
              </w:rPr>
            </w:pPr>
            <w:r>
              <w:rPr>
                <w:rFonts w:hint="default" w:ascii="Times New Roman" w:hAnsi="Times New Roman" w:cs="Times New Roman"/>
                <w:color w:val="auto"/>
                <w:sz w:val="22"/>
                <w:szCs w:val="22"/>
                <w:u w:val="none" w:color="auto"/>
              </w:rPr>
              <w:t>营运期</w:t>
            </w:r>
          </w:p>
        </w:tc>
        <w:tc>
          <w:tcPr>
            <w:tcW w:w="8145" w:type="dxa"/>
            <w:gridSpan w:val="4"/>
          </w:tcPr>
          <w:p>
            <w:pPr>
              <w:snapToGrid w:val="0"/>
              <w:spacing w:line="360" w:lineRule="auto"/>
              <w:jc w:val="left"/>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噪声主要来源于</w:t>
            </w:r>
            <w:r>
              <w:rPr>
                <w:rFonts w:hint="eastAsia" w:cs="Times New Roman"/>
                <w:color w:val="auto"/>
                <w:sz w:val="22"/>
                <w:szCs w:val="22"/>
                <w:u w:val="none" w:color="auto"/>
                <w:lang w:eastAsia="zh-CN"/>
              </w:rPr>
              <w:t>焊接机、空压机、风机</w:t>
            </w:r>
            <w:r>
              <w:rPr>
                <w:rFonts w:hint="default" w:ascii="Times New Roman" w:hAnsi="Times New Roman" w:cs="Times New Roman"/>
                <w:color w:val="auto"/>
                <w:sz w:val="22"/>
                <w:szCs w:val="22"/>
                <w:u w:val="none" w:color="auto"/>
              </w:rPr>
              <w:t>等运行过程所产生的噪声，声值为</w:t>
            </w:r>
            <w:r>
              <w:rPr>
                <w:rFonts w:hint="eastAsia" w:cs="Times New Roman"/>
                <w:color w:val="auto"/>
                <w:sz w:val="22"/>
                <w:szCs w:val="22"/>
                <w:u w:val="none" w:color="auto"/>
                <w:lang w:val="en-US" w:eastAsia="zh-CN"/>
              </w:rPr>
              <w:t>80-90</w:t>
            </w:r>
            <w:r>
              <w:rPr>
                <w:rFonts w:hint="default" w:ascii="Times New Roman" w:hAnsi="Times New Roman" w:cs="Times New Roman"/>
                <w:color w:val="auto"/>
                <w:sz w:val="22"/>
                <w:szCs w:val="22"/>
                <w:u w:val="none" w:color="auto"/>
              </w:rPr>
              <w:t>dB(A)，经采取合理布局、隔音、减振等措施，使厂界噪声达到《工业企业场界环境噪声排放标准》（GB12348-2008）</w:t>
            </w:r>
            <w:r>
              <w:rPr>
                <w:rFonts w:hint="eastAsia" w:cs="Times New Roman"/>
                <w:color w:val="auto"/>
                <w:sz w:val="22"/>
                <w:szCs w:val="22"/>
                <w:u w:val="none" w:color="auto"/>
                <w:lang w:val="en-US" w:eastAsia="zh-CN"/>
              </w:rPr>
              <w:t>3、4</w:t>
            </w:r>
            <w:r>
              <w:rPr>
                <w:rFonts w:hint="default" w:ascii="Times New Roman" w:hAnsi="Times New Roman" w:cs="Times New Roman"/>
                <w:color w:val="auto"/>
                <w:sz w:val="22"/>
                <w:szCs w:val="22"/>
                <w:u w:val="none" w:color="auto"/>
              </w:rPr>
              <w:t>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8" w:hRule="atLeast"/>
          <w:jc w:val="center"/>
        </w:trPr>
        <w:tc>
          <w:tcPr>
            <w:tcW w:w="9690" w:type="dxa"/>
            <w:gridSpan w:val="6"/>
          </w:tcPr>
          <w:p>
            <w:pPr>
              <w:snapToGrid w:val="0"/>
              <w:spacing w:line="360" w:lineRule="auto"/>
              <w:rPr>
                <w:rFonts w:hint="default" w:ascii="Times New Roman" w:hAnsi="Times New Roman" w:cs="Times New Roman"/>
                <w:b/>
                <w:color w:val="auto"/>
                <w:kern w:val="0"/>
                <w:sz w:val="22"/>
                <w:szCs w:val="22"/>
                <w:u w:val="none" w:color="auto"/>
              </w:rPr>
            </w:pPr>
            <w:r>
              <w:rPr>
                <w:rFonts w:hint="default" w:ascii="Times New Roman" w:hAnsi="Times New Roman" w:cs="Times New Roman"/>
                <w:b/>
                <w:color w:val="auto"/>
                <w:kern w:val="0"/>
                <w:sz w:val="22"/>
                <w:szCs w:val="22"/>
                <w:u w:val="none" w:color="auto"/>
              </w:rPr>
              <w:t>生态保护措施及预期效果：</w:t>
            </w:r>
          </w:p>
          <w:p>
            <w:pPr>
              <w:snapToGrid w:val="0"/>
              <w:spacing w:line="360" w:lineRule="auto"/>
              <w:ind w:firstLine="482"/>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本项目位于</w:t>
            </w:r>
            <w:r>
              <w:rPr>
                <w:rFonts w:hint="eastAsia" w:cs="Times New Roman"/>
                <w:color w:val="auto"/>
                <w:sz w:val="24"/>
                <w:szCs w:val="24"/>
                <w:u w:val="none" w:color="auto"/>
                <w:lang w:eastAsia="zh-CN"/>
              </w:rPr>
              <w:t>湖南省湘阴县工业园区健铭路（湖南湘变电气有限责任公司内）</w:t>
            </w:r>
            <w:r>
              <w:rPr>
                <w:rFonts w:hint="default" w:ascii="Times New Roman" w:hAnsi="Times New Roman" w:cs="Times New Roman"/>
                <w:color w:val="auto"/>
                <w:sz w:val="24"/>
                <w:szCs w:val="24"/>
                <w:u w:val="none" w:color="auto"/>
              </w:rPr>
              <w:t>，</w:t>
            </w:r>
            <w:r>
              <w:rPr>
                <w:rFonts w:hint="eastAsia" w:cs="Times New Roman"/>
                <w:color w:val="auto"/>
                <w:sz w:val="24"/>
                <w:szCs w:val="24"/>
                <w:u w:val="none" w:color="auto"/>
                <w:lang w:eastAsia="zh-CN"/>
              </w:rPr>
              <w:t>扩建</w:t>
            </w:r>
            <w:r>
              <w:rPr>
                <w:rFonts w:hint="default" w:ascii="Times New Roman" w:hAnsi="Times New Roman" w:cs="Times New Roman"/>
                <w:color w:val="auto"/>
                <w:sz w:val="24"/>
                <w:szCs w:val="24"/>
                <w:u w:val="none" w:color="auto"/>
              </w:rPr>
              <w:t>生产厂房进行生产，不会对生态环境产生影响。此外，项目营运期产生的废气、废水、固废和噪声均得到有效处理与处置，项目营运不会对周围的生态环境产生明显影响。</w:t>
            </w:r>
          </w:p>
          <w:p>
            <w:pPr>
              <w:spacing w:line="360" w:lineRule="auto"/>
              <w:rPr>
                <w:rFonts w:hint="default" w:ascii="Times New Roman" w:hAnsi="Times New Roman" w:cs="Times New Roman"/>
                <w:color w:val="auto"/>
                <w:sz w:val="22"/>
                <w:szCs w:val="22"/>
                <w:u w:val="none" w:color="auto"/>
              </w:rPr>
            </w:pPr>
          </w:p>
          <w:p>
            <w:pPr>
              <w:pStyle w:val="34"/>
              <w:spacing w:line="360" w:lineRule="auto"/>
              <w:ind w:left="0" w:leftChars="0" w:firstLine="0" w:firstLineChars="0"/>
              <w:rPr>
                <w:rFonts w:hint="default" w:ascii="Times New Roman" w:hAnsi="Times New Roman" w:cs="Times New Roman"/>
                <w:color w:val="auto"/>
                <w:sz w:val="22"/>
                <w:szCs w:val="22"/>
                <w:u w:val="none" w:color="auto"/>
              </w:rPr>
            </w:pPr>
          </w:p>
        </w:tc>
      </w:tr>
    </w:tbl>
    <w:p>
      <w:pPr>
        <w:snapToGrid w:val="0"/>
        <w:jc w:val="left"/>
        <w:outlineLvl w:val="0"/>
        <w:rPr>
          <w:color w:val="auto"/>
          <w:u w:val="none" w:color="auto"/>
        </w:rPr>
      </w:pPr>
      <w:r>
        <w:rPr>
          <w:color w:val="auto"/>
          <w:u w:val="none" w:color="auto"/>
        </w:rPr>
        <w:br w:type="page"/>
      </w:r>
      <w:bookmarkStart w:id="13" w:name="_Toc22256"/>
      <w:r>
        <w:rPr>
          <w:rFonts w:hint="eastAsia" w:eastAsia="黑体"/>
          <w:color w:val="auto"/>
          <w:sz w:val="32"/>
          <w:u w:val="none" w:color="auto"/>
        </w:rPr>
        <w:t>九、</w:t>
      </w:r>
      <w:r>
        <w:rPr>
          <w:rFonts w:eastAsia="黑体"/>
          <w:color w:val="auto"/>
          <w:sz w:val="32"/>
          <w:u w:val="none" w:color="auto"/>
        </w:rPr>
        <w:t>结论与建议</w:t>
      </w:r>
      <w:bookmarkEnd w:id="13"/>
    </w:p>
    <w:tbl>
      <w:tblPr>
        <w:tblStyle w:val="40"/>
        <w:tblW w:w="9356"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85" w:type="dxa"/>
          <w:bottom w:w="0" w:type="dxa"/>
          <w:right w:w="85" w:type="dxa"/>
        </w:tblCellMar>
      </w:tblPr>
      <w:tblGrid>
        <w:gridCol w:w="935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85" w:type="dxa"/>
            <w:bottom w:w="0" w:type="dxa"/>
            <w:right w:w="85" w:type="dxa"/>
          </w:tblCellMar>
        </w:tblPrEx>
        <w:trPr>
          <w:trHeight w:val="13397" w:hRule="atLeast"/>
          <w:jc w:val="center"/>
        </w:trPr>
        <w:tc>
          <w:tcPr>
            <w:tcW w:w="9356" w:type="dxa"/>
          </w:tcPr>
          <w:p>
            <w:pPr>
              <w:snapToGrid w:val="0"/>
              <w:spacing w:line="360" w:lineRule="auto"/>
              <w:rPr>
                <w:b/>
                <w:color w:val="auto"/>
                <w:sz w:val="24"/>
                <w:szCs w:val="24"/>
                <w:u w:val="none" w:color="auto"/>
              </w:rPr>
            </w:pPr>
            <w:r>
              <w:rPr>
                <w:b/>
                <w:color w:val="auto"/>
                <w:sz w:val="24"/>
                <w:szCs w:val="24"/>
                <w:u w:val="none" w:color="auto"/>
              </w:rPr>
              <w:t>一. 结论</w:t>
            </w:r>
          </w:p>
          <w:p>
            <w:pPr>
              <w:adjustRightInd w:val="0"/>
              <w:snapToGrid w:val="0"/>
              <w:spacing w:line="360" w:lineRule="auto"/>
              <w:ind w:firstLine="462" w:firstLineChars="200"/>
              <w:rPr>
                <w:b/>
                <w:bCs/>
                <w:color w:val="auto"/>
                <w:sz w:val="24"/>
                <w:szCs w:val="24"/>
                <w:u w:val="none" w:color="auto"/>
              </w:rPr>
            </w:pPr>
            <w:r>
              <w:rPr>
                <w:b/>
                <w:bCs/>
                <w:color w:val="auto"/>
                <w:sz w:val="24"/>
                <w:szCs w:val="24"/>
                <w:u w:val="none" w:color="auto"/>
              </w:rPr>
              <w:t>1、项目概况</w:t>
            </w:r>
          </w:p>
          <w:p>
            <w:pPr>
              <w:adjustRightInd w:val="0"/>
              <w:snapToGrid w:val="0"/>
              <w:spacing w:line="360" w:lineRule="auto"/>
              <w:ind w:firstLine="462" w:firstLineChars="200"/>
              <w:rPr>
                <w:color w:val="auto"/>
                <w:sz w:val="24"/>
                <w:szCs w:val="24"/>
                <w:u w:val="none" w:color="auto"/>
              </w:rPr>
            </w:pPr>
            <w:r>
              <w:rPr>
                <w:rFonts w:hint="eastAsia"/>
                <w:color w:val="auto"/>
                <w:sz w:val="24"/>
                <w:szCs w:val="24"/>
                <w:u w:val="none" w:color="auto"/>
                <w:lang w:eastAsia="zh-CN"/>
              </w:rPr>
              <w:t>湖南湘变电气有限责任公司“文星”节能变压器产品革新及技术改造项目</w:t>
            </w:r>
            <w:r>
              <w:rPr>
                <w:rFonts w:hint="eastAsia"/>
                <w:color w:val="auto"/>
                <w:sz w:val="24"/>
                <w:szCs w:val="24"/>
                <w:u w:val="none" w:color="auto"/>
              </w:rPr>
              <w:t>选</w:t>
            </w:r>
            <w:r>
              <w:rPr>
                <w:rFonts w:hint="eastAsia"/>
                <w:color w:val="auto"/>
                <w:sz w:val="24"/>
                <w:szCs w:val="24"/>
                <w:u w:val="none" w:color="auto"/>
                <w:lang w:eastAsia="zh-CN"/>
              </w:rPr>
              <w:t>址湖南省湘阴县工业园区健铭路（湖南湘变电气有限责任公司内）地块，总投资</w:t>
            </w:r>
            <w:r>
              <w:rPr>
                <w:rFonts w:hint="eastAsia"/>
                <w:color w:val="auto"/>
                <w:sz w:val="24"/>
                <w:szCs w:val="24"/>
                <w:u w:val="none" w:color="auto"/>
                <w:lang w:val="en-US" w:eastAsia="zh-CN"/>
              </w:rPr>
              <w:t>2933.67万元</w:t>
            </w:r>
            <w:r>
              <w:rPr>
                <w:rFonts w:hint="eastAsia"/>
                <w:color w:val="auto"/>
                <w:sz w:val="24"/>
                <w:szCs w:val="24"/>
                <w:u w:val="none" w:color="auto"/>
                <w:lang w:eastAsia="zh-CN"/>
              </w:rPr>
              <w:t>（环保投资为</w:t>
            </w:r>
            <w:r>
              <w:rPr>
                <w:rFonts w:hint="eastAsia"/>
                <w:color w:val="auto"/>
                <w:sz w:val="24"/>
                <w:szCs w:val="24"/>
                <w:u w:val="none" w:color="auto"/>
                <w:lang w:val="en-US" w:eastAsia="zh-CN"/>
              </w:rPr>
              <w:t>25</w:t>
            </w:r>
            <w:r>
              <w:rPr>
                <w:rFonts w:hint="eastAsia"/>
                <w:color w:val="auto"/>
                <w:sz w:val="24"/>
                <w:szCs w:val="24"/>
                <w:u w:val="none" w:color="auto"/>
                <w:lang w:eastAsia="zh-CN"/>
              </w:rPr>
              <w:t>万元），总占地面积</w:t>
            </w:r>
            <w:r>
              <w:rPr>
                <w:rFonts w:hint="eastAsia"/>
                <w:color w:val="auto"/>
                <w:sz w:val="24"/>
                <w:szCs w:val="24"/>
                <w:u w:val="none" w:color="auto"/>
                <w:lang w:val="en-US" w:eastAsia="zh-CN"/>
              </w:rPr>
              <w:t>26162.36</w:t>
            </w:r>
            <w:r>
              <w:rPr>
                <w:rFonts w:hint="eastAsia"/>
                <w:color w:val="auto"/>
                <w:sz w:val="24"/>
                <w:szCs w:val="24"/>
                <w:u w:val="none" w:color="auto"/>
                <w:lang w:eastAsia="zh-CN"/>
              </w:rPr>
              <w:t>平方米，项目建成投产后年产</w:t>
            </w:r>
            <w:r>
              <w:rPr>
                <w:rFonts w:hint="eastAsia"/>
                <w:color w:val="auto"/>
                <w:sz w:val="24"/>
                <w:szCs w:val="24"/>
                <w:u w:val="none" w:color="auto"/>
                <w:lang w:val="en-US" w:eastAsia="zh-CN"/>
              </w:rPr>
              <w:t>SH15系列非晶合金变压器500台，高压真空环网开关设备300台</w:t>
            </w:r>
            <w:r>
              <w:rPr>
                <w:rFonts w:hint="eastAsia"/>
                <w:color w:val="auto"/>
                <w:sz w:val="24"/>
                <w:szCs w:val="24"/>
                <w:u w:val="none" w:color="auto"/>
                <w:lang w:eastAsia="zh-CN"/>
              </w:rPr>
              <w:t>。</w:t>
            </w:r>
          </w:p>
          <w:p>
            <w:pPr>
              <w:adjustRightInd w:val="0"/>
              <w:snapToGrid w:val="0"/>
              <w:spacing w:line="360" w:lineRule="auto"/>
              <w:ind w:firstLine="462" w:firstLineChars="200"/>
              <w:rPr>
                <w:color w:val="auto"/>
                <w:sz w:val="24"/>
                <w:u w:val="none" w:color="auto"/>
              </w:rPr>
            </w:pPr>
            <w:r>
              <w:rPr>
                <w:b/>
                <w:bCs/>
                <w:color w:val="auto"/>
                <w:sz w:val="24"/>
                <w:szCs w:val="24"/>
                <w:u w:val="none" w:color="auto"/>
              </w:rPr>
              <w:t>2</w:t>
            </w:r>
            <w:r>
              <w:rPr>
                <w:b/>
                <w:color w:val="auto"/>
                <w:sz w:val="24"/>
                <w:u w:val="none" w:color="auto"/>
              </w:rPr>
              <w:t>、区域环境质量结论</w:t>
            </w:r>
          </w:p>
          <w:p>
            <w:pPr>
              <w:snapToGrid w:val="0"/>
              <w:spacing w:line="360" w:lineRule="auto"/>
              <w:ind w:firstLine="453" w:firstLineChars="196"/>
              <w:rPr>
                <w:rFonts w:hAnsi="宋体"/>
                <w:color w:val="auto"/>
                <w:sz w:val="24"/>
                <w:szCs w:val="24"/>
                <w:u w:val="none" w:color="auto"/>
              </w:rPr>
            </w:pPr>
            <w:r>
              <w:rPr>
                <w:rFonts w:hAnsi="宋体"/>
                <w:color w:val="auto"/>
                <w:sz w:val="24"/>
                <w:szCs w:val="24"/>
                <w:u w:val="none" w:color="auto"/>
              </w:rPr>
              <w:t>本项目所在地区域环境质量现状调查结果表明：</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eastAsia"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大气</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为了解建设项目所在区域的大气环境状况，本环评引用</w:t>
            </w:r>
            <w:r>
              <w:rPr>
                <w:rFonts w:hint="eastAsia" w:ascii="Times New Roman" w:hAnsi="Times New Roman" w:eastAsia="宋体" w:cs="Times New Roman"/>
                <w:iCs w:val="0"/>
                <w:color w:val="auto"/>
                <w:kern w:val="2"/>
                <w:sz w:val="24"/>
                <w:szCs w:val="24"/>
                <w:u w:val="none" w:color="auto"/>
                <w:lang w:val="en-US" w:eastAsia="zh-CN" w:bidi="ar-SA"/>
              </w:rPr>
              <w:t>湘阴县</w:t>
            </w:r>
            <w:r>
              <w:rPr>
                <w:rFonts w:hint="default" w:ascii="Times New Roman" w:hAnsi="Times New Roman" w:eastAsia="宋体" w:cs="Times New Roman"/>
                <w:iCs w:val="0"/>
                <w:color w:val="auto"/>
                <w:kern w:val="2"/>
                <w:sz w:val="24"/>
                <w:szCs w:val="24"/>
                <w:u w:val="none" w:color="auto"/>
                <w:lang w:val="en-US" w:eastAsia="zh-CN" w:bidi="ar-SA"/>
              </w:rPr>
              <w:t>环境保护监测站2018年常规监测点对区域环境空气质量现状进行评价，监测因子为 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、CO、O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，监测结果显示项目 SO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、NO</w:t>
            </w:r>
            <w:r>
              <w:rPr>
                <w:rFonts w:hint="default" w:ascii="Times New Roman" w:hAnsi="Times New Roman" w:eastAsia="宋体" w:cs="Times New Roman"/>
                <w:iCs w:val="0"/>
                <w:color w:val="auto"/>
                <w:kern w:val="2"/>
                <w:sz w:val="24"/>
                <w:szCs w:val="24"/>
                <w:u w:val="none" w:color="auto"/>
                <w:vertAlign w:val="subscript"/>
                <w:lang w:val="en-US" w:eastAsia="zh-CN" w:bidi="ar-SA"/>
              </w:rPr>
              <w:t>2</w:t>
            </w:r>
            <w:r>
              <w:rPr>
                <w:rFonts w:hint="default" w:ascii="Times New Roman" w:hAnsi="Times New Roman" w:eastAsia="宋体" w:cs="Times New Roman"/>
                <w:iCs w:val="0"/>
                <w:color w:val="auto"/>
                <w:kern w:val="2"/>
                <w:sz w:val="24"/>
                <w:szCs w:val="24"/>
                <w:u w:val="none" w:color="auto"/>
                <w:lang w:val="en-US" w:eastAsia="zh-CN" w:bidi="ar-SA"/>
              </w:rPr>
              <w:t>、CO、PM</w:t>
            </w:r>
            <w:r>
              <w:rPr>
                <w:rFonts w:hint="default" w:ascii="Times New Roman" w:hAnsi="Times New Roman" w:eastAsia="宋体" w:cs="Times New Roman"/>
                <w:iCs w:val="0"/>
                <w:color w:val="auto"/>
                <w:kern w:val="2"/>
                <w:sz w:val="24"/>
                <w:szCs w:val="24"/>
                <w:u w:val="none" w:color="auto"/>
                <w:vertAlign w:val="subscript"/>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 xml:space="preserve"> 、O</w:t>
            </w:r>
            <w:r>
              <w:rPr>
                <w:rFonts w:hint="default" w:ascii="Times New Roman" w:hAnsi="Times New Roman" w:eastAsia="宋体" w:cs="Times New Roman"/>
                <w:iCs w:val="0"/>
                <w:color w:val="auto"/>
                <w:kern w:val="2"/>
                <w:sz w:val="24"/>
                <w:szCs w:val="24"/>
                <w:u w:val="none" w:color="auto"/>
                <w:vertAlign w:val="subscript"/>
                <w:lang w:val="en-US" w:eastAsia="zh-CN" w:bidi="ar-SA"/>
              </w:rPr>
              <w:t>3</w:t>
            </w:r>
            <w:r>
              <w:rPr>
                <w:rFonts w:hint="default" w:ascii="Times New Roman" w:hAnsi="Times New Roman" w:eastAsia="宋体" w:cs="Times New Roman"/>
                <w:iCs w:val="0"/>
                <w:color w:val="auto"/>
                <w:kern w:val="2"/>
                <w:sz w:val="24"/>
                <w:szCs w:val="24"/>
                <w:u w:val="none" w:color="auto"/>
                <w:lang w:val="en-US" w:eastAsia="zh-CN" w:bidi="ar-SA"/>
              </w:rPr>
              <w:t>环境质量达标，PM</w:t>
            </w:r>
            <w:r>
              <w:rPr>
                <w:rFonts w:hint="default" w:ascii="Times New Roman" w:hAnsi="Times New Roman" w:eastAsia="宋体" w:cs="Times New Roman"/>
                <w:iCs w:val="0"/>
                <w:color w:val="auto"/>
                <w:kern w:val="2"/>
                <w:sz w:val="24"/>
                <w:szCs w:val="24"/>
                <w:u w:val="none" w:color="auto"/>
                <w:vertAlign w:val="subscript"/>
                <w:lang w:val="en-US" w:eastAsia="zh-CN" w:bidi="ar-SA"/>
              </w:rPr>
              <w:t>2.5</w:t>
            </w:r>
            <w:r>
              <w:rPr>
                <w:rFonts w:hint="default" w:ascii="Times New Roman" w:hAnsi="Times New Roman" w:eastAsia="宋体" w:cs="Times New Roman"/>
                <w:iCs w:val="0"/>
                <w:color w:val="auto"/>
                <w:kern w:val="2"/>
                <w:sz w:val="24"/>
                <w:szCs w:val="24"/>
                <w:u w:val="none" w:color="auto"/>
                <w:lang w:val="en-US" w:eastAsia="zh-CN" w:bidi="ar-SA"/>
              </w:rPr>
              <w:t xml:space="preserve"> 不达标，因此区域为不达标区</w:t>
            </w:r>
            <w:r>
              <w:rPr>
                <w:rFonts w:hint="default" w:ascii="Times New Roman" w:hAnsi="Times New Roman" w:cs="Times New Roman"/>
                <w:iCs w:val="0"/>
                <w:color w:val="auto"/>
                <w:kern w:val="2"/>
                <w:sz w:val="24"/>
                <w:szCs w:val="24"/>
                <w:u w:val="none" w:color="auto"/>
                <w:lang w:val="en-US" w:eastAsia="zh-CN" w:bidi="ar-SA"/>
              </w:rPr>
              <w:t>，通过</w:t>
            </w:r>
            <w:r>
              <w:rPr>
                <w:rFonts w:hint="eastAsia" w:ascii="Times New Roman" w:hAnsi="Times New Roman" w:cs="Times New Roman"/>
                <w:iCs w:val="0"/>
                <w:color w:val="auto"/>
                <w:kern w:val="2"/>
                <w:sz w:val="24"/>
                <w:szCs w:val="24"/>
                <w:u w:val="none" w:color="auto"/>
                <w:lang w:val="en-US" w:eastAsia="zh-CN" w:bidi="ar-SA"/>
              </w:rPr>
              <w:t>一系列的调整</w:t>
            </w:r>
            <w:r>
              <w:rPr>
                <w:rFonts w:hint="default" w:ascii="Times New Roman" w:hAnsi="Times New Roman" w:cs="Times New Roman"/>
                <w:iCs w:val="0"/>
                <w:color w:val="auto"/>
                <w:kern w:val="2"/>
                <w:sz w:val="24"/>
                <w:szCs w:val="24"/>
                <w:u w:val="none" w:color="auto"/>
                <w:lang w:val="en-US" w:eastAsia="zh-CN" w:bidi="ar-SA"/>
              </w:rPr>
              <w:t>可改善所在区域的环境问题</w:t>
            </w:r>
            <w:r>
              <w:rPr>
                <w:rFonts w:hint="eastAsia" w:cs="Times New Roman"/>
                <w:iCs w:val="0"/>
                <w:color w:val="auto"/>
                <w:kern w:val="2"/>
                <w:sz w:val="24"/>
                <w:szCs w:val="24"/>
                <w:u w:val="none" w:color="auto"/>
                <w:lang w:val="en-US" w:eastAsia="zh-CN" w:bidi="ar-SA"/>
              </w:rPr>
              <w:t>。</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eastAsia" w:ascii="Times New Roman" w:hAnsi="Times New Roman" w:cs="Times New Roman"/>
                <w:color w:val="auto"/>
                <w:sz w:val="24"/>
                <w:szCs w:val="24"/>
                <w:u w:val="none" w:color="auto"/>
                <w:lang w:eastAsia="zh-CN"/>
              </w:rPr>
              <w:t>项目所在区域中</w:t>
            </w:r>
            <w:r>
              <w:rPr>
                <w:rFonts w:hint="default" w:ascii="Times New Roman" w:hAnsi="Times New Roman" w:cs="Times New Roman"/>
                <w:color w:val="auto"/>
                <w:sz w:val="24"/>
                <w:szCs w:val="24"/>
                <w:u w:val="none" w:color="auto"/>
              </w:rPr>
              <w:t>TVOC均符合《环境影响评价技术导则（HJ2.3-2018）》（大气环境附录D)中标准要求</w:t>
            </w:r>
            <w:r>
              <w:rPr>
                <w:rFonts w:hint="default" w:ascii="Times New Roman" w:hAnsi="Times New Roman" w:eastAsia="宋体" w:cs="Times New Roman"/>
                <w:iCs w:val="0"/>
                <w:color w:val="auto"/>
                <w:kern w:val="2"/>
                <w:sz w:val="24"/>
                <w:szCs w:val="24"/>
                <w:u w:val="none" w:color="auto"/>
                <w:lang w:val="en-US" w:eastAsia="zh-CN" w:bidi="ar-SA"/>
              </w:rPr>
              <w:t xml:space="preserve">。 </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textAlignment w:val="auto"/>
              <w:rPr>
                <w:rFonts w:hint="default" w:ascii="Times New Roman" w:hAnsi="Times New Roman" w:eastAsia="宋体" w:cs="Times New Roman"/>
                <w:iCs w:val="0"/>
                <w:color w:val="auto"/>
                <w:kern w:val="2"/>
                <w:sz w:val="24"/>
                <w:szCs w:val="24"/>
                <w:u w:val="none" w:color="auto"/>
                <w:lang w:val="en-US" w:eastAsia="zh-CN" w:bidi="ar-SA"/>
              </w:rPr>
            </w:pPr>
            <w:r>
              <w:rPr>
                <w:rFonts w:hint="default" w:ascii="Times New Roman" w:hAnsi="Times New Roman" w:eastAsia="宋体" w:cs="Times New Roman"/>
                <w:iCs w:val="0"/>
                <w:color w:val="auto"/>
                <w:kern w:val="2"/>
                <w:sz w:val="24"/>
                <w:szCs w:val="24"/>
                <w:u w:val="none" w:color="auto"/>
                <w:lang w:val="en-US" w:eastAsia="zh-CN" w:bidi="ar-SA"/>
              </w:rPr>
              <w:t>地表水</w:t>
            </w:r>
            <w:r>
              <w:rPr>
                <w:rFonts w:hint="default" w:ascii="Times New Roman" w:hAnsi="Times New Roman" w:cs="Times New Roman"/>
                <w:iCs w:val="0"/>
                <w:color w:val="auto"/>
                <w:kern w:val="2"/>
                <w:sz w:val="24"/>
                <w:szCs w:val="24"/>
                <w:u w:val="none" w:color="auto"/>
                <w:lang w:val="en-US" w:eastAsia="zh-CN" w:bidi="ar-SA"/>
              </w:rPr>
              <w:t>：</w:t>
            </w:r>
            <w:r>
              <w:rPr>
                <w:sz w:val="24"/>
                <w:szCs w:val="22"/>
                <w:u w:val="none" w:color="auto"/>
              </w:rPr>
              <w:t>湘江湘阴段洋沙湖断面、乌龙咀断面及洋沙湖湖心水质各项指标均达到《地表水环境质量标准》（GB3838-2002）中Ⅲ类标准，区域水质状况良好</w:t>
            </w:r>
            <w:r>
              <w:rPr>
                <w:rFonts w:hint="default" w:ascii="Times New Roman" w:hAnsi="Times New Roman" w:eastAsia="宋体" w:cs="Times New Roman"/>
                <w:iCs w:val="0"/>
                <w:color w:val="auto"/>
                <w:kern w:val="2"/>
                <w:sz w:val="24"/>
                <w:szCs w:val="24"/>
                <w:u w:val="none" w:color="auto"/>
                <w:lang w:val="en-US" w:eastAsia="zh-CN" w:bidi="ar-SA"/>
              </w:rPr>
              <w:t>。</w:t>
            </w:r>
          </w:p>
          <w:p>
            <w:pPr>
              <w:pStyle w:val="15"/>
              <w:keepNext w:val="0"/>
              <w:keepLines w:val="0"/>
              <w:pageBreakBefore w:val="0"/>
              <w:widowControl w:val="0"/>
              <w:kinsoku/>
              <w:wordWrap/>
              <w:overflowPunct/>
              <w:topLinePunct w:val="0"/>
              <w:autoSpaceDE/>
              <w:autoSpaceDN/>
              <w:bidi w:val="0"/>
              <w:spacing w:after="0" w:afterLines="0" w:line="360" w:lineRule="auto"/>
              <w:ind w:left="0" w:right="0" w:firstLine="462" w:firstLineChars="200"/>
              <w:jc w:val="both"/>
              <w:textAlignment w:val="auto"/>
              <w:rPr>
                <w:rFonts w:hint="eastAsia" w:ascii="Times New Roman" w:hAnsi="Times New Roman" w:eastAsia="宋体" w:cs="Times New Roman"/>
                <w:color w:val="auto"/>
                <w:sz w:val="24"/>
                <w:u w:val="none" w:color="auto"/>
                <w:lang w:eastAsia="zh-CN"/>
              </w:rPr>
            </w:pPr>
            <w:r>
              <w:rPr>
                <w:rFonts w:hint="default" w:ascii="Times New Roman" w:hAnsi="Times New Roman" w:eastAsia="宋体" w:cs="Times New Roman"/>
                <w:iCs w:val="0"/>
                <w:color w:val="auto"/>
                <w:kern w:val="2"/>
                <w:sz w:val="24"/>
                <w:szCs w:val="24"/>
                <w:u w:val="none" w:color="auto"/>
                <w:lang w:val="en-US" w:eastAsia="zh-CN" w:bidi="ar-SA"/>
              </w:rPr>
              <w:t>声环境</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本项目声环境质量现状监测委托湖南</w:t>
            </w:r>
            <w:r>
              <w:rPr>
                <w:rFonts w:hint="default" w:ascii="Times New Roman" w:hAnsi="Times New Roman" w:cs="Times New Roman"/>
                <w:iCs w:val="0"/>
                <w:color w:val="auto"/>
                <w:kern w:val="2"/>
                <w:sz w:val="24"/>
                <w:szCs w:val="24"/>
                <w:u w:val="none" w:color="auto"/>
                <w:lang w:val="en-US" w:eastAsia="zh-CN" w:bidi="ar-SA"/>
              </w:rPr>
              <w:t>精准通检测技术</w:t>
            </w:r>
            <w:r>
              <w:rPr>
                <w:rFonts w:hint="default" w:ascii="Times New Roman" w:hAnsi="Times New Roman" w:eastAsia="宋体" w:cs="Times New Roman"/>
                <w:iCs w:val="0"/>
                <w:color w:val="auto"/>
                <w:kern w:val="2"/>
                <w:sz w:val="24"/>
                <w:szCs w:val="24"/>
                <w:u w:val="none" w:color="auto"/>
                <w:lang w:val="en-US" w:eastAsia="zh-CN" w:bidi="ar-SA"/>
              </w:rPr>
              <w:t>有限公司于201</w:t>
            </w:r>
            <w:r>
              <w:rPr>
                <w:rFonts w:hint="default" w:ascii="Times New Roman" w:hAnsi="Times New Roman" w:cs="Times New Roman"/>
                <w:iCs w:val="0"/>
                <w:color w:val="auto"/>
                <w:kern w:val="2"/>
                <w:sz w:val="24"/>
                <w:szCs w:val="24"/>
                <w:u w:val="none" w:color="auto"/>
                <w:lang w:val="en-US" w:eastAsia="zh-CN" w:bidi="ar-SA"/>
              </w:rPr>
              <w:t>9</w:t>
            </w:r>
            <w:r>
              <w:rPr>
                <w:rFonts w:hint="default" w:ascii="Times New Roman" w:hAnsi="Times New Roman" w:eastAsia="宋体" w:cs="Times New Roman"/>
                <w:iCs w:val="0"/>
                <w:color w:val="auto"/>
                <w:kern w:val="2"/>
                <w:sz w:val="24"/>
                <w:szCs w:val="24"/>
                <w:u w:val="none" w:color="auto"/>
                <w:lang w:val="en-US" w:eastAsia="zh-CN" w:bidi="ar-SA"/>
              </w:rPr>
              <w:t>年</w:t>
            </w:r>
            <w:r>
              <w:rPr>
                <w:rFonts w:hint="eastAsia" w:cs="Times New Roman"/>
                <w:iCs w:val="0"/>
                <w:color w:val="auto"/>
                <w:kern w:val="2"/>
                <w:sz w:val="24"/>
                <w:szCs w:val="24"/>
                <w:u w:val="none" w:color="auto"/>
                <w:lang w:val="en-US" w:eastAsia="zh-CN" w:bidi="ar-SA"/>
              </w:rPr>
              <w:t>10</w:t>
            </w:r>
            <w:r>
              <w:rPr>
                <w:rFonts w:hint="default" w:ascii="Times New Roman" w:hAnsi="Times New Roman" w:eastAsia="宋体" w:cs="Times New Roman"/>
                <w:iCs w:val="0"/>
                <w:color w:val="auto"/>
                <w:kern w:val="2"/>
                <w:sz w:val="24"/>
                <w:szCs w:val="24"/>
                <w:u w:val="none" w:color="auto"/>
                <w:lang w:val="en-US" w:eastAsia="zh-CN" w:bidi="ar-SA"/>
              </w:rPr>
              <w:t>月</w:t>
            </w:r>
            <w:r>
              <w:rPr>
                <w:rFonts w:hint="eastAsia" w:cs="Times New Roman"/>
                <w:iCs w:val="0"/>
                <w:color w:val="auto"/>
                <w:kern w:val="2"/>
                <w:sz w:val="24"/>
                <w:szCs w:val="24"/>
                <w:u w:val="none" w:color="auto"/>
                <w:lang w:val="en-US" w:eastAsia="zh-CN" w:bidi="ar-SA"/>
              </w:rPr>
              <w:t>24</w:t>
            </w:r>
            <w:r>
              <w:rPr>
                <w:rFonts w:hint="default" w:ascii="Times New Roman" w:hAnsi="Times New Roman" w:eastAsia="宋体" w:cs="Times New Roman"/>
                <w:iCs w:val="0"/>
                <w:color w:val="auto"/>
                <w:kern w:val="2"/>
                <w:sz w:val="24"/>
                <w:szCs w:val="24"/>
                <w:u w:val="none" w:color="auto"/>
                <w:lang w:val="en-US" w:eastAsia="zh-CN" w:bidi="ar-SA"/>
              </w:rPr>
              <w:t>日对项目 N1 项目建设地厂界东侧、N2 项目建设地厂界南侧、N3 项目建设地厂界西侧、N4 项目建设地厂界北侧进行了为期 2 天的声环境现状监测，共设置 4 个监测点，监测结果表示</w:t>
            </w:r>
            <w:r>
              <w:rPr>
                <w:rFonts w:hint="default" w:ascii="Times New Roman" w:hAnsi="Times New Roman" w:cs="Times New Roman"/>
                <w:iCs w:val="0"/>
                <w:color w:val="auto"/>
                <w:kern w:val="2"/>
                <w:sz w:val="24"/>
                <w:szCs w:val="24"/>
                <w:u w:val="none" w:color="auto"/>
                <w:lang w:val="en-US" w:eastAsia="zh-CN" w:bidi="ar-SA"/>
              </w:rPr>
              <w:t>：</w:t>
            </w:r>
            <w:r>
              <w:rPr>
                <w:rFonts w:hint="default" w:ascii="Times New Roman" w:hAnsi="Times New Roman" w:eastAsia="宋体" w:cs="Times New Roman"/>
                <w:iCs w:val="0"/>
                <w:color w:val="auto"/>
                <w:kern w:val="2"/>
                <w:sz w:val="24"/>
                <w:szCs w:val="24"/>
                <w:u w:val="none" w:color="auto"/>
                <w:lang w:val="en-US" w:eastAsia="zh-CN" w:bidi="ar-SA"/>
              </w:rPr>
              <w:t xml:space="preserve">这 4 个监测点可满足《声环境质量标准》(GB3096-2008) </w:t>
            </w:r>
            <w:r>
              <w:rPr>
                <w:rFonts w:hint="eastAsia" w:cs="Times New Roman"/>
                <w:iCs w:val="0"/>
                <w:color w:val="auto"/>
                <w:kern w:val="2"/>
                <w:sz w:val="24"/>
                <w:szCs w:val="24"/>
                <w:u w:val="none" w:color="auto"/>
                <w:lang w:val="en-US" w:eastAsia="zh-CN" w:bidi="ar-SA"/>
              </w:rPr>
              <w:t>3、4a</w:t>
            </w:r>
            <w:r>
              <w:rPr>
                <w:rFonts w:hint="default" w:ascii="Times New Roman" w:hAnsi="Times New Roman" w:eastAsia="宋体" w:cs="Times New Roman"/>
                <w:iCs w:val="0"/>
                <w:color w:val="auto"/>
                <w:kern w:val="2"/>
                <w:sz w:val="24"/>
                <w:szCs w:val="24"/>
                <w:u w:val="none" w:color="auto"/>
                <w:lang w:val="en-US" w:eastAsia="zh-CN" w:bidi="ar-SA"/>
              </w:rPr>
              <w:t>类标准要求，项目所在区域声环境质量良好</w:t>
            </w:r>
            <w:r>
              <w:rPr>
                <w:rFonts w:hint="eastAsia"/>
                <w:color w:val="auto"/>
                <w:sz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default" w:ascii="Times New Roman" w:hAnsi="Times New Roman" w:cs="Times New Roman"/>
                <w:color w:val="auto"/>
                <w:sz w:val="24"/>
                <w:u w:val="none" w:color="auto"/>
              </w:rPr>
              <w:t>总体表明，本项目所在地及周边区域大气、地表水、</w:t>
            </w:r>
            <w:r>
              <w:rPr>
                <w:rFonts w:hint="eastAsia" w:cs="Times New Roman"/>
                <w:color w:val="auto"/>
                <w:sz w:val="24"/>
                <w:u w:val="none" w:color="auto"/>
                <w:lang w:eastAsia="zh-CN"/>
              </w:rPr>
              <w:t>地下水、</w:t>
            </w:r>
            <w:r>
              <w:rPr>
                <w:rFonts w:hint="default" w:ascii="Times New Roman" w:hAnsi="Times New Roman" w:cs="Times New Roman"/>
                <w:color w:val="auto"/>
                <w:sz w:val="24"/>
                <w:u w:val="none" w:color="auto"/>
              </w:rPr>
              <w:t>声环境现状较好</w:t>
            </w:r>
            <w:r>
              <w:rPr>
                <w:rFonts w:hint="eastAsia" w:hAnsi="宋体"/>
                <w:color w:val="auto"/>
                <w:sz w:val="24"/>
                <w:szCs w:val="24"/>
                <w:u w:val="none" w:color="auto"/>
              </w:rPr>
              <w:t>。</w:t>
            </w:r>
          </w:p>
          <w:p>
            <w:pPr>
              <w:snapToGrid w:val="0"/>
              <w:spacing w:line="360" w:lineRule="auto"/>
              <w:ind w:firstLine="394" w:firstLineChars="196"/>
              <w:rPr>
                <w:b/>
                <w:bCs/>
                <w:color w:val="auto"/>
                <w:sz w:val="24"/>
                <w:u w:val="none" w:color="auto"/>
              </w:rPr>
            </w:pPr>
            <w:r>
              <w:rPr>
                <w:b/>
                <w:color w:val="auto"/>
                <w:u w:val="none" w:color="auto"/>
              </w:rPr>
              <w:t>3、</w:t>
            </w:r>
            <w:r>
              <w:rPr>
                <w:rFonts w:hint="eastAsia"/>
                <w:b/>
                <w:bCs/>
                <w:color w:val="auto"/>
                <w:sz w:val="24"/>
                <w:u w:val="none" w:color="auto"/>
              </w:rPr>
              <w:t>环境影响分析结论</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（1）水环境</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本项目排水实行“雨污分流”制。</w:t>
            </w:r>
            <w:r>
              <w:rPr>
                <w:rFonts w:hint="eastAsia" w:hAnsi="宋体"/>
                <w:color w:val="auto"/>
                <w:sz w:val="24"/>
                <w:u w:val="none" w:color="auto"/>
              </w:rPr>
              <w:t>营运期废水为生活污水，生活污水经</w:t>
            </w:r>
            <w:r>
              <w:rPr>
                <w:rFonts w:hint="eastAsia" w:hAnsi="宋体"/>
                <w:color w:val="auto"/>
                <w:sz w:val="24"/>
                <w:u w:val="none" w:color="auto"/>
                <w:lang w:eastAsia="zh-CN"/>
              </w:rPr>
              <w:t>化粪池处理后排入园区污水管网进入湘阴县第二污水处理厂</w:t>
            </w:r>
            <w:r>
              <w:rPr>
                <w:rFonts w:hint="eastAsia" w:hAnsi="宋体"/>
                <w:color w:val="auto"/>
                <w:sz w:val="24"/>
                <w:u w:val="none" w:color="auto"/>
              </w:rPr>
              <w:t>。</w:t>
            </w:r>
            <w:r>
              <w:rPr>
                <w:rFonts w:hAnsi="宋体"/>
                <w:color w:val="auto"/>
                <w:sz w:val="24"/>
                <w:u w:val="none" w:color="auto"/>
              </w:rPr>
              <w:t>对区域水环境影响较小。</w:t>
            </w:r>
          </w:p>
          <w:p>
            <w:pPr>
              <w:pStyle w:val="4"/>
              <w:spacing w:before="0" w:beforeLines="0"/>
              <w:ind w:firstLine="460"/>
              <w:rPr>
                <w:rFonts w:hAnsi="宋体"/>
                <w:color w:val="auto"/>
                <w:szCs w:val="24"/>
                <w:u w:val="none" w:color="auto"/>
              </w:rPr>
            </w:pPr>
            <w:r>
              <w:rPr>
                <w:color w:val="auto"/>
                <w:u w:val="none" w:color="auto"/>
              </w:rPr>
              <w:t>（2）</w:t>
            </w:r>
            <w:r>
              <w:rPr>
                <w:rFonts w:hint="eastAsia" w:hAnsi="宋体"/>
                <w:color w:val="auto"/>
                <w:szCs w:val="24"/>
                <w:u w:val="none" w:color="auto"/>
              </w:rPr>
              <w:t>大气环境</w:t>
            </w:r>
          </w:p>
          <w:p>
            <w:pPr>
              <w:snapToGrid w:val="0"/>
              <w:spacing w:line="360" w:lineRule="auto"/>
              <w:ind w:firstLine="453" w:firstLineChars="196"/>
              <w:rPr>
                <w:rFonts w:hint="eastAsia" w:eastAsia="宋体"/>
                <w:b/>
                <w:color w:val="auto"/>
                <w:sz w:val="24"/>
                <w:u w:val="none" w:color="auto"/>
                <w:lang w:eastAsia="zh-CN"/>
              </w:rPr>
            </w:pPr>
            <w:r>
              <w:rPr>
                <w:rFonts w:hint="eastAsia"/>
                <w:bCs/>
                <w:color w:val="auto"/>
                <w:sz w:val="24"/>
                <w:szCs w:val="24"/>
                <w:u w:val="none" w:color="auto"/>
              </w:rPr>
              <w:t>本项目运营过程中产生的废气主要有喷漆漆雾、V</w:t>
            </w:r>
            <w:r>
              <w:rPr>
                <w:bCs/>
                <w:color w:val="auto"/>
                <w:sz w:val="24"/>
                <w:szCs w:val="24"/>
                <w:u w:val="none" w:color="auto"/>
              </w:rPr>
              <w:t>OCs</w:t>
            </w:r>
            <w:r>
              <w:rPr>
                <w:rFonts w:hint="eastAsia"/>
                <w:bCs/>
                <w:color w:val="auto"/>
                <w:sz w:val="24"/>
                <w:szCs w:val="24"/>
                <w:u w:val="none" w:color="auto"/>
                <w:lang w:eastAsia="zh-CN"/>
              </w:rPr>
              <w:t>、焊接烟尘、喷塑废气、烘干固化废气。</w:t>
            </w:r>
          </w:p>
          <w:p>
            <w:pPr>
              <w:spacing w:line="360" w:lineRule="auto"/>
              <w:ind w:firstLine="462" w:firstLineChars="200"/>
              <w:jc w:val="left"/>
              <w:rPr>
                <w:color w:val="auto"/>
                <w:sz w:val="24"/>
                <w:szCs w:val="24"/>
                <w:u w:val="none" w:color="auto"/>
              </w:rPr>
            </w:pPr>
            <w:r>
              <w:rPr>
                <w:rFonts w:hint="eastAsia"/>
                <w:color w:val="auto"/>
                <w:sz w:val="24"/>
                <w:szCs w:val="24"/>
                <w:u w:val="none" w:color="auto"/>
              </w:rPr>
              <w:t>本</w:t>
            </w:r>
            <w:r>
              <w:rPr>
                <w:rFonts w:hint="eastAsia" w:ascii="Times New Roman" w:hAnsi="Times New Roman" w:eastAsia="宋体" w:cs="Times New Roman"/>
                <w:color w:val="auto"/>
                <w:sz w:val="24"/>
                <w:szCs w:val="24"/>
                <w:u w:val="none" w:color="auto"/>
                <w:lang w:eastAsia="zh-CN"/>
              </w:rPr>
              <w:t>项目喷漆废气</w:t>
            </w:r>
            <w:r>
              <w:rPr>
                <w:rFonts w:hint="eastAsia" w:cs="Times New Roman"/>
                <w:color w:val="auto"/>
                <w:sz w:val="24"/>
                <w:szCs w:val="24"/>
                <w:u w:val="none" w:color="auto"/>
                <w:lang w:eastAsia="zh-CN"/>
              </w:rPr>
              <w:t>依托原有项目水净化装置</w:t>
            </w:r>
            <w:r>
              <w:rPr>
                <w:rFonts w:hint="eastAsia" w:ascii="Times New Roman" w:hAnsi="Times New Roman" w:eastAsia="宋体" w:cs="Times New Roman"/>
                <w:color w:val="auto"/>
                <w:sz w:val="24"/>
                <w:szCs w:val="24"/>
                <w:u w:val="none" w:color="auto"/>
                <w:lang w:val="en-US" w:eastAsia="zh-CN"/>
              </w:rPr>
              <w:t>+活性炭处理后由15m排气筒高空排放；焊接烟尘经移动式烟尘净化器处理后无组织排放；喷塑废气经自带的滤芯回收系统处理后由15m高排气筒高空排放；</w:t>
            </w:r>
            <w:r>
              <w:rPr>
                <w:rFonts w:hint="eastAsia" w:ascii="Times New Roman" w:hAnsi="Times New Roman" w:eastAsia="宋体" w:cs="Times New Roman"/>
                <w:color w:val="auto"/>
                <w:sz w:val="24"/>
                <w:szCs w:val="24"/>
                <w:u w:val="none" w:color="auto"/>
                <w:lang w:eastAsia="zh-CN"/>
              </w:rPr>
              <w:t>烘干固化废气</w:t>
            </w:r>
            <w:r>
              <w:rPr>
                <w:rFonts w:hint="eastAsia" w:ascii="Times New Roman" w:hAnsi="Times New Roman" w:eastAsia="宋体" w:cs="Times New Roman"/>
                <w:color w:val="auto"/>
                <w:sz w:val="24"/>
                <w:szCs w:val="24"/>
                <w:u w:val="none" w:color="auto"/>
                <w:lang w:val="en-US" w:eastAsia="zh-CN"/>
              </w:rPr>
              <w:t>经管道收集和喷漆废气一同经活性炭吸附装置处理后由同一根</w:t>
            </w:r>
            <w:r>
              <w:rPr>
                <w:rFonts w:hint="default" w:ascii="Times New Roman" w:hAnsi="Times New Roman" w:eastAsia="宋体" w:cs="Times New Roman"/>
                <w:color w:val="auto"/>
                <w:sz w:val="24"/>
                <w:szCs w:val="24"/>
                <w:u w:val="none" w:color="auto"/>
                <w:lang w:val="en-US" w:eastAsia="zh-CN"/>
              </w:rPr>
              <w:t>15m高排气筒</w:t>
            </w:r>
            <w:r>
              <w:rPr>
                <w:rFonts w:hint="eastAsia" w:ascii="Times New Roman" w:hAnsi="Times New Roman" w:eastAsia="宋体" w:cs="Times New Roman"/>
                <w:color w:val="auto"/>
                <w:sz w:val="24"/>
                <w:szCs w:val="24"/>
                <w:u w:val="none" w:color="auto"/>
                <w:lang w:val="en-US" w:eastAsia="zh-CN"/>
              </w:rPr>
              <w:t>排放</w:t>
            </w:r>
            <w:r>
              <w:rPr>
                <w:rFonts w:hint="eastAsia" w:ascii="Times New Roman" w:hAnsi="Times New Roman" w:eastAsia="宋体" w:cs="Times New Roman"/>
                <w:color w:val="auto"/>
                <w:sz w:val="24"/>
                <w:szCs w:val="24"/>
                <w:u w:val="none" w:color="auto"/>
                <w:lang w:eastAsia="zh-CN"/>
              </w:rPr>
              <w:t>。综上，本项目颗粒物能够达到</w:t>
            </w:r>
            <w:r>
              <w:rPr>
                <w:rFonts w:hint="eastAsia" w:ascii="Times New Roman" w:hAnsi="Times New Roman" w:eastAsia="宋体" w:cs="Times New Roman"/>
                <w:color w:val="auto"/>
                <w:sz w:val="24"/>
                <w:szCs w:val="24"/>
                <w:u w:val="none" w:color="auto"/>
                <w:lang w:val="zh-CN" w:eastAsia="zh-CN"/>
              </w:rPr>
              <w:t>《大气污染物综合排放标准》（GB16297-1996）</w:t>
            </w:r>
            <w:r>
              <w:rPr>
                <w:rFonts w:hint="eastAsia" w:ascii="Times New Roman" w:hAnsi="Times New Roman" w:eastAsia="宋体" w:cs="Times New Roman"/>
                <w:color w:val="auto"/>
                <w:sz w:val="24"/>
                <w:szCs w:val="24"/>
                <w:u w:val="none" w:color="auto"/>
                <w:lang w:eastAsia="zh-CN"/>
              </w:rPr>
              <w:t>中的二级标准及无组织排放浓度限值。</w:t>
            </w:r>
            <w:r>
              <w:rPr>
                <w:rFonts w:hint="eastAsia" w:cs="Times New Roman"/>
                <w:color w:val="auto"/>
                <w:sz w:val="24"/>
                <w:szCs w:val="24"/>
                <w:u w:val="none" w:color="auto"/>
                <w:lang w:eastAsia="zh-CN"/>
              </w:rPr>
              <w:t>有组织排放的</w:t>
            </w:r>
            <w:r>
              <w:rPr>
                <w:rFonts w:hint="eastAsia" w:ascii="Times New Roman" w:hAnsi="Times New Roman" w:eastAsia="宋体" w:cs="Times New Roman"/>
                <w:color w:val="auto"/>
                <w:sz w:val="24"/>
                <w:szCs w:val="24"/>
                <w:u w:val="none" w:color="auto"/>
                <w:lang w:eastAsia="zh-CN"/>
              </w:rPr>
              <w:t>VOCs 的排放浓度满足</w:t>
            </w:r>
            <w:r>
              <w:rPr>
                <w:rFonts w:hint="default" w:ascii="Times New Roman" w:hAnsi="Times New Roman" w:eastAsia="宋体" w:cs="Times New Roman"/>
                <w:color w:val="auto"/>
                <w:sz w:val="24"/>
                <w:szCs w:val="24"/>
                <w:u w:val="none" w:color="auto"/>
                <w:lang w:eastAsia="zh-CN"/>
              </w:rPr>
              <w:t>湖南省地方标准</w:t>
            </w:r>
            <w:r>
              <w:rPr>
                <w:rFonts w:hint="default" w:ascii="Times New Roman" w:hAnsi="Times New Roman" w:eastAsia="宋体" w:cs="Times New Roman"/>
                <w:color w:val="auto"/>
                <w:sz w:val="24"/>
                <w:szCs w:val="24"/>
                <w:u w:val="none" w:color="auto"/>
                <w:lang w:val="en-US" w:eastAsia="zh-CN"/>
              </w:rPr>
              <w:t>《表面涂装（汽车制造及维修）挥发性有机物、 镍排放标准》（DB43/1356-2017）表1中排放标准；无组织有机废气排放执行《挥发性有机物无组织排放控制标准》（GB37822-2019）中限值要求</w:t>
            </w:r>
            <w:r>
              <w:rPr>
                <w:rFonts w:hint="eastAsia" w:ascii="Times New Roman" w:hAnsi="Times New Roman" w:eastAsia="宋体" w:cs="Times New Roman"/>
                <w:color w:val="auto"/>
                <w:sz w:val="24"/>
                <w:szCs w:val="24"/>
                <w:u w:val="none" w:color="auto"/>
                <w:lang w:eastAsia="zh-CN"/>
              </w:rPr>
              <w:t>。</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（3）噪声</w:t>
            </w:r>
          </w:p>
          <w:p>
            <w:pPr>
              <w:snapToGrid w:val="0"/>
              <w:spacing w:line="360" w:lineRule="auto"/>
              <w:ind w:firstLine="453" w:firstLineChars="196"/>
              <w:rPr>
                <w:rFonts w:hAnsi="宋体"/>
                <w:color w:val="auto"/>
                <w:sz w:val="24"/>
                <w:u w:val="none" w:color="auto"/>
              </w:rPr>
            </w:pPr>
            <w:r>
              <w:rPr>
                <w:rFonts w:hint="eastAsia"/>
                <w:color w:val="auto"/>
                <w:sz w:val="24"/>
                <w:u w:val="none" w:color="auto"/>
              </w:rPr>
              <w:t>本项目的主要噪声源为车间中的生产设备，噪声值为</w:t>
            </w:r>
            <w:r>
              <w:rPr>
                <w:rFonts w:hint="eastAsia"/>
                <w:color w:val="auto"/>
                <w:sz w:val="24"/>
                <w:u w:val="none" w:color="auto"/>
                <w:lang w:val="en-US" w:eastAsia="zh-CN"/>
              </w:rPr>
              <w:t>80-90</w:t>
            </w:r>
            <w:r>
              <w:rPr>
                <w:rFonts w:hint="eastAsia"/>
                <w:color w:val="auto"/>
                <w:sz w:val="24"/>
                <w:u w:val="none" w:color="auto"/>
              </w:rPr>
              <w:t>dB(A)</w:t>
            </w:r>
            <w:r>
              <w:rPr>
                <w:rFonts w:hint="eastAsia" w:hAnsi="宋体"/>
                <w:color w:val="auto"/>
                <w:sz w:val="24"/>
                <w:szCs w:val="24"/>
                <w:u w:val="none" w:color="auto"/>
              </w:rPr>
              <w:t>，经采取合理布局、隔音、减振等措施后，厂界噪声能够满足《工业企业场界环境噪声排放标准》（GB12348-2008）</w:t>
            </w:r>
            <w:r>
              <w:rPr>
                <w:rFonts w:hint="eastAsia" w:hAnsi="宋体"/>
                <w:color w:val="auto"/>
                <w:sz w:val="24"/>
                <w:szCs w:val="24"/>
                <w:u w:val="none" w:color="auto"/>
                <w:lang w:val="en-US" w:eastAsia="zh-CN"/>
              </w:rPr>
              <w:t>3、4</w:t>
            </w:r>
            <w:r>
              <w:rPr>
                <w:rFonts w:hint="eastAsia" w:hAnsi="宋体"/>
                <w:color w:val="auto"/>
                <w:sz w:val="24"/>
                <w:szCs w:val="24"/>
                <w:u w:val="none" w:color="auto"/>
              </w:rPr>
              <w:t>类标准</w:t>
            </w:r>
            <w:r>
              <w:rPr>
                <w:rFonts w:hint="eastAsia" w:hAnsi="宋体"/>
                <w:color w:val="auto"/>
                <w:sz w:val="24"/>
                <w:u w:val="none" w:color="auto"/>
              </w:rPr>
              <w:t>，对周围声环境产生影响较小。</w:t>
            </w:r>
          </w:p>
          <w:p>
            <w:pPr>
              <w:snapToGrid w:val="0"/>
              <w:spacing w:line="276" w:lineRule="auto"/>
              <w:ind w:firstLine="462" w:firstLineChars="200"/>
              <w:jc w:val="left"/>
              <w:rPr>
                <w:rFonts w:hAnsi="宋体"/>
                <w:color w:val="auto"/>
                <w:sz w:val="24"/>
                <w:szCs w:val="24"/>
                <w:u w:val="none" w:color="auto"/>
              </w:rPr>
            </w:pPr>
            <w:r>
              <w:rPr>
                <w:rFonts w:hint="eastAsia" w:hAnsi="宋体"/>
                <w:color w:val="auto"/>
                <w:sz w:val="24"/>
                <w:szCs w:val="24"/>
                <w:u w:val="none" w:color="auto"/>
              </w:rPr>
              <w:t>（4）固体废物</w:t>
            </w:r>
          </w:p>
          <w:p>
            <w:pPr>
              <w:pStyle w:val="34"/>
              <w:spacing w:line="360" w:lineRule="auto"/>
              <w:ind w:left="0" w:leftChars="0" w:firstLine="462" w:firstLineChars="200"/>
              <w:jc w:val="left"/>
              <w:rPr>
                <w:rFonts w:hint="eastAsia" w:cs="Times New Roman"/>
                <w:color w:val="auto"/>
                <w:sz w:val="24"/>
                <w:highlight w:val="none"/>
                <w:u w:val="none" w:color="auto"/>
                <w:lang w:eastAsia="zh-CN"/>
              </w:rPr>
            </w:pPr>
            <w:r>
              <w:rPr>
                <w:rFonts w:hint="eastAsia" w:cs="Times New Roman"/>
                <w:color w:val="auto"/>
                <w:sz w:val="24"/>
                <w:szCs w:val="32"/>
                <w:u w:val="none" w:color="auto"/>
                <w:lang w:eastAsia="zh-CN"/>
              </w:rPr>
              <w:t>本项目在生产加工过程中会产生少量边角料</w:t>
            </w:r>
            <w:r>
              <w:rPr>
                <w:rFonts w:hint="default" w:ascii="Times New Roman" w:hAnsi="Times New Roman" w:cs="Times New Roman"/>
                <w:color w:val="auto"/>
                <w:sz w:val="24"/>
                <w:szCs w:val="32"/>
                <w:u w:val="none" w:color="auto"/>
              </w:rPr>
              <w:t>，</w:t>
            </w:r>
            <w:r>
              <w:rPr>
                <w:rFonts w:hint="default" w:ascii="Times New Roman" w:hAnsi="Times New Roman" w:cs="Times New Roman"/>
                <w:color w:val="auto"/>
                <w:sz w:val="24"/>
                <w:u w:val="none" w:color="auto"/>
              </w:rPr>
              <w:t>收集后均外售</w:t>
            </w:r>
            <w:r>
              <w:rPr>
                <w:rFonts w:hint="eastAsia" w:cs="Times New Roman"/>
                <w:color w:val="auto"/>
                <w:sz w:val="24"/>
                <w:u w:val="none" w:color="auto"/>
                <w:lang w:eastAsia="zh-CN"/>
              </w:rPr>
              <w:t>物资回收公司回收利用</w:t>
            </w:r>
            <w:r>
              <w:rPr>
                <w:rFonts w:hint="default" w:ascii="Times New Roman" w:hAnsi="Times New Roman" w:cs="Times New Roman"/>
                <w:color w:val="auto"/>
                <w:sz w:val="24"/>
                <w:u w:val="none" w:color="auto"/>
              </w:rPr>
              <w:t>。</w:t>
            </w:r>
            <w:r>
              <w:rPr>
                <w:rFonts w:hint="default" w:ascii="Times New Roman" w:hAnsi="Times New Roman" w:cs="Times New Roman"/>
                <w:color w:val="auto"/>
                <w:sz w:val="24"/>
                <w:szCs w:val="24"/>
                <w:u w:val="none" w:color="auto"/>
              </w:rPr>
              <w:t>生活垃圾集中收集后交环卫部门统一清运处理。</w:t>
            </w:r>
            <w:r>
              <w:rPr>
                <w:rFonts w:hint="default" w:ascii="Times New Roman" w:hAnsi="Times New Roman" w:cs="Times New Roman"/>
                <w:color w:val="auto"/>
                <w:sz w:val="24"/>
                <w:u w:val="none" w:color="auto"/>
                <w:lang w:eastAsia="zh-CN"/>
              </w:rPr>
              <w:t>本项目</w:t>
            </w:r>
            <w:r>
              <w:rPr>
                <w:rFonts w:hint="eastAsia" w:cs="Times New Roman"/>
                <w:color w:val="auto"/>
                <w:sz w:val="24"/>
                <w:u w:val="none" w:color="auto"/>
                <w:lang w:eastAsia="zh-CN"/>
              </w:rPr>
              <w:t>在喷塑过程中收集的粉尘</w:t>
            </w:r>
            <w:r>
              <w:rPr>
                <w:rFonts w:hint="default" w:ascii="Times New Roman" w:hAnsi="Times New Roman" w:cs="Times New Roman"/>
                <w:color w:val="auto"/>
                <w:sz w:val="24"/>
                <w:u w:val="none" w:color="auto"/>
                <w:lang w:val="en-US" w:eastAsia="zh-CN"/>
              </w:rPr>
              <w:t>收集后</w:t>
            </w:r>
            <w:r>
              <w:rPr>
                <w:rFonts w:hint="eastAsia" w:cs="Times New Roman"/>
                <w:color w:val="auto"/>
                <w:sz w:val="24"/>
                <w:u w:val="none" w:color="auto"/>
                <w:lang w:val="en-US" w:eastAsia="zh-CN"/>
              </w:rPr>
              <w:t>回用于生产</w:t>
            </w:r>
            <w:r>
              <w:rPr>
                <w:rFonts w:hint="default" w:ascii="Times New Roman" w:hAnsi="Times New Roman" w:cs="Times New Roman"/>
                <w:color w:val="auto"/>
                <w:sz w:val="24"/>
                <w:u w:val="none" w:color="auto"/>
                <w:lang w:val="en-US" w:eastAsia="zh-CN"/>
              </w:rPr>
              <w:t>。</w:t>
            </w:r>
            <w:r>
              <w:rPr>
                <w:rFonts w:hint="default" w:ascii="Times New Roman" w:hAnsi="Times New Roman" w:cs="Times New Roman"/>
                <w:color w:val="auto"/>
                <w:sz w:val="24"/>
                <w:szCs w:val="32"/>
                <w:u w:val="none" w:color="auto"/>
              </w:rPr>
              <w:t>废</w:t>
            </w:r>
            <w:r>
              <w:rPr>
                <w:rFonts w:hint="default" w:ascii="Times New Roman" w:hAnsi="Times New Roman" w:cs="Times New Roman"/>
                <w:color w:val="auto"/>
                <w:sz w:val="24"/>
                <w:szCs w:val="32"/>
                <w:u w:val="none" w:color="auto"/>
                <w:lang w:eastAsia="zh-CN"/>
              </w:rPr>
              <w:t>水性</w:t>
            </w:r>
            <w:r>
              <w:rPr>
                <w:rFonts w:hint="default" w:ascii="Times New Roman" w:hAnsi="Times New Roman" w:cs="Times New Roman"/>
                <w:color w:val="auto"/>
                <w:sz w:val="24"/>
                <w:szCs w:val="32"/>
                <w:u w:val="none" w:color="auto"/>
              </w:rPr>
              <w:t>漆</w:t>
            </w:r>
            <w:r>
              <w:rPr>
                <w:rFonts w:hint="default" w:ascii="Times New Roman" w:hAnsi="Times New Roman" w:cs="Times New Roman"/>
                <w:color w:val="auto"/>
                <w:sz w:val="24"/>
                <w:szCs w:val="32"/>
                <w:u w:val="none" w:color="auto"/>
                <w:lang w:eastAsia="zh-CN"/>
              </w:rPr>
              <w:t>包装物</w:t>
            </w:r>
            <w:r>
              <w:rPr>
                <w:rFonts w:hint="eastAsia"/>
                <w:color w:val="auto"/>
                <w:sz w:val="24"/>
                <w:szCs w:val="24"/>
                <w:u w:val="none" w:color="auto"/>
                <w:lang w:val="en-US" w:eastAsia="zh-CN"/>
              </w:rPr>
              <w:t>收集后交由环卫部门进行处理</w:t>
            </w:r>
            <w:r>
              <w:rPr>
                <w:rFonts w:hint="eastAsia" w:cs="Times New Roman"/>
                <w:color w:val="auto"/>
                <w:sz w:val="24"/>
                <w:highlight w:val="none"/>
                <w:u w:val="none" w:color="auto"/>
                <w:lang w:eastAsia="zh-CN"/>
              </w:rPr>
              <w:t>。</w:t>
            </w:r>
            <w:r>
              <w:rPr>
                <w:rFonts w:hint="eastAsia" w:hAnsi="宋体" w:eastAsia="宋体" w:cs="Times New Roman"/>
                <w:color w:val="auto"/>
                <w:kern w:val="2"/>
                <w:sz w:val="24"/>
                <w:szCs w:val="22"/>
                <w:u w:val="none" w:color="auto"/>
                <w:lang w:val="en-US" w:eastAsia="zh-CN" w:bidi="ar-SA"/>
              </w:rPr>
              <w:t>项目生产过程中经移动式烟尘净化器收集的粉尘</w:t>
            </w:r>
            <w:r>
              <w:rPr>
                <w:rFonts w:hint="eastAsia" w:hAnsi="宋体" w:cs="Times New Roman"/>
                <w:color w:val="auto"/>
                <w:kern w:val="2"/>
                <w:sz w:val="24"/>
                <w:szCs w:val="22"/>
                <w:u w:val="none" w:color="auto"/>
                <w:lang w:val="en-US" w:eastAsia="zh-CN" w:bidi="ar-SA"/>
              </w:rPr>
              <w:t>，</w:t>
            </w:r>
            <w:r>
              <w:rPr>
                <w:rFonts w:hint="eastAsia" w:ascii="Times New Roman" w:hAnsi="宋体" w:eastAsia="宋体" w:cs="Times New Roman"/>
                <w:color w:val="auto"/>
                <w:kern w:val="2"/>
                <w:sz w:val="24"/>
                <w:szCs w:val="22"/>
                <w:u w:val="none" w:color="auto"/>
                <w:lang w:val="en-US" w:eastAsia="zh-CN" w:bidi="ar-SA"/>
              </w:rPr>
              <w:t>收集后</w:t>
            </w:r>
            <w:r>
              <w:rPr>
                <w:rFonts w:hint="eastAsia" w:hAnsi="宋体" w:cs="Times New Roman"/>
                <w:color w:val="auto"/>
                <w:kern w:val="2"/>
                <w:sz w:val="24"/>
                <w:szCs w:val="22"/>
                <w:u w:val="none" w:color="auto"/>
                <w:lang w:val="en-US" w:eastAsia="zh-CN" w:bidi="ar-SA"/>
              </w:rPr>
              <w:t>交由环卫部门进行处理。</w:t>
            </w:r>
          </w:p>
          <w:p>
            <w:pPr>
              <w:pStyle w:val="34"/>
              <w:spacing w:line="360" w:lineRule="auto"/>
              <w:ind w:left="0" w:leftChars="0" w:firstLine="462" w:firstLineChars="200"/>
              <w:rPr>
                <w:rFonts w:ascii="宋体" w:hAnsi="宋体"/>
                <w:color w:val="auto"/>
                <w:sz w:val="24"/>
                <w:szCs w:val="32"/>
                <w:u w:val="none" w:color="auto"/>
              </w:rPr>
            </w:pPr>
            <w:r>
              <w:rPr>
                <w:rFonts w:hint="eastAsia" w:hAnsi="宋体"/>
                <w:color w:val="auto"/>
                <w:sz w:val="24"/>
                <w:u w:val="none" w:color="auto"/>
                <w:lang w:eastAsia="zh-CN"/>
              </w:rPr>
              <w:t>项目生产过程中产生的危险废物主要为</w:t>
            </w:r>
            <w:r>
              <w:rPr>
                <w:rFonts w:hint="eastAsia" w:ascii="宋体" w:hAnsi="宋体"/>
                <w:color w:val="auto"/>
                <w:sz w:val="24"/>
                <w:szCs w:val="32"/>
                <w:u w:val="none" w:color="auto"/>
                <w:lang w:eastAsia="zh-CN"/>
              </w:rPr>
              <w:t>漆渣、含油抹布手套、废活性炭</w:t>
            </w:r>
            <w:r>
              <w:rPr>
                <w:rFonts w:hint="eastAsia" w:hAnsi="宋体"/>
                <w:color w:val="auto"/>
                <w:sz w:val="24"/>
                <w:u w:val="none" w:color="auto"/>
                <w:lang w:val="en-US" w:eastAsia="zh-CN"/>
              </w:rPr>
              <w:t>，需收集于危险废物储存间，再交由有资质单位进行处理</w:t>
            </w:r>
            <w:r>
              <w:rPr>
                <w:rFonts w:hint="eastAsia" w:ascii="宋体" w:hAnsi="宋体"/>
                <w:color w:val="auto"/>
                <w:sz w:val="24"/>
                <w:szCs w:val="32"/>
                <w:u w:val="none" w:color="auto"/>
              </w:rPr>
              <w:t>。</w:t>
            </w:r>
          </w:p>
          <w:p>
            <w:pPr>
              <w:snapToGrid w:val="0"/>
              <w:spacing w:line="360" w:lineRule="auto"/>
              <w:ind w:firstLine="462" w:firstLineChars="200"/>
              <w:jc w:val="left"/>
              <w:rPr>
                <w:rFonts w:hAnsi="宋体"/>
                <w:color w:val="auto"/>
                <w:sz w:val="24"/>
                <w:szCs w:val="24"/>
                <w:u w:val="none" w:color="auto"/>
              </w:rPr>
            </w:pPr>
            <w:r>
              <w:rPr>
                <w:rFonts w:hint="eastAsia" w:hAnsi="宋体"/>
                <w:color w:val="auto"/>
                <w:sz w:val="24"/>
                <w:szCs w:val="24"/>
                <w:u w:val="none" w:color="auto"/>
              </w:rPr>
              <w:t>本项目营运期产生的各类固体废物均得到了很好的处理和处置，对外环境影响较小。</w:t>
            </w:r>
          </w:p>
          <w:p>
            <w:pPr>
              <w:snapToGrid w:val="0"/>
              <w:spacing w:line="360" w:lineRule="auto"/>
              <w:ind w:firstLine="453" w:firstLineChars="196"/>
              <w:rPr>
                <w:b/>
                <w:bCs/>
                <w:color w:val="auto"/>
                <w:sz w:val="24"/>
                <w:u w:val="none" w:color="auto"/>
              </w:rPr>
            </w:pPr>
            <w:r>
              <w:rPr>
                <w:rFonts w:hint="eastAsia"/>
                <w:b/>
                <w:bCs/>
                <w:color w:val="auto"/>
                <w:sz w:val="24"/>
                <w:u w:val="none" w:color="auto"/>
              </w:rPr>
              <w:t>4、项目可行性分析</w:t>
            </w:r>
          </w:p>
          <w:p>
            <w:pPr>
              <w:snapToGrid w:val="0"/>
              <w:spacing w:line="360" w:lineRule="auto"/>
              <w:ind w:firstLine="453" w:firstLineChars="196"/>
              <w:rPr>
                <w:rFonts w:hAnsi="宋体"/>
                <w:color w:val="auto"/>
                <w:sz w:val="24"/>
                <w:u w:val="none" w:color="auto"/>
              </w:rPr>
            </w:pPr>
            <w:r>
              <w:rPr>
                <w:rFonts w:hint="default" w:ascii="Times New Roman" w:hAnsi="Times New Roman" w:cs="Times New Roman"/>
                <w:color w:val="auto"/>
                <w:sz w:val="24"/>
                <w:szCs w:val="24"/>
                <w:u w:val="none" w:color="auto"/>
              </w:rPr>
              <w:t>本项目为</w:t>
            </w:r>
            <w:r>
              <w:rPr>
                <w:rFonts w:hint="eastAsia" w:cs="Times New Roman"/>
                <w:color w:val="auto"/>
                <w:sz w:val="24"/>
                <w:szCs w:val="24"/>
                <w:u w:val="none" w:color="auto"/>
                <w:lang w:eastAsia="zh-CN"/>
              </w:rPr>
              <w:t>电气设备及器材生产</w:t>
            </w:r>
            <w:r>
              <w:rPr>
                <w:rFonts w:hint="default" w:ascii="Times New Roman" w:hAnsi="Times New Roman" w:cs="Times New Roman"/>
                <w:color w:val="auto"/>
                <w:sz w:val="24"/>
                <w:szCs w:val="24"/>
                <w:u w:val="none" w:color="auto"/>
              </w:rPr>
              <w:t>，根据中华人民共和</w:t>
            </w:r>
            <w:r>
              <w:rPr>
                <w:rFonts w:hint="default" w:ascii="Times New Roman" w:hAnsi="Times New Roman" w:cs="Times New Roman"/>
                <w:color w:val="auto"/>
                <w:sz w:val="24"/>
                <w:szCs w:val="24"/>
                <w:u w:val="none" w:color="auto"/>
                <w:lang w:eastAsia="zh-CN"/>
              </w:rPr>
              <w:t>国发展和改革委员会</w:t>
            </w:r>
            <w:r>
              <w:rPr>
                <w:rFonts w:hint="eastAsia" w:cs="Times New Roman"/>
                <w:color w:val="auto"/>
                <w:sz w:val="24"/>
                <w:szCs w:val="24"/>
                <w:u w:val="none" w:color="auto"/>
                <w:lang w:eastAsia="zh-CN"/>
              </w:rPr>
              <w:t>《</w:t>
            </w:r>
            <w:r>
              <w:rPr>
                <w:rFonts w:hint="eastAsia" w:ascii="Times New Roman" w:hAnsi="Times New Roman" w:cs="Times New Roman"/>
                <w:color w:val="auto"/>
                <w:sz w:val="24"/>
                <w:szCs w:val="24"/>
                <w:u w:val="none" w:color="auto"/>
                <w:lang w:val="en-US" w:eastAsia="zh-CN"/>
              </w:rPr>
              <w:t>产业结构调整指导目录</w:t>
            </w:r>
            <w:r>
              <w:rPr>
                <w:rFonts w:hint="eastAsia" w:cs="Times New Roman"/>
                <w:color w:val="auto"/>
                <w:sz w:val="24"/>
                <w:szCs w:val="24"/>
                <w:u w:val="none" w:color="auto"/>
                <w:lang w:val="en-US" w:eastAsia="zh-CN"/>
              </w:rPr>
              <w:t>》</w:t>
            </w:r>
            <w:r>
              <w:rPr>
                <w:rFonts w:hint="eastAsia" w:ascii="Times New Roman" w:hAnsi="Times New Roman" w:cs="Times New Roman"/>
                <w:color w:val="auto"/>
                <w:sz w:val="24"/>
                <w:szCs w:val="24"/>
                <w:u w:val="none" w:color="auto"/>
                <w:lang w:val="en-US" w:eastAsia="zh-CN"/>
              </w:rPr>
              <w:t>（2019年本）</w:t>
            </w:r>
            <w:r>
              <w:rPr>
                <w:rFonts w:hint="default" w:ascii="Times New Roman" w:hAnsi="Times New Roman" w:cs="Times New Roman"/>
                <w:color w:val="auto"/>
                <w:sz w:val="24"/>
                <w:szCs w:val="24"/>
                <w:u w:val="none" w:color="auto"/>
                <w:lang w:eastAsia="zh-CN"/>
              </w:rPr>
              <w:t>，该类项目不属于限制类和淘汰类项目</w:t>
            </w:r>
            <w:r>
              <w:rPr>
                <w:rFonts w:hint="default" w:ascii="Times New Roman" w:hAnsi="Times New Roman" w:cs="Times New Roman"/>
                <w:color w:val="auto"/>
                <w:sz w:val="24"/>
                <w:szCs w:val="24"/>
                <w:u w:val="none" w:color="auto"/>
              </w:rPr>
              <w:t>，符合国家产业政策要求</w:t>
            </w:r>
            <w:r>
              <w:rPr>
                <w:rFonts w:hint="eastAsia" w:hAnsi="宋体"/>
                <w:color w:val="auto"/>
                <w:sz w:val="24"/>
                <w:u w:val="none" w:color="auto"/>
              </w:rPr>
              <w:t>。</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w:t>
            </w:r>
            <w:r>
              <w:rPr>
                <w:rFonts w:hint="eastAsia" w:hAnsi="宋体"/>
                <w:color w:val="auto"/>
                <w:sz w:val="24"/>
                <w:szCs w:val="24"/>
                <w:u w:val="none" w:color="auto"/>
              </w:rPr>
              <w:t>选址所在地基础设施完善，地理位置优越、交通方便、各类污染物经处理后能实现达标排放，且无与本项目有关的制约因素；平面布置比较合理，布局紧凑、管理方便。因此本项目的选址是可行的。</w:t>
            </w:r>
          </w:p>
          <w:p>
            <w:pPr>
              <w:snapToGrid w:val="0"/>
              <w:spacing w:line="360" w:lineRule="auto"/>
              <w:ind w:firstLine="462" w:firstLineChars="200"/>
              <w:rPr>
                <w:rFonts w:hint="eastAsia" w:ascii="Times New Roman" w:hAnsi="Times New Roman" w:eastAsia="宋体" w:cs="Times New Roman"/>
                <w:b/>
                <w:bCs/>
                <w:color w:val="auto"/>
                <w:sz w:val="24"/>
                <w:szCs w:val="24"/>
                <w:u w:val="none" w:color="auto"/>
                <w:lang w:eastAsia="zh-CN"/>
              </w:rPr>
            </w:pPr>
            <w:r>
              <w:rPr>
                <w:rFonts w:hint="eastAsia" w:cs="Times New Roman"/>
                <w:b/>
                <w:bCs/>
                <w:color w:val="auto"/>
                <w:sz w:val="24"/>
                <w:szCs w:val="24"/>
                <w:u w:val="none" w:color="auto"/>
                <w:lang w:val="en-US" w:eastAsia="zh-CN"/>
              </w:rPr>
              <w:t>5、</w:t>
            </w:r>
            <w:r>
              <w:rPr>
                <w:rFonts w:hint="eastAsia" w:cs="Times New Roman"/>
                <w:b/>
                <w:bCs/>
                <w:color w:val="auto"/>
                <w:sz w:val="24"/>
                <w:szCs w:val="24"/>
                <w:u w:val="none" w:color="auto"/>
                <w:lang w:eastAsia="zh-CN"/>
              </w:rPr>
              <w:t>与湘阴县工业园规划相符性</w:t>
            </w:r>
          </w:p>
          <w:p>
            <w:pPr>
              <w:adjustRightInd w:val="0"/>
              <w:snapToGrid w:val="0"/>
              <w:spacing w:line="360" w:lineRule="auto"/>
              <w:ind w:right="172" w:rightChars="86" w:firstLine="480"/>
              <w:rPr>
                <w:sz w:val="24"/>
                <w:u w:val="none" w:color="auto"/>
              </w:rPr>
            </w:pPr>
            <w:r>
              <w:rPr>
                <w:sz w:val="24"/>
                <w:u w:val="none" w:color="auto"/>
              </w:rPr>
              <w:t>根据湘阴县工业园的产业定位：三主（发展食品加工业、电子信息、</w:t>
            </w:r>
            <w:r>
              <w:rPr>
                <w:b/>
                <w:sz w:val="24"/>
                <w:u w:val="none" w:color="auto"/>
              </w:rPr>
              <w:t>机械制造</w:t>
            </w:r>
            <w:r>
              <w:rPr>
                <w:sz w:val="24"/>
                <w:u w:val="none" w:color="auto"/>
              </w:rPr>
              <w:t>）</w:t>
            </w:r>
            <w:r>
              <w:rPr>
                <w:rFonts w:hint="eastAsia"/>
                <w:sz w:val="24"/>
                <w:u w:val="none" w:color="auto"/>
                <w:lang w:eastAsia="zh-CN"/>
              </w:rPr>
              <w:t>、</w:t>
            </w:r>
            <w:r>
              <w:rPr>
                <w:sz w:val="24"/>
                <w:u w:val="none" w:color="auto"/>
              </w:rPr>
              <w:t>三辅（建材装饰、轻纺服装和传统基础产业）形成工业园的六大产业板块，本项目为</w:t>
            </w:r>
            <w:r>
              <w:rPr>
                <w:rFonts w:hint="eastAsia"/>
                <w:sz w:val="24"/>
                <w:u w:val="none" w:color="auto"/>
                <w:lang w:eastAsia="zh-CN"/>
              </w:rPr>
              <w:t>电气设备</w:t>
            </w:r>
            <w:r>
              <w:rPr>
                <w:rFonts w:hint="eastAsia"/>
                <w:sz w:val="24"/>
                <w:u w:val="none" w:color="auto"/>
              </w:rPr>
              <w:t>生产</w:t>
            </w:r>
            <w:r>
              <w:rPr>
                <w:sz w:val="24"/>
                <w:u w:val="none" w:color="auto"/>
              </w:rPr>
              <w:t>项目，属于</w:t>
            </w:r>
            <w:r>
              <w:rPr>
                <w:rFonts w:hint="eastAsia"/>
                <w:sz w:val="24"/>
                <w:u w:val="none" w:color="auto"/>
              </w:rPr>
              <w:t>机械制造</w:t>
            </w:r>
            <w:r>
              <w:rPr>
                <w:sz w:val="24"/>
                <w:u w:val="none" w:color="auto"/>
              </w:rPr>
              <w:t>，因此本项目的建设符合湘阴县工业园的产业定位。</w:t>
            </w:r>
          </w:p>
          <w:p>
            <w:pPr>
              <w:snapToGrid w:val="0"/>
              <w:spacing w:line="360" w:lineRule="auto"/>
              <w:ind w:firstLine="453" w:firstLineChars="196"/>
              <w:rPr>
                <w:rFonts w:hint="eastAsia"/>
                <w:b/>
                <w:bCs/>
                <w:color w:val="auto"/>
                <w:sz w:val="24"/>
                <w:u w:val="none" w:color="auto"/>
              </w:rPr>
            </w:pPr>
            <w:r>
              <w:rPr>
                <w:sz w:val="24"/>
                <w:u w:val="none" w:color="auto"/>
              </w:rPr>
              <w:t>与湘阴县工业园准入条件的相符性</w:t>
            </w:r>
            <w:r>
              <w:rPr>
                <w:rFonts w:hint="eastAsia"/>
                <w:sz w:val="24"/>
                <w:u w:val="none" w:color="auto"/>
              </w:rPr>
              <w:t>：根据湖南省环境保护厅文件湘环评【2013】305号 关于湖南湘阴工业园区环境影响报告书的批复中（二）“严格执行园区入园企业准入制度，严禁限制三类工业入驻，禁止大型喷涂、涉及酸雾排放等气型污染严重企业入驻；禁止涉重金属企业入驻”，本项目为</w:t>
            </w:r>
            <w:r>
              <w:rPr>
                <w:rFonts w:hint="eastAsia"/>
                <w:sz w:val="24"/>
                <w:u w:val="none" w:color="auto"/>
                <w:lang w:eastAsia="zh-CN"/>
              </w:rPr>
              <w:t>电气设备</w:t>
            </w:r>
            <w:r>
              <w:rPr>
                <w:rFonts w:hint="eastAsia"/>
                <w:sz w:val="24"/>
                <w:u w:val="none" w:color="auto"/>
              </w:rPr>
              <w:t>生产，不属于三类工业且不涉及大型喷涂、涉酸雾严重</w:t>
            </w:r>
            <w:r>
              <w:rPr>
                <w:rFonts w:hint="eastAsia"/>
                <w:sz w:val="24"/>
                <w:u w:val="none" w:color="auto"/>
                <w:lang w:eastAsia="zh-CN"/>
              </w:rPr>
              <w:t>和涉重金属</w:t>
            </w:r>
            <w:r>
              <w:rPr>
                <w:rFonts w:hint="eastAsia"/>
                <w:sz w:val="24"/>
                <w:u w:val="none" w:color="auto"/>
              </w:rPr>
              <w:t>的企业，因此本项目与园区准入条件不违背</w:t>
            </w:r>
          </w:p>
          <w:p>
            <w:pPr>
              <w:snapToGrid w:val="0"/>
              <w:spacing w:line="360" w:lineRule="auto"/>
              <w:ind w:firstLine="453" w:firstLineChars="196"/>
              <w:rPr>
                <w:b/>
                <w:bCs/>
                <w:color w:val="auto"/>
                <w:sz w:val="24"/>
                <w:u w:val="none" w:color="auto"/>
              </w:rPr>
            </w:pPr>
            <w:r>
              <w:rPr>
                <w:rFonts w:hint="eastAsia"/>
                <w:b/>
                <w:bCs/>
                <w:color w:val="auto"/>
                <w:sz w:val="24"/>
                <w:u w:val="none" w:color="auto"/>
                <w:lang w:val="en-US" w:eastAsia="zh-CN"/>
              </w:rPr>
              <w:t>6</w:t>
            </w:r>
            <w:r>
              <w:rPr>
                <w:rFonts w:hint="eastAsia"/>
                <w:b/>
                <w:bCs/>
                <w:color w:val="auto"/>
                <w:sz w:val="24"/>
                <w:u w:val="none" w:color="auto"/>
              </w:rPr>
              <w:t>、项目建设环境制约因素</w:t>
            </w:r>
          </w:p>
          <w:p>
            <w:pPr>
              <w:snapToGrid w:val="0"/>
              <w:spacing w:line="360" w:lineRule="auto"/>
              <w:ind w:firstLine="453" w:firstLineChars="196"/>
              <w:rPr>
                <w:rFonts w:hAnsi="宋体"/>
                <w:color w:val="auto"/>
                <w:sz w:val="24"/>
                <w:u w:val="none" w:color="auto"/>
              </w:rPr>
            </w:pPr>
            <w:r>
              <w:rPr>
                <w:rFonts w:hint="eastAsia" w:hAnsi="宋体"/>
                <w:color w:val="auto"/>
                <w:sz w:val="24"/>
                <w:u w:val="none" w:color="auto"/>
              </w:rPr>
              <w:t>本项目建设没有</w:t>
            </w:r>
            <w:bookmarkStart w:id="14" w:name="OLE_LINK19"/>
            <w:r>
              <w:rPr>
                <w:rFonts w:hint="eastAsia" w:hAnsi="宋体"/>
                <w:color w:val="auto"/>
                <w:sz w:val="24"/>
                <w:u w:val="none" w:color="auto"/>
              </w:rPr>
              <w:t>明显的环境制约因素</w:t>
            </w:r>
            <w:bookmarkEnd w:id="14"/>
            <w:r>
              <w:rPr>
                <w:rFonts w:hint="eastAsia" w:hAnsi="宋体"/>
                <w:color w:val="auto"/>
                <w:sz w:val="24"/>
                <w:u w:val="none" w:color="auto"/>
              </w:rPr>
              <w:t>。</w:t>
            </w:r>
          </w:p>
          <w:p>
            <w:pPr>
              <w:snapToGrid w:val="0"/>
              <w:spacing w:line="480" w:lineRule="auto"/>
              <w:ind w:firstLine="462" w:firstLineChars="200"/>
              <w:rPr>
                <w:b/>
                <w:bCs w:val="0"/>
                <w:color w:val="auto"/>
                <w:sz w:val="24"/>
                <w:szCs w:val="24"/>
                <w:u w:val="none" w:color="auto"/>
              </w:rPr>
            </w:pPr>
            <w:r>
              <w:rPr>
                <w:rFonts w:hint="eastAsia"/>
                <w:b/>
                <w:bCs w:val="0"/>
                <w:color w:val="auto"/>
                <w:sz w:val="24"/>
                <w:szCs w:val="24"/>
                <w:u w:val="none" w:color="auto"/>
              </w:rPr>
              <w:t>总</w:t>
            </w:r>
            <w:r>
              <w:rPr>
                <w:rFonts w:hint="eastAsia"/>
                <w:b/>
                <w:bCs w:val="0"/>
                <w:color w:val="auto"/>
                <w:sz w:val="24"/>
                <w:szCs w:val="24"/>
                <w:u w:val="none" w:color="auto"/>
                <w:lang w:eastAsia="zh-CN"/>
              </w:rPr>
              <w:t>体</w:t>
            </w:r>
            <w:r>
              <w:rPr>
                <w:b/>
                <w:bCs w:val="0"/>
                <w:color w:val="auto"/>
                <w:sz w:val="24"/>
                <w:szCs w:val="24"/>
                <w:u w:val="none" w:color="auto"/>
              </w:rPr>
              <w:t>结论</w:t>
            </w:r>
          </w:p>
          <w:p>
            <w:pPr>
              <w:snapToGrid w:val="0"/>
              <w:spacing w:line="480" w:lineRule="auto"/>
              <w:ind w:firstLine="453" w:firstLineChars="196"/>
              <w:rPr>
                <w:rFonts w:hint="eastAsia" w:hAnsi="宋体"/>
                <w:b/>
                <w:bCs w:val="0"/>
                <w:color w:val="auto"/>
                <w:sz w:val="24"/>
                <w:szCs w:val="24"/>
                <w:u w:val="none" w:color="auto"/>
              </w:rPr>
            </w:pPr>
            <w:r>
              <w:rPr>
                <w:rFonts w:hint="eastAsia" w:hAnsi="宋体"/>
                <w:b/>
                <w:bCs w:val="0"/>
                <w:color w:val="auto"/>
                <w:sz w:val="24"/>
                <w:u w:val="none" w:color="auto"/>
              </w:rPr>
              <w:t>综上所述，</w:t>
            </w:r>
            <w:r>
              <w:rPr>
                <w:rFonts w:hint="eastAsia"/>
                <w:b/>
                <w:bCs w:val="0"/>
                <w:color w:val="auto"/>
                <w:sz w:val="24"/>
                <w:szCs w:val="24"/>
                <w:u w:val="none" w:color="auto"/>
                <w:lang w:eastAsia="zh-CN"/>
              </w:rPr>
              <w:t>湖南湘变电气有限责任公司“文星”节能变压器产品革新及技术改造项目</w:t>
            </w:r>
            <w:r>
              <w:rPr>
                <w:rFonts w:hint="eastAsia" w:hAnsi="宋体"/>
                <w:b/>
                <w:bCs w:val="0"/>
                <w:color w:val="auto"/>
                <w:sz w:val="24"/>
                <w:u w:val="none" w:color="auto"/>
              </w:rPr>
              <w:t>建设符合国家产业政策，平面布局合理，选址可行。在认真落实本环评报告提出的各项环保措施的前提下，废气、废水、噪声可实现达标排放，固废可得到有效处置，项目建设及营运</w:t>
            </w:r>
            <w:r>
              <w:rPr>
                <w:rFonts w:hint="eastAsia" w:hAnsi="宋体"/>
                <w:b/>
                <w:bCs w:val="0"/>
                <w:color w:val="auto"/>
                <w:sz w:val="24"/>
                <w:szCs w:val="24"/>
                <w:u w:val="none" w:color="auto"/>
              </w:rPr>
              <w:t>对环境保护目标及周围环境影响较小。从环境保护角度分析，本项目的建设是可行的。</w:t>
            </w:r>
          </w:p>
          <w:p>
            <w:pPr>
              <w:snapToGrid w:val="0"/>
              <w:spacing w:line="360" w:lineRule="auto"/>
              <w:ind w:firstLine="453" w:firstLineChars="196"/>
              <w:rPr>
                <w:b/>
                <w:color w:val="auto"/>
                <w:sz w:val="24"/>
                <w:szCs w:val="24"/>
                <w:u w:val="none" w:color="auto"/>
              </w:rPr>
            </w:pPr>
            <w:r>
              <w:rPr>
                <w:b/>
                <w:color w:val="auto"/>
                <w:sz w:val="24"/>
                <w:szCs w:val="24"/>
                <w:u w:val="none" w:color="auto"/>
              </w:rPr>
              <w:t xml:space="preserve"> </w:t>
            </w:r>
            <w:r>
              <w:rPr>
                <w:rFonts w:hint="eastAsia"/>
                <w:b/>
                <w:color w:val="auto"/>
                <w:sz w:val="24"/>
                <w:szCs w:val="24"/>
                <w:u w:val="none" w:color="auto"/>
              </w:rPr>
              <w:t>建议与要求</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1</w:t>
            </w:r>
            <w:r>
              <w:rPr>
                <w:rFonts w:hint="eastAsia" w:hAnsi="宋体"/>
                <w:color w:val="auto"/>
                <w:sz w:val="24"/>
                <w:szCs w:val="24"/>
                <w:u w:val="none" w:color="auto"/>
              </w:rPr>
              <w:t>）建设单位应加强项目的环境管理、专人负责，把环保措施指标纳入日常管理规划中，及时消除污染隐患，避免对环境带来污染影响。</w:t>
            </w:r>
          </w:p>
          <w:p>
            <w:pPr>
              <w:snapToGrid w:val="0"/>
              <w:spacing w:line="360" w:lineRule="auto"/>
              <w:ind w:firstLine="453" w:firstLineChars="196"/>
              <w:rPr>
                <w:rFonts w:hAnsi="宋体"/>
                <w:color w:val="auto"/>
                <w:sz w:val="24"/>
                <w:szCs w:val="24"/>
                <w:u w:val="none" w:color="auto"/>
              </w:rPr>
            </w:pPr>
            <w:r>
              <w:rPr>
                <w:rFonts w:hint="eastAsia" w:hAnsi="宋体"/>
                <w:color w:val="auto"/>
                <w:sz w:val="24"/>
                <w:szCs w:val="24"/>
                <w:u w:val="none" w:color="auto"/>
              </w:rPr>
              <w:t>（</w:t>
            </w:r>
            <w:r>
              <w:rPr>
                <w:rFonts w:hint="eastAsia" w:hAnsi="宋体"/>
                <w:color w:val="auto"/>
                <w:sz w:val="24"/>
                <w:szCs w:val="24"/>
                <w:u w:val="none" w:color="auto"/>
                <w:lang w:val="en-US" w:eastAsia="zh-CN"/>
              </w:rPr>
              <w:t>2</w:t>
            </w:r>
            <w:r>
              <w:rPr>
                <w:rFonts w:hint="eastAsia" w:hAnsi="宋体"/>
                <w:color w:val="auto"/>
                <w:sz w:val="24"/>
                <w:szCs w:val="24"/>
                <w:u w:val="none" w:color="auto"/>
              </w:rPr>
              <w:t>）加强废气处理设施的管理，确保设施正常运行并达设计处理效率，保证废气达标排放。正常生产情况下，严禁废气处理装置停运和超标排污。</w:t>
            </w:r>
          </w:p>
          <w:p>
            <w:pPr>
              <w:snapToGrid w:val="0"/>
              <w:spacing w:line="360" w:lineRule="auto"/>
              <w:ind w:firstLine="462" w:firstLineChars="200"/>
              <w:rPr>
                <w:rFonts w:hint="eastAsia" w:hAnsi="宋体" w:eastAsia="宋体"/>
                <w:color w:val="auto"/>
                <w:sz w:val="24"/>
                <w:szCs w:val="24"/>
                <w:u w:val="none" w:color="auto"/>
                <w:lang w:eastAsia="zh-CN"/>
              </w:rPr>
            </w:pPr>
            <w:r>
              <w:rPr>
                <w:rFonts w:hint="eastAsia" w:hAnsi="宋体"/>
                <w:color w:val="auto"/>
                <w:sz w:val="24"/>
                <w:szCs w:val="24"/>
                <w:u w:val="none" w:color="auto"/>
              </w:rPr>
              <w:t>（</w:t>
            </w:r>
            <w:r>
              <w:rPr>
                <w:rFonts w:hint="eastAsia" w:hAnsi="宋体"/>
                <w:color w:val="auto"/>
                <w:sz w:val="24"/>
                <w:szCs w:val="24"/>
                <w:u w:val="none" w:color="auto"/>
                <w:lang w:val="en-US" w:eastAsia="zh-CN"/>
              </w:rPr>
              <w:t>3</w:t>
            </w:r>
            <w:r>
              <w:rPr>
                <w:rFonts w:hint="eastAsia" w:hAnsi="宋体"/>
                <w:color w:val="auto"/>
                <w:sz w:val="24"/>
                <w:szCs w:val="24"/>
                <w:u w:val="none" w:color="auto"/>
              </w:rPr>
              <w:t>）</w:t>
            </w:r>
            <w:r>
              <w:rPr>
                <w:rFonts w:hint="eastAsia" w:hAnsi="宋体"/>
                <w:color w:val="auto"/>
                <w:sz w:val="24"/>
                <w:szCs w:val="24"/>
                <w:u w:val="none" w:color="auto"/>
                <w:lang w:eastAsia="zh-CN"/>
              </w:rPr>
              <w:t>建设单位应编制突发环境事件应急预案，并按照预案要求进行建设。</w:t>
            </w:r>
          </w:p>
          <w:p>
            <w:pPr>
              <w:snapToGrid w:val="0"/>
              <w:spacing w:line="360" w:lineRule="auto"/>
              <w:ind w:firstLine="462" w:firstLineChars="200"/>
              <w:rPr>
                <w:rFonts w:hAnsi="宋体"/>
                <w:b/>
                <w:color w:val="auto"/>
                <w:sz w:val="24"/>
                <w:szCs w:val="24"/>
                <w:u w:val="none" w:color="auto"/>
              </w:rPr>
            </w:pPr>
            <w:r>
              <w:rPr>
                <w:rFonts w:hint="eastAsia" w:hAnsi="宋体"/>
                <w:color w:val="auto"/>
                <w:sz w:val="24"/>
                <w:szCs w:val="24"/>
                <w:u w:val="none" w:color="auto"/>
                <w:lang w:eastAsia="zh-CN"/>
              </w:rPr>
              <w:t>（</w:t>
            </w:r>
            <w:r>
              <w:rPr>
                <w:rFonts w:hint="eastAsia" w:hAnsi="宋体"/>
                <w:color w:val="auto"/>
                <w:sz w:val="24"/>
                <w:szCs w:val="24"/>
                <w:u w:val="none" w:color="auto"/>
                <w:lang w:val="en-US" w:eastAsia="zh-CN"/>
              </w:rPr>
              <w:t>4</w:t>
            </w:r>
            <w:r>
              <w:rPr>
                <w:rFonts w:hint="eastAsia" w:hAnsi="宋体"/>
                <w:color w:val="auto"/>
                <w:sz w:val="24"/>
                <w:szCs w:val="24"/>
                <w:u w:val="none" w:color="auto"/>
                <w:lang w:eastAsia="zh-CN"/>
              </w:rPr>
              <w:t>）</w:t>
            </w:r>
            <w:r>
              <w:rPr>
                <w:rFonts w:hint="eastAsia" w:hAnsi="宋体"/>
                <w:color w:val="auto"/>
                <w:sz w:val="24"/>
                <w:szCs w:val="24"/>
                <w:u w:val="none" w:color="auto"/>
              </w:rPr>
              <w:t>本项目基础资料由建设单位提供，并对其准确性负责。建设单位以后若增加本报告表所涉及之外的污染源或对其功能进行改变，则应按要求向有关环保部门进行申报，并按污染控制目标采取相应的污染治理措施。</w:t>
            </w:r>
          </w:p>
        </w:tc>
      </w:tr>
    </w:tbl>
    <w:p>
      <w:pPr>
        <w:rPr>
          <w:color w:val="auto"/>
          <w:u w:val="none" w:color="auto"/>
        </w:rPr>
      </w:pPr>
    </w:p>
    <w:p>
      <w:pPr>
        <w:pStyle w:val="6"/>
        <w:bidi w:val="0"/>
        <w:rPr>
          <w:rFonts w:hint="eastAsia"/>
          <w:color w:val="auto"/>
          <w:u w:val="none" w:color="auto"/>
          <w:lang w:eastAsia="zh-CN"/>
        </w:rPr>
      </w:pPr>
      <w:r>
        <w:rPr>
          <w:rFonts w:hint="eastAsia"/>
          <w:color w:val="auto"/>
          <w:u w:val="none" w:color="auto"/>
          <w:lang w:eastAsia="zh-CN"/>
        </w:rPr>
        <w:t>附表：</w:t>
      </w:r>
    </w:p>
    <w:p>
      <w:pPr>
        <w:spacing w:line="360" w:lineRule="auto"/>
        <w:jc w:val="center"/>
        <w:rPr>
          <w:rFonts w:hint="default" w:ascii="Times New Roman" w:hAnsi="Times New Roman" w:eastAsia="宋体" w:cs="Times New Roman"/>
          <w:b/>
          <w:bCs/>
          <w:color w:val="auto"/>
          <w:sz w:val="28"/>
          <w:szCs w:val="28"/>
          <w:u w:val="none" w:color="auto"/>
        </w:rPr>
      </w:pPr>
      <w:r>
        <w:rPr>
          <w:rFonts w:hint="default" w:ascii="Times New Roman" w:hAnsi="Times New Roman" w:eastAsia="宋体" w:cs="Times New Roman"/>
          <w:b/>
          <w:bCs/>
          <w:color w:val="auto"/>
          <w:sz w:val="28"/>
          <w:szCs w:val="28"/>
          <w:u w:val="none" w:color="auto"/>
          <w:lang w:val="en-US" w:eastAsia="zh-CN"/>
        </w:rPr>
        <w:t xml:space="preserve"> </w:t>
      </w:r>
      <w:r>
        <w:rPr>
          <w:rFonts w:hint="default" w:ascii="Times New Roman" w:hAnsi="Times New Roman" w:eastAsia="宋体" w:cs="Times New Roman"/>
          <w:b/>
          <w:bCs/>
          <w:color w:val="auto"/>
          <w:sz w:val="28"/>
          <w:szCs w:val="28"/>
          <w:u w:val="none" w:color="auto"/>
        </w:rPr>
        <w:t>建设项目大气环境影响评价自查表</w:t>
      </w:r>
    </w:p>
    <w:tbl>
      <w:tblPr>
        <w:tblStyle w:val="41"/>
        <w:tblW w:w="95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541"/>
        <w:gridCol w:w="1087"/>
        <w:gridCol w:w="110"/>
        <w:gridCol w:w="236"/>
        <w:gridCol w:w="107"/>
        <w:gridCol w:w="417"/>
        <w:gridCol w:w="528"/>
        <w:gridCol w:w="422"/>
        <w:gridCol w:w="205"/>
        <w:gridCol w:w="311"/>
        <w:gridCol w:w="487"/>
        <w:gridCol w:w="54"/>
        <w:gridCol w:w="335"/>
        <w:gridCol w:w="673"/>
        <w:gridCol w:w="1"/>
        <w:gridCol w:w="178"/>
        <w:gridCol w:w="253"/>
        <w:gridCol w:w="229"/>
        <w:gridCol w:w="583"/>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43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工作内容</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b/>
                <w:color w:val="auto"/>
                <w:kern w:val="0"/>
                <w:sz w:val="22"/>
                <w:szCs w:val="22"/>
                <w:u w:val="none" w:color="auto"/>
              </w:rPr>
            </w:pPr>
            <w:r>
              <w:rPr>
                <w:rFonts w:hint="default" w:ascii="Times New Roman" w:hAnsi="Times New Roman" w:eastAsia="宋体" w:cs="Times New Roman"/>
                <w:b/>
                <w:color w:val="auto"/>
                <w:kern w:val="0"/>
                <w:sz w:val="22"/>
                <w:szCs w:val="22"/>
                <w:u w:val="none" w:color="auto"/>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评价等级与范围</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评价等级</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一级□</w:t>
            </w:r>
          </w:p>
        </w:tc>
        <w:tc>
          <w:tcPr>
            <w:tcW w:w="3016"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二级</w:t>
            </w:r>
            <w:r>
              <w:rPr>
                <w:rFonts w:hint="default" w:ascii="Times New Roman" w:hAnsi="Times New Roman" w:eastAsia="宋体" w:cs="Times New Roman"/>
                <w:color w:val="auto"/>
                <w:kern w:val="0"/>
                <w:sz w:val="22"/>
                <w:szCs w:val="22"/>
                <w:u w:val="none" w:color="auto"/>
              </w:rPr>
              <w:sym w:font="Wingdings 2" w:char="00A3"/>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三级</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评价范围</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r>
              <w:rPr>
                <w:rFonts w:hint="default" w:ascii="Times New Roman" w:hAnsi="Times New Roman" w:eastAsia="宋体" w:cs="Times New Roman"/>
                <w:color w:val="auto"/>
                <w:kern w:val="0"/>
                <w:sz w:val="22"/>
                <w:szCs w:val="22"/>
                <w:u w:val="none" w:color="auto"/>
              </w:rPr>
              <w:sym w:font="Wingdings 2" w:char="00A3"/>
            </w:r>
          </w:p>
        </w:tc>
        <w:tc>
          <w:tcPr>
            <w:tcW w:w="3016"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因子</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vertAlign w:val="subscript"/>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排放量</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≥2000t/a□</w:t>
            </w:r>
          </w:p>
        </w:tc>
        <w:tc>
          <w:tcPr>
            <w:tcW w:w="3016"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500~2000t/a□</w:t>
            </w:r>
          </w:p>
        </w:tc>
        <w:tc>
          <w:tcPr>
            <w:tcW w:w="210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＜500t/a</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评价因子</w:t>
            </w:r>
          </w:p>
        </w:tc>
        <w:tc>
          <w:tcPr>
            <w:tcW w:w="4973" w:type="dxa"/>
            <w:gridSpan w:val="14"/>
            <w:tcBorders>
              <w:tl2br w:val="nil"/>
              <w:tr2bl w:val="nil"/>
            </w:tcBorders>
            <w:noWrap w:val="0"/>
            <w:vAlign w:val="center"/>
          </w:tcPr>
          <w:p>
            <w:pPr>
              <w:widowControl/>
              <w:adjustRightInd w:val="0"/>
              <w:snapToGrid w:val="0"/>
              <w:rPr>
                <w:rFonts w:hint="default" w:ascii="Times New Roman" w:hAnsi="Times New Roman"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基本污染物（SO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、NO</w:t>
            </w:r>
            <w:r>
              <w:rPr>
                <w:rFonts w:hint="default" w:ascii="Times New Roman" w:hAnsi="Times New Roman" w:cs="Times New Roman"/>
                <w:color w:val="auto"/>
                <w:kern w:val="0"/>
                <w:sz w:val="22"/>
                <w:szCs w:val="22"/>
                <w:u w:val="none" w:color="auto"/>
                <w:vertAlign w:val="subscript"/>
              </w:rPr>
              <w:t>2</w:t>
            </w:r>
            <w:r>
              <w:rPr>
                <w:rFonts w:hint="default" w:ascii="Times New Roman" w:hAnsi="Times New Roman" w:cs="Times New Roman"/>
                <w:color w:val="auto"/>
                <w:kern w:val="0"/>
                <w:sz w:val="22"/>
                <w:szCs w:val="22"/>
                <w:u w:val="none" w:color="auto"/>
              </w:rPr>
              <w:t>、</w:t>
            </w:r>
            <w:r>
              <w:rPr>
                <w:rFonts w:hint="default" w:ascii="Times New Roman" w:hAnsi="Times New Roman" w:cs="Times New Roman"/>
                <w:color w:val="auto"/>
                <w:kern w:val="0"/>
                <w:sz w:val="22"/>
                <w:szCs w:val="22"/>
                <w:u w:val="none" w:color="auto"/>
                <w:lang w:val="en-US" w:eastAsia="zh-CN"/>
              </w:rPr>
              <w:t>CO、O</w:t>
            </w:r>
            <w:r>
              <w:rPr>
                <w:rFonts w:hint="default" w:ascii="Times New Roman" w:hAnsi="Times New Roman" w:cs="Times New Roman"/>
                <w:color w:val="auto"/>
                <w:kern w:val="0"/>
                <w:sz w:val="22"/>
                <w:szCs w:val="22"/>
                <w:u w:val="none" w:color="auto"/>
                <w:vertAlign w:val="subscript"/>
                <w:lang w:val="en-US" w:eastAsia="zh-CN"/>
              </w:rPr>
              <w:t>3</w:t>
            </w:r>
            <w:r>
              <w:rPr>
                <w:rFonts w:hint="default" w:ascii="Times New Roman" w:hAnsi="Times New Roman" w:cs="Times New Roman"/>
                <w:color w:val="auto"/>
                <w:kern w:val="0"/>
                <w:sz w:val="22"/>
                <w:szCs w:val="22"/>
                <w:u w:val="none" w:color="auto"/>
                <w:lang w:val="en-US" w:eastAsia="zh-CN"/>
              </w:rPr>
              <w:t>、</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10</w:t>
            </w:r>
            <w:r>
              <w:rPr>
                <w:rFonts w:hint="default" w:ascii="Times New Roman" w:hAnsi="Times New Roman" w:cs="Times New Roman"/>
                <w:color w:val="auto"/>
                <w:kern w:val="0"/>
                <w:sz w:val="22"/>
                <w:szCs w:val="22"/>
                <w:u w:val="none" w:color="auto"/>
              </w:rPr>
              <w:t>、PM</w:t>
            </w:r>
            <w:r>
              <w:rPr>
                <w:rFonts w:hint="default" w:ascii="Times New Roman" w:hAnsi="Times New Roman" w:cs="Times New Roman"/>
                <w:color w:val="auto"/>
                <w:kern w:val="0"/>
                <w:sz w:val="22"/>
                <w:szCs w:val="22"/>
                <w:u w:val="none" w:color="auto"/>
                <w:vertAlign w:val="subscript"/>
              </w:rPr>
              <w:t>2.5</w:t>
            </w:r>
            <w:r>
              <w:rPr>
                <w:rFonts w:hint="default" w:ascii="Times New Roman" w:hAnsi="Times New Roman" w:cs="Times New Roman"/>
                <w:color w:val="auto"/>
                <w:kern w:val="0"/>
                <w:sz w:val="22"/>
                <w:szCs w:val="22"/>
                <w:u w:val="none" w:color="auto"/>
              </w:rPr>
              <w:t>）</w:t>
            </w:r>
          </w:p>
          <w:p>
            <w:pPr>
              <w:keepNext w:val="0"/>
              <w:keepLines w:val="0"/>
              <w:pageBreakBefore w:val="0"/>
              <w:widowControl w:val="0"/>
              <w:kinsoku/>
              <w:overflowPunct/>
              <w:topLinePunct w:val="0"/>
              <w:autoSpaceDE/>
              <w:autoSpaceDN/>
              <w:bidi w:val="0"/>
              <w:adjustRightInd/>
              <w:snapToGrid/>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rPr>
              <w:t>其他污染物（</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cs="Times New Roman"/>
                <w:color w:val="auto"/>
                <w:sz w:val="22"/>
                <w:szCs w:val="22"/>
                <w:u w:val="none" w:color="auto"/>
                <w:lang w:val="en-US" w:eastAsia="zh-CN"/>
              </w:rPr>
              <w:t xml:space="preserve">/ </w:t>
            </w:r>
            <w:r>
              <w:rPr>
                <w:rFonts w:hint="default" w:ascii="Times New Roman" w:hAnsi="Times New Roman" w:cs="Times New Roman"/>
                <w:color w:val="auto"/>
                <w:sz w:val="22"/>
                <w:szCs w:val="22"/>
                <w:u w:val="none" w:color="auto"/>
                <w:lang w:eastAsia="zh-CN"/>
              </w:rPr>
              <w:t>）</w:t>
            </w:r>
            <w:r>
              <w:rPr>
                <w:rFonts w:hint="default" w:ascii="Times New Roman" w:hAnsi="Times New Roman" w:eastAsia="宋体" w:cs="Times New Roman"/>
                <w:color w:val="auto"/>
                <w:kern w:val="0"/>
                <w:sz w:val="22"/>
                <w:szCs w:val="22"/>
                <w:u w:val="none" w:color="auto"/>
              </w:rPr>
              <w:t xml:space="preserve">   </w:t>
            </w:r>
          </w:p>
        </w:tc>
        <w:tc>
          <w:tcPr>
            <w:tcW w:w="2104" w:type="dxa"/>
            <w:gridSpan w:val="5"/>
            <w:tcBorders>
              <w:tl2br w:val="nil"/>
              <w:tr2bl w:val="nil"/>
            </w:tcBorders>
            <w:noWrap w:val="0"/>
            <w:vAlign w:val="center"/>
          </w:tcPr>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w:t>
            </w:r>
          </w:p>
          <w:p>
            <w:pPr>
              <w:pStyle w:val="4"/>
              <w:keepNext w:val="0"/>
              <w:keepLines w:val="0"/>
              <w:pageBreakBefore w:val="0"/>
              <w:widowControl w:val="0"/>
              <w:kinsoku/>
              <w:wordWrap w:val="0"/>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标准</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评价标准</w:t>
            </w:r>
          </w:p>
        </w:tc>
        <w:tc>
          <w:tcPr>
            <w:tcW w:w="1540"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国家标准</w:t>
            </w:r>
            <w:r>
              <w:rPr>
                <w:rFonts w:hint="default" w:ascii="Times New Roman" w:hAnsi="Times New Roman" w:eastAsia="宋体" w:cs="Times New Roman"/>
                <w:color w:val="auto"/>
                <w:kern w:val="0"/>
                <w:sz w:val="22"/>
                <w:szCs w:val="22"/>
                <w:u w:val="none" w:color="auto"/>
              </w:rPr>
              <w:sym w:font="Wingdings 2" w:char="0052"/>
            </w:r>
          </w:p>
        </w:tc>
        <w:tc>
          <w:tcPr>
            <w:tcW w:w="1883"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地方标准</w:t>
            </w:r>
            <w:r>
              <w:rPr>
                <w:rFonts w:hint="default" w:ascii="Times New Roman" w:hAnsi="Times New Roman" w:eastAsia="宋体" w:cs="Times New Roman"/>
                <w:color w:val="auto"/>
                <w:kern w:val="0"/>
                <w:sz w:val="22"/>
                <w:szCs w:val="22"/>
                <w:u w:val="none" w:color="auto"/>
              </w:rPr>
              <w:sym w:font="Wingdings 2" w:char="00A3"/>
            </w:r>
          </w:p>
        </w:tc>
        <w:tc>
          <w:tcPr>
            <w:tcW w:w="1981"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附录D□</w:t>
            </w:r>
          </w:p>
        </w:tc>
        <w:tc>
          <w:tcPr>
            <w:tcW w:w="1673"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环境功能区</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 □</w:t>
            </w:r>
          </w:p>
        </w:tc>
        <w:tc>
          <w:tcPr>
            <w:tcW w:w="3015"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二类区 </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一类区和二类区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评价基准年</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w:t>
            </w:r>
            <w:r>
              <w:rPr>
                <w:rFonts w:hint="default" w:ascii="Times New Roman" w:hAnsi="Times New Roman" w:eastAsia="宋体" w:cs="Times New Roman"/>
                <w:color w:val="auto"/>
                <w:kern w:val="0"/>
                <w:sz w:val="22"/>
                <w:szCs w:val="22"/>
                <w:u w:val="none" w:color="auto"/>
                <w:lang w:val="en-US" w:eastAsia="zh-CN"/>
              </w:rPr>
              <w:t>2018</w:t>
            </w:r>
            <w:r>
              <w:rPr>
                <w:rFonts w:hint="default" w:ascii="Times New Roman" w:hAnsi="Times New Roman" w:eastAsia="宋体" w:cs="Times New Roman"/>
                <w:color w:val="auto"/>
                <w:kern w:val="0"/>
                <w:sz w:val="22"/>
                <w:szCs w:val="22"/>
                <w:u w:val="none" w:color="auto"/>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环境空气质量现状调查数据来源</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长期例行监测</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数据□</w:t>
            </w:r>
          </w:p>
        </w:tc>
        <w:tc>
          <w:tcPr>
            <w:tcW w:w="3015"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主管部门发布的数据</w:t>
            </w:r>
            <w:r>
              <w:rPr>
                <w:rFonts w:hint="default" w:ascii="Times New Roman" w:hAnsi="Times New Roman" w:eastAsia="宋体" w:cs="Times New Roman"/>
                <w:color w:val="auto"/>
                <w:kern w:val="0"/>
                <w:sz w:val="22"/>
                <w:szCs w:val="22"/>
                <w:u w:val="none" w:color="auto"/>
              </w:rPr>
              <w:sym w:font="Wingdings 2" w:char="0052"/>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现状补充监测</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现状评价</w:t>
            </w:r>
          </w:p>
        </w:tc>
        <w:tc>
          <w:tcPr>
            <w:tcW w:w="3423" w:type="dxa"/>
            <w:gridSpan w:val="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达标区 </w:t>
            </w:r>
            <w:r>
              <w:rPr>
                <w:rFonts w:hint="default" w:ascii="Times New Roman" w:hAnsi="Times New Roman" w:eastAsia="宋体" w:cs="Times New Roman"/>
                <w:color w:val="auto"/>
                <w:kern w:val="0"/>
                <w:sz w:val="22"/>
                <w:szCs w:val="22"/>
                <w:u w:val="none" w:color="auto"/>
              </w:rPr>
              <w:sym w:font="Wingdings 2" w:char="00A3"/>
            </w:r>
          </w:p>
        </w:tc>
        <w:tc>
          <w:tcPr>
            <w:tcW w:w="3654"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不达标区 </w:t>
            </w:r>
            <w:r>
              <w:rPr>
                <w:rFonts w:hint="default" w:ascii="Times New Roman" w:hAnsi="Times New Roman" w:eastAsia="宋体" w:cs="Times New Roman"/>
                <w:color w:val="auto"/>
                <w:kern w:val="0"/>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污染源调查</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调查内容</w:t>
            </w:r>
          </w:p>
        </w:tc>
        <w:tc>
          <w:tcPr>
            <w:tcW w:w="248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本项目正常排放源</w:t>
            </w:r>
            <w:r>
              <w:rPr>
                <w:rFonts w:hint="default" w:ascii="Times New Roman" w:hAnsi="Times New Roman" w:eastAsia="宋体" w:cs="Times New Roman"/>
                <w:color w:val="auto"/>
                <w:kern w:val="0"/>
                <w:sz w:val="22"/>
                <w:szCs w:val="22"/>
                <w:u w:val="none" w:color="auto"/>
              </w:rPr>
              <w:sym w:font="Wingdings 2" w:char="00A3"/>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本项目非正常排放源</w:t>
            </w:r>
            <w:r>
              <w:rPr>
                <w:rFonts w:hint="default" w:ascii="Times New Roman" w:hAnsi="Times New Roman" w:eastAsia="宋体" w:cs="Times New Roman"/>
                <w:color w:val="auto"/>
                <w:kern w:val="0"/>
                <w:sz w:val="22"/>
                <w:szCs w:val="22"/>
                <w:u w:val="none" w:color="auto"/>
              </w:rPr>
              <w:sym w:font="Wingdings 2" w:char="00A3"/>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现有污染源□</w:t>
            </w:r>
          </w:p>
        </w:tc>
        <w:tc>
          <w:tcPr>
            <w:tcW w:w="1425"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拟替代的污染源□</w:t>
            </w:r>
          </w:p>
        </w:tc>
        <w:tc>
          <w:tcPr>
            <w:tcW w:w="1723"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其他在建、拟建项目污染源□</w:t>
            </w:r>
          </w:p>
        </w:tc>
        <w:tc>
          <w:tcPr>
            <w:tcW w:w="1444"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大气环境影响预测与评价</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预测模型</w:t>
            </w:r>
          </w:p>
        </w:tc>
        <w:tc>
          <w:tcPr>
            <w:tcW w:w="1087"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AERMOD</w:t>
            </w:r>
            <w:r>
              <w:rPr>
                <w:rFonts w:hint="default" w:ascii="Times New Roman" w:hAnsi="Times New Roman" w:eastAsia="宋体" w:cs="Times New Roman"/>
                <w:color w:val="auto"/>
                <w:kern w:val="0"/>
                <w:sz w:val="22"/>
                <w:szCs w:val="22"/>
                <w:u w:val="none" w:color="auto"/>
              </w:rPr>
              <w:sym w:font="Wingdings 2" w:char="00A3"/>
            </w:r>
          </w:p>
        </w:tc>
        <w:tc>
          <w:tcPr>
            <w:tcW w:w="870"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ADMS□</w:t>
            </w:r>
          </w:p>
        </w:tc>
        <w:tc>
          <w:tcPr>
            <w:tcW w:w="950"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A</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STAL2000□</w:t>
            </w:r>
          </w:p>
        </w:tc>
        <w:tc>
          <w:tcPr>
            <w:tcW w:w="1057"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EDMS/ASDT□</w:t>
            </w:r>
          </w:p>
        </w:tc>
        <w:tc>
          <w:tcPr>
            <w:tcW w:w="1008"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GALP</w:t>
            </w:r>
            <w:r>
              <w:rPr>
                <w:rFonts w:hint="default" w:ascii="Times New Roman" w:hAnsi="Times New Roman" w:eastAsia="宋体" w:cs="Times New Roman"/>
                <w:color w:val="auto"/>
                <w:kern w:val="0"/>
                <w:sz w:val="22"/>
                <w:szCs w:val="22"/>
                <w:u w:val="none" w:color="auto"/>
                <w:lang w:eastAsia="zh-CN"/>
              </w:rPr>
              <w:t>μ</w:t>
            </w:r>
            <w:r>
              <w:rPr>
                <w:rFonts w:hint="default" w:ascii="Times New Roman" w:hAnsi="Times New Roman" w:eastAsia="宋体" w:cs="Times New Roman"/>
                <w:color w:val="auto"/>
                <w:kern w:val="0"/>
                <w:sz w:val="22"/>
                <w:szCs w:val="22"/>
                <w:u w:val="none" w:color="auto"/>
              </w:rPr>
              <w:t>FF□</w:t>
            </w:r>
          </w:p>
        </w:tc>
        <w:tc>
          <w:tcPr>
            <w:tcW w:w="1244"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网格模型□</w:t>
            </w:r>
          </w:p>
        </w:tc>
        <w:tc>
          <w:tcPr>
            <w:tcW w:w="86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预测范围</w:t>
            </w:r>
          </w:p>
        </w:tc>
        <w:tc>
          <w:tcPr>
            <w:tcW w:w="1957"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边长≥50km□</w:t>
            </w:r>
          </w:p>
        </w:tc>
        <w:tc>
          <w:tcPr>
            <w:tcW w:w="3015"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边长5~50km□</w:t>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边长=5km</w:t>
            </w:r>
            <w:r>
              <w:rPr>
                <w:rFonts w:hint="default" w:ascii="Times New Roman" w:hAnsi="Times New Roman" w:eastAsia="宋体" w:cs="Times New Roman"/>
                <w:color w:val="auto"/>
                <w:kern w:val="0"/>
                <w:sz w:val="22"/>
                <w:szCs w:val="22"/>
                <w:u w:val="none" w:color="auto"/>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预测因子（</w:t>
            </w:r>
            <w:r>
              <w:rPr>
                <w:rFonts w:hint="default" w:ascii="Times New Roman" w:hAnsi="Times New Roman" w:eastAsia="宋体" w:cs="Times New Roman"/>
                <w:color w:val="auto"/>
                <w:kern w:val="0"/>
                <w:sz w:val="22"/>
                <w:szCs w:val="22"/>
                <w:u w:val="none" w:color="auto"/>
                <w:lang w:eastAsia="zh-CN"/>
              </w:rPr>
              <w:t>非甲烷总烃</w:t>
            </w:r>
            <w:r>
              <w:rPr>
                <w:rFonts w:hint="default" w:ascii="Times New Roman" w:hAnsi="Times New Roman" w:eastAsia="宋体" w:cs="Times New Roman"/>
                <w:color w:val="auto"/>
                <w:kern w:val="0"/>
                <w:sz w:val="22"/>
                <w:szCs w:val="22"/>
                <w:u w:val="none" w:color="auto"/>
              </w:rPr>
              <w:t>）</w:t>
            </w:r>
          </w:p>
        </w:tc>
        <w:tc>
          <w:tcPr>
            <w:tcW w:w="4170" w:type="dxa"/>
            <w:gridSpan w:val="12"/>
            <w:tcBorders>
              <w:tl2br w:val="nil"/>
              <w:tr2bl w:val="nil"/>
            </w:tcBorders>
            <w:noWrap w:val="0"/>
            <w:vAlign w:val="center"/>
          </w:tcPr>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t xml:space="preserve">□          </w:t>
            </w:r>
          </w:p>
          <w:p>
            <w:pPr>
              <w:pStyle w:val="4"/>
              <w:keepNext w:val="0"/>
              <w:keepLines w:val="0"/>
              <w:pageBreakBefore w:val="0"/>
              <w:widowControl w:val="0"/>
              <w:kinsoku/>
              <w:wordWrap w:val="0"/>
              <w:overflowPunct/>
              <w:topLinePunct w:val="0"/>
              <w:autoSpaceDE/>
              <w:autoSpaceDN/>
              <w:bidi w:val="0"/>
              <w:adjustRightInd/>
              <w:snapToGrid/>
              <w:spacing w:after="0" w:line="240" w:lineRule="auto"/>
              <w:ind w:firstLine="0"/>
              <w:jc w:val="right"/>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不包括二次PM</w:t>
            </w:r>
            <w:r>
              <w:rPr>
                <w:rFonts w:hint="default" w:ascii="Times New Roman" w:hAnsi="Times New Roman" w:eastAsia="宋体" w:cs="Times New Roman"/>
                <w:color w:val="auto"/>
                <w:kern w:val="0"/>
                <w:sz w:val="22"/>
                <w:szCs w:val="22"/>
                <w:u w:val="none" w:color="auto"/>
                <w:vertAlign w:val="subscript"/>
              </w:rPr>
              <w:t>2.5</w:t>
            </w:r>
            <w:r>
              <w:rPr>
                <w:rFonts w:hint="default" w:ascii="Times New Roman" w:hAnsi="Times New Roman" w:eastAsia="宋体" w:cs="Times New Roman"/>
                <w:color w:val="auto"/>
                <w:kern w:val="0"/>
                <w:sz w:val="22"/>
                <w:szCs w:val="22"/>
                <w:u w:val="none" w:color="auto"/>
              </w:rPr>
              <w:sym w:font="Wingdings 2" w:char="00A3"/>
            </w:r>
            <w:r>
              <w:rPr>
                <w:rFonts w:hint="default" w:ascii="Times New Roman" w:hAnsi="Times New Roman" w:eastAsia="宋体" w:cs="Times New Roman"/>
                <w:color w:val="auto"/>
                <w:kern w:val="0"/>
                <w:sz w:val="22"/>
                <w:szCs w:val="22"/>
                <w:u w:val="none" w:color="auto"/>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正常排放短期浓度贡献值</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正常排放年均浓度贡献值</w:t>
            </w:r>
          </w:p>
        </w:tc>
        <w:tc>
          <w:tcPr>
            <w:tcW w:w="119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一类区</w:t>
            </w:r>
          </w:p>
        </w:tc>
        <w:tc>
          <w:tcPr>
            <w:tcW w:w="3102"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最大占标率≤10%□</w:t>
            </w:r>
          </w:p>
        </w:tc>
        <w:tc>
          <w:tcPr>
            <w:tcW w:w="2778"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197" w:type="dxa"/>
            <w:gridSpan w:val="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二类区</w:t>
            </w:r>
          </w:p>
        </w:tc>
        <w:tc>
          <w:tcPr>
            <w:tcW w:w="3102" w:type="dxa"/>
            <w:gridSpan w:val="10"/>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最大占标率≤30%</w:t>
            </w:r>
            <w:r>
              <w:rPr>
                <w:rFonts w:hint="default" w:ascii="Times New Roman" w:hAnsi="Times New Roman" w:eastAsia="宋体" w:cs="Times New Roman"/>
                <w:color w:val="auto"/>
                <w:kern w:val="0"/>
                <w:sz w:val="22"/>
                <w:szCs w:val="22"/>
                <w:u w:val="none" w:color="auto"/>
              </w:rPr>
              <w:sym w:font="Wingdings 2" w:char="00A3"/>
            </w:r>
          </w:p>
        </w:tc>
        <w:tc>
          <w:tcPr>
            <w:tcW w:w="2778"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本项目</w:t>
            </w:r>
            <w:r>
              <w:rPr>
                <w:rFonts w:hint="default" w:ascii="Times New Roman" w:hAnsi="Times New Roman" w:eastAsia="宋体" w:cs="Times New Roman"/>
                <w:color w:val="auto"/>
                <w:kern w:val="0"/>
                <w:sz w:val="22"/>
                <w:szCs w:val="22"/>
                <w:u w:val="none" w:color="auto"/>
              </w:rPr>
              <w:t>最大标率＞30%□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非正常排放1h浓度</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非正常持续时长（     ）h</w:t>
            </w:r>
          </w:p>
        </w:tc>
        <w:tc>
          <w:tcPr>
            <w:tcW w:w="206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c>
          <w:tcPr>
            <w:tcW w:w="2105" w:type="dxa"/>
            <w:gridSpan w:val="6"/>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非正常</w:t>
            </w:r>
            <w:r>
              <w:rPr>
                <w:rFonts w:hint="default" w:ascii="Times New Roman" w:hAnsi="Times New Roman" w:eastAsia="宋体" w:cs="Times New Roman"/>
                <w:color w:val="auto"/>
                <w:kern w:val="0"/>
                <w:sz w:val="22"/>
                <w:szCs w:val="22"/>
                <w:u w:val="none" w:color="auto"/>
              </w:rPr>
              <w:t>占标率＞100%□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保证率日平均浓度和年平均浓度叠加值</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 xml:space="preserve">达标 </w:t>
            </w:r>
            <w:r>
              <w:rPr>
                <w:rFonts w:hint="default" w:ascii="Times New Roman" w:hAnsi="Times New Roman" w:eastAsia="宋体" w:cs="Times New Roman"/>
                <w:color w:val="auto"/>
                <w:kern w:val="0"/>
                <w:sz w:val="22"/>
                <w:szCs w:val="22"/>
                <w:u w:val="none" w:color="auto"/>
              </w:rPr>
              <w:sym w:font="Wingdings 2" w:char="00A3"/>
            </w:r>
          </w:p>
        </w:tc>
        <w:tc>
          <w:tcPr>
            <w:tcW w:w="4170" w:type="dxa"/>
            <w:gridSpan w:val="1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C</w:t>
            </w:r>
            <w:r>
              <w:rPr>
                <w:rFonts w:hint="default" w:ascii="Times New Roman" w:hAnsi="Times New Roman" w:eastAsia="宋体" w:cs="Times New Roman"/>
                <w:color w:val="auto"/>
                <w:kern w:val="0"/>
                <w:sz w:val="22"/>
                <w:szCs w:val="22"/>
                <w:u w:val="none" w:color="auto"/>
                <w:vertAlign w:val="subscript"/>
              </w:rPr>
              <w:t>叠加</w:t>
            </w:r>
            <w:r>
              <w:rPr>
                <w:rFonts w:hint="default" w:ascii="Times New Roman" w:hAnsi="Times New Roman" w:eastAsia="宋体" w:cs="Times New Roman"/>
                <w:color w:val="auto"/>
                <w:kern w:val="0"/>
                <w:sz w:val="22"/>
                <w:szCs w:val="22"/>
                <w:u w:val="none" w:color="auto"/>
              </w:rPr>
              <w:t>不达标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区域环境质量的整体变化情况</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c>
          <w:tcPr>
            <w:tcW w:w="4170" w:type="dxa"/>
            <w:gridSpan w:val="12"/>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i/>
                <w:color w:val="auto"/>
                <w:kern w:val="0"/>
                <w:sz w:val="22"/>
                <w:szCs w:val="22"/>
                <w:u w:val="none" w:color="auto"/>
              </w:rPr>
              <w:t>K</w:t>
            </w:r>
            <w:r>
              <w:rPr>
                <w:rFonts w:hint="default" w:ascii="Times New Roman" w:hAnsi="Times New Roman" w:eastAsia="宋体" w:cs="Times New Roman"/>
                <w:color w:val="auto"/>
                <w:kern w:val="0"/>
                <w:sz w:val="22"/>
                <w:szCs w:val="22"/>
                <w:u w:val="none" w:color="auto"/>
              </w:rPr>
              <w:t>＞-20%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环境监测计划</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污染源监测</w:t>
            </w:r>
          </w:p>
        </w:tc>
        <w:tc>
          <w:tcPr>
            <w:tcW w:w="2907" w:type="dxa"/>
            <w:gridSpan w:val="7"/>
            <w:tcBorders>
              <w:tl2br w:val="nil"/>
              <w:tr2bl w:val="nil"/>
            </w:tcBorders>
            <w:noWrap w:val="0"/>
            <w:vAlign w:val="center"/>
          </w:tcPr>
          <w:p>
            <w:pPr>
              <w:pStyle w:val="14"/>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w:t>
            </w:r>
          </w:p>
        </w:tc>
        <w:tc>
          <w:tcPr>
            <w:tcW w:w="2244"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有组织废气监测</w:t>
            </w:r>
            <w:r>
              <w:rPr>
                <w:rFonts w:hint="default" w:ascii="Times New Roman" w:hAnsi="Times New Roman" w:eastAsia="宋体" w:cs="Times New Roman"/>
                <w:color w:val="auto"/>
                <w:kern w:val="0"/>
                <w:sz w:val="22"/>
                <w:szCs w:val="22"/>
                <w:u w:val="none" w:color="auto"/>
              </w:rPr>
              <w:sym w:font="Wingdings 2" w:char="00A3"/>
            </w:r>
          </w:p>
          <w:p>
            <w:pPr>
              <w:keepNext w:val="0"/>
              <w:keepLines w:val="0"/>
              <w:pageBreakBefore w:val="0"/>
              <w:widowControl w:val="0"/>
              <w:kinsoku/>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无组织废气监测</w:t>
            </w:r>
            <w:r>
              <w:rPr>
                <w:rFonts w:hint="default" w:ascii="Times New Roman" w:hAnsi="Times New Roman" w:eastAsia="宋体" w:cs="Times New Roman"/>
                <w:color w:val="auto"/>
                <w:kern w:val="0"/>
                <w:sz w:val="22"/>
                <w:szCs w:val="22"/>
                <w:u w:val="none" w:color="auto"/>
              </w:rPr>
              <w:sym w:font="Wingdings 2" w:char="0052"/>
            </w:r>
          </w:p>
        </w:tc>
        <w:tc>
          <w:tcPr>
            <w:tcW w:w="1926"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环境质量</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w:t>
            </w:r>
          </w:p>
        </w:tc>
        <w:tc>
          <w:tcPr>
            <w:tcW w:w="2907"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监测因子</w:t>
            </w:r>
            <w:r>
              <w:rPr>
                <w:rFonts w:hint="eastAsia" w:cs="Times New Roman"/>
                <w:color w:val="auto"/>
                <w:kern w:val="0"/>
                <w:sz w:val="22"/>
                <w:szCs w:val="22"/>
                <w:u w:val="none" w:color="auto"/>
                <w:lang w:eastAsia="zh-CN"/>
              </w:rPr>
              <w:t>：</w:t>
            </w:r>
            <w:r>
              <w:rPr>
                <w:rFonts w:hint="default" w:ascii="Times New Roman" w:hAnsi="Times New Roman" w:eastAsia="宋体" w:cs="Times New Roman"/>
                <w:color w:val="auto"/>
                <w:kern w:val="0"/>
                <w:sz w:val="22"/>
                <w:szCs w:val="22"/>
                <w:u w:val="none" w:color="auto"/>
              </w:rPr>
              <w:t>（</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2244" w:type="dxa"/>
            <w:gridSpan w:val="8"/>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监测点位数（</w:t>
            </w:r>
            <w:r>
              <w:rPr>
                <w:rFonts w:hint="default" w:ascii="Times New Roman" w:hAnsi="Times New Roman" w:eastAsia="宋体" w:cs="Times New Roman"/>
                <w:color w:val="auto"/>
                <w:kern w:val="0"/>
                <w:sz w:val="22"/>
                <w:szCs w:val="22"/>
                <w:u w:val="none" w:color="auto"/>
                <w:lang w:val="en-US" w:eastAsia="zh-CN"/>
              </w:rPr>
              <w:t xml:space="preserve">  /  </w:t>
            </w:r>
            <w:r>
              <w:rPr>
                <w:rFonts w:hint="default" w:ascii="Times New Roman" w:hAnsi="Times New Roman" w:eastAsia="宋体" w:cs="Times New Roman"/>
                <w:color w:val="auto"/>
                <w:kern w:val="0"/>
                <w:sz w:val="22"/>
                <w:szCs w:val="22"/>
                <w:u w:val="none" w:color="auto"/>
              </w:rPr>
              <w:t>）</w:t>
            </w:r>
          </w:p>
        </w:tc>
        <w:tc>
          <w:tcPr>
            <w:tcW w:w="1926"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无监测□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restart"/>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评价</w:t>
            </w:r>
          </w:p>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结论</w:t>
            </w: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环境影响</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可以接受</w:t>
            </w:r>
            <w:r>
              <w:rPr>
                <w:rFonts w:hint="default" w:ascii="Times New Roman" w:hAnsi="Times New Roman" w:eastAsia="宋体" w:cs="Times New Roman"/>
                <w:color w:val="auto"/>
                <w:kern w:val="0"/>
                <w:sz w:val="22"/>
                <w:szCs w:val="22"/>
                <w:u w:val="none" w:color="auto"/>
              </w:rPr>
              <w:sym w:font="Wingdings 2" w:char="0052"/>
            </w:r>
            <w:r>
              <w:rPr>
                <w:rFonts w:hint="default" w:ascii="Times New Roman" w:hAnsi="Times New Roman" w:eastAsia="宋体" w:cs="Times New Roman"/>
                <w:color w:val="auto"/>
                <w:kern w:val="0"/>
                <w:sz w:val="22"/>
                <w:szCs w:val="22"/>
                <w:u w:val="none" w:color="auto"/>
              </w:rPr>
              <w:t xml:space="preserve">      不可以接受□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大气环境防护距离</w:t>
            </w:r>
          </w:p>
        </w:tc>
        <w:tc>
          <w:tcPr>
            <w:tcW w:w="7077" w:type="dxa"/>
            <w:gridSpan w:val="19"/>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 xml:space="preserve">距（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）厂界最远（  </w:t>
            </w:r>
            <w:r>
              <w:rPr>
                <w:rFonts w:hint="default" w:ascii="Times New Roman" w:hAnsi="Times New Roman" w:eastAsia="宋体" w:cs="Times New Roman"/>
                <w:color w:val="auto"/>
                <w:kern w:val="0"/>
                <w:sz w:val="22"/>
                <w:szCs w:val="22"/>
                <w:u w:val="none" w:color="auto"/>
                <w:lang w:val="en-US" w:eastAsia="zh-CN"/>
              </w:rPr>
              <w:t>/</w:t>
            </w:r>
            <w:r>
              <w:rPr>
                <w:rFonts w:hint="default" w:ascii="Times New Roman" w:hAnsi="Times New Roman" w:eastAsia="宋体" w:cs="Times New Roman"/>
                <w:color w:val="auto"/>
                <w:kern w:val="0"/>
                <w:sz w:val="22"/>
                <w:szCs w:val="22"/>
                <w:u w:val="none" w:color="auto"/>
              </w:rPr>
              <w:t xml:space="preserve">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6" w:type="dxa"/>
            <w:vMerge w:val="continue"/>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p>
        </w:tc>
        <w:tc>
          <w:tcPr>
            <w:tcW w:w="1541" w:type="dxa"/>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污染源年排放量</w:t>
            </w:r>
          </w:p>
        </w:tc>
        <w:tc>
          <w:tcPr>
            <w:tcW w:w="1433" w:type="dxa"/>
            <w:gridSpan w:val="3"/>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SO</w:t>
            </w:r>
            <w:r>
              <w:rPr>
                <w:rFonts w:hint="default" w:ascii="Times New Roman" w:hAnsi="Times New Roman" w:eastAsia="宋体" w:cs="Times New Roman"/>
                <w:color w:val="auto"/>
                <w:kern w:val="0"/>
                <w:sz w:val="22"/>
                <w:szCs w:val="22"/>
                <w:u w:val="none" w:color="auto"/>
                <w:vertAlign w:val="subscript"/>
              </w:rPr>
              <w:t>2</w:t>
            </w:r>
            <w:r>
              <w:rPr>
                <w:rFonts w:hint="default" w:ascii="Times New Roman" w:hAnsi="Times New Roman" w:eastAsia="宋体" w:cs="Times New Roman"/>
                <w:color w:val="auto"/>
                <w:kern w:val="0"/>
                <w:sz w:val="22"/>
                <w:szCs w:val="22"/>
                <w:u w:val="none" w:color="auto"/>
              </w:rPr>
              <w:t>（）t/a</w:t>
            </w:r>
          </w:p>
        </w:tc>
        <w:tc>
          <w:tcPr>
            <w:tcW w:w="1679" w:type="dxa"/>
            <w:gridSpan w:val="5"/>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NO</w:t>
            </w:r>
            <w:r>
              <w:rPr>
                <w:rFonts w:hint="default" w:ascii="Times New Roman" w:hAnsi="Times New Roman" w:eastAsia="宋体" w:cs="Times New Roman"/>
                <w:color w:val="auto"/>
                <w:kern w:val="0"/>
                <w:sz w:val="22"/>
                <w:szCs w:val="22"/>
                <w:u w:val="none" w:color="auto"/>
                <w:vertAlign w:val="subscript"/>
              </w:rPr>
              <w:t>x</w:t>
            </w:r>
            <w:r>
              <w:rPr>
                <w:rFonts w:hint="default" w:ascii="Times New Roman" w:hAnsi="Times New Roman" w:eastAsia="宋体" w:cs="Times New Roman"/>
                <w:color w:val="auto"/>
                <w:kern w:val="0"/>
                <w:sz w:val="22"/>
                <w:szCs w:val="22"/>
                <w:u w:val="none" w:color="auto"/>
              </w:rPr>
              <w:t>（）t/a</w:t>
            </w:r>
          </w:p>
        </w:tc>
        <w:tc>
          <w:tcPr>
            <w:tcW w:w="2039" w:type="dxa"/>
            <w:gridSpan w:val="7"/>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center"/>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cs="Times New Roman"/>
                <w:color w:val="auto"/>
                <w:kern w:val="0"/>
                <w:sz w:val="22"/>
                <w:szCs w:val="22"/>
                <w:u w:val="none" w:color="auto"/>
                <w:lang w:val="en-US" w:eastAsia="zh-CN"/>
              </w:rPr>
              <w:t>颗粒物</w:t>
            </w:r>
            <w:r>
              <w:rPr>
                <w:rFonts w:hint="default" w:ascii="Times New Roman" w:hAnsi="Times New Roman" w:eastAsia="宋体" w:cs="Times New Roman"/>
                <w:color w:val="auto"/>
                <w:kern w:val="0"/>
                <w:sz w:val="22"/>
                <w:szCs w:val="22"/>
                <w:u w:val="none" w:color="auto"/>
              </w:rPr>
              <w:t>（）t/a</w:t>
            </w:r>
          </w:p>
        </w:tc>
        <w:tc>
          <w:tcPr>
            <w:tcW w:w="1926" w:type="dxa"/>
            <w:gridSpan w:val="4"/>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left="0" w:leftChars="0" w:firstLine="0" w:firstLineChars="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VOCs（</w:t>
            </w:r>
            <w:r>
              <w:rPr>
                <w:rFonts w:hint="eastAsia" w:cs="Times New Roman"/>
                <w:color w:val="auto"/>
                <w:kern w:val="0"/>
                <w:sz w:val="22"/>
                <w:szCs w:val="22"/>
                <w:u w:val="none" w:color="auto"/>
                <w:lang w:val="en-US" w:eastAsia="zh-CN"/>
              </w:rPr>
              <w:t>0.1143</w:t>
            </w:r>
            <w:r>
              <w:rPr>
                <w:rFonts w:hint="default" w:ascii="Times New Roman" w:hAnsi="Times New Roman" w:cs="Times New Roman"/>
                <w:color w:val="auto"/>
                <w:kern w:val="0"/>
                <w:sz w:val="22"/>
                <w:szCs w:val="22"/>
                <w:u w:val="none" w:color="auto"/>
                <w:lang w:val="en-US" w:eastAsia="zh-CN"/>
              </w:rPr>
              <w:t xml:space="preserve"> </w:t>
            </w:r>
            <w:r>
              <w:rPr>
                <w:rFonts w:hint="default" w:ascii="Times New Roman" w:hAnsi="Times New Roman" w:eastAsia="宋体" w:cs="Times New Roman"/>
                <w:color w:val="auto"/>
                <w:kern w:val="0"/>
                <w:sz w:val="22"/>
                <w:szCs w:val="22"/>
                <w:u w:val="none" w:color="auto"/>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21"/>
            <w:tcBorders>
              <w:tl2br w:val="nil"/>
              <w:tr2bl w:val="nil"/>
            </w:tcBorders>
            <w:noWrap w:val="0"/>
            <w:vAlign w:val="center"/>
          </w:tcPr>
          <w:p>
            <w:pPr>
              <w:pStyle w:val="4"/>
              <w:keepNext w:val="0"/>
              <w:keepLines w:val="0"/>
              <w:pageBreakBefore w:val="0"/>
              <w:widowControl w:val="0"/>
              <w:kinsoku/>
              <w:overflowPunct/>
              <w:topLinePunct w:val="0"/>
              <w:autoSpaceDE/>
              <w:autoSpaceDN/>
              <w:bidi w:val="0"/>
              <w:adjustRightInd/>
              <w:snapToGrid/>
              <w:spacing w:after="0" w:line="240" w:lineRule="auto"/>
              <w:ind w:firstLine="0"/>
              <w:jc w:val="both"/>
              <w:textAlignment w:val="auto"/>
              <w:rPr>
                <w:rFonts w:hint="default" w:ascii="Times New Roman" w:hAnsi="Times New Roman" w:eastAsia="宋体" w:cs="Times New Roman"/>
                <w:color w:val="auto"/>
                <w:kern w:val="0"/>
                <w:sz w:val="22"/>
                <w:szCs w:val="22"/>
                <w:u w:val="none" w:color="auto"/>
              </w:rPr>
            </w:pPr>
            <w:r>
              <w:rPr>
                <w:rFonts w:hint="default" w:ascii="Times New Roman" w:hAnsi="Times New Roman" w:eastAsia="宋体" w:cs="Times New Roman"/>
                <w:color w:val="auto"/>
                <w:kern w:val="0"/>
                <w:sz w:val="22"/>
                <w:szCs w:val="22"/>
                <w:u w:val="none" w:color="auto"/>
              </w:rPr>
              <w:t>注：“□”为勾选项，填“√”；“（   ）”为内容填写项</w:t>
            </w:r>
          </w:p>
        </w:tc>
      </w:tr>
    </w:tbl>
    <w:p>
      <w:pPr>
        <w:jc w:val="center"/>
        <w:rPr>
          <w:rFonts w:hint="default" w:ascii="Times New Roman" w:hAnsi="Times New Roman" w:cs="Times New Roman"/>
          <w:b/>
          <w:bCs/>
          <w:color w:val="auto"/>
          <w:sz w:val="28"/>
          <w:szCs w:val="36"/>
          <w:u w:val="none" w:color="auto"/>
          <w:lang w:eastAsia="zh-CN"/>
        </w:rPr>
      </w:pPr>
      <w:r>
        <w:rPr>
          <w:rFonts w:hint="eastAsia" w:ascii="Times New Roman" w:hAnsi="Times New Roman" w:cs="Times New Roman"/>
          <w:b/>
          <w:bCs/>
          <w:color w:val="auto"/>
          <w:sz w:val="28"/>
          <w:szCs w:val="36"/>
          <w:u w:val="none" w:color="auto"/>
          <w:lang w:val="en-US" w:eastAsia="zh-CN"/>
        </w:rPr>
        <w:t xml:space="preserve"> </w:t>
      </w:r>
      <w:r>
        <w:rPr>
          <w:rFonts w:hint="default" w:ascii="Times New Roman" w:hAnsi="Times New Roman" w:cs="Times New Roman"/>
          <w:b/>
          <w:bCs/>
          <w:color w:val="auto"/>
          <w:sz w:val="28"/>
          <w:szCs w:val="36"/>
          <w:u w:val="none" w:color="auto"/>
          <w:lang w:eastAsia="zh-CN"/>
        </w:rPr>
        <w:t>地表水环境影响评价自查表</w:t>
      </w:r>
    </w:p>
    <w:tbl>
      <w:tblPr>
        <w:tblStyle w:val="41"/>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1351"/>
        <w:gridCol w:w="1091"/>
        <w:gridCol w:w="533"/>
        <w:gridCol w:w="925"/>
        <w:gridCol w:w="602"/>
        <w:gridCol w:w="589"/>
        <w:gridCol w:w="13"/>
        <w:gridCol w:w="217"/>
        <w:gridCol w:w="755"/>
        <w:gridCol w:w="405"/>
        <w:gridCol w:w="163"/>
        <w:gridCol w:w="13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2850" w:type="dxa"/>
            <w:gridSpan w:val="2"/>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工作内容</w:t>
            </w:r>
          </w:p>
        </w:tc>
        <w:tc>
          <w:tcPr>
            <w:tcW w:w="6664" w:type="dxa"/>
            <w:gridSpan w:val="11"/>
            <w:tcBorders>
              <w:tl2br w:val="nil"/>
              <w:tr2bl w:val="nil"/>
            </w:tcBorders>
            <w:noWrap w:val="0"/>
            <w:vAlign w:val="center"/>
          </w:tcPr>
          <w:p>
            <w:pPr>
              <w:spacing w:line="360" w:lineRule="auto"/>
              <w:jc w:val="center"/>
              <w:rPr>
                <w:rFonts w:hint="default" w:ascii="Times New Roman" w:hAnsi="Times New Roman" w:cs="Times New Roman"/>
                <w:b w:val="0"/>
                <w:bCs w:val="0"/>
                <w:color w:val="auto"/>
                <w:sz w:val="22"/>
                <w:szCs w:val="22"/>
                <w:u w:val="none" w:color="auto"/>
                <w:vertAlign w:val="baseline"/>
                <w:lang w:eastAsia="zh-CN"/>
              </w:rPr>
            </w:pPr>
            <w:r>
              <w:rPr>
                <w:rFonts w:hint="default" w:ascii="Times New Roman" w:hAnsi="Times New Roman" w:cs="Times New Roman"/>
                <w:b w:val="0"/>
                <w:bCs w:val="0"/>
                <w:color w:val="auto"/>
                <w:sz w:val="22"/>
                <w:szCs w:val="22"/>
                <w:u w:val="none" w:color="auto"/>
                <w:vertAlign w:val="baseline"/>
                <w:lang w:eastAsia="zh-CN"/>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响</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识</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别</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影响类型</w:t>
            </w:r>
          </w:p>
        </w:tc>
        <w:tc>
          <w:tcPr>
            <w:tcW w:w="6664" w:type="dxa"/>
            <w:gridSpan w:val="11"/>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；水文要素影响型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1"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饮用水水源保护区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□；饮用水取水口</w:t>
            </w:r>
            <w:r>
              <w:rPr>
                <w:rFonts w:hint="default" w:ascii="Times New Roman" w:hAnsi="Times New Roman" w:eastAsia="宋体" w:cs="Times New Roman"/>
                <w:b w:val="0"/>
                <w:bCs w:val="0"/>
                <w:color w:val="auto"/>
                <w:sz w:val="22"/>
                <w:szCs w:val="22"/>
                <w:u w:val="none" w:color="auto"/>
                <w:vertAlign w:val="baseline"/>
                <w:lang w:val="en-US" w:eastAsia="zh-CN"/>
              </w:rPr>
              <w:t xml:space="preserve"> 涉水的自然保护区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重要湿地 </w:t>
            </w:r>
            <w:r>
              <w:rPr>
                <w:rFonts w:hint="default" w:ascii="Times New Roman" w:hAnsi="Times New Roman" w:eastAsia="宋体" w:cs="Times New Roman"/>
                <w:b w:val="0"/>
                <w:bCs w:val="0"/>
                <w:color w:val="auto"/>
                <w:sz w:val="22"/>
                <w:szCs w:val="22"/>
                <w:u w:val="none" w:color="auto"/>
                <w:vertAlign w:val="baseline"/>
                <w:lang w:eastAsia="zh-CN"/>
              </w:rPr>
              <w:t>□；重点保护与珍稀水生生物的栖息地</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□；重要水生生物的自然产卵场及索饵场 、越冬场、洄游通道、天然渔场等渔业水体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□；涉水的风景名胜区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val="en-US" w:eastAsia="zh-CN"/>
              </w:rPr>
              <w:t>影响途径</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；间接排放</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；径流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；水域面积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影响因子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持久性污染源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□；有毒有害污染物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□；非持久性污染物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pH值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；热污染</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□；富营养化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水温</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；水位（水深）□；流速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□；流量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评价等级</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水污染影响型</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0" w:type="dxa"/>
            <w:gridSpan w:val="2"/>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A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三级B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一级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□；二级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□；三级</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现状调查</w:t>
            </w: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区域污染源</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val="en-US" w:eastAsia="zh-CN"/>
              </w:rPr>
              <w:t>调查项目</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624"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已建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；在建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□；拟建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27" w:type="dxa"/>
            <w:gridSpan w:val="2"/>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拟替代的污染源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□；环评</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；环保验收</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；既有实测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□；现场监测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；入河排放口数据</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受影响水体水环境质量</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生态环境保护主管部门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；补充监测 □；其他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区域水资源开发利用状况</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未开发 □；开发量</w:t>
            </w:r>
            <w:r>
              <w:rPr>
                <w:rFonts w:hint="default" w:ascii="Times New Roman" w:hAnsi="Times New Roman" w:eastAsia="宋体" w:cs="Times New Roman"/>
                <w:b w:val="0"/>
                <w:bCs w:val="0"/>
                <w:color w:val="auto"/>
                <w:sz w:val="22"/>
                <w:szCs w:val="22"/>
                <w:u w:val="none" w:color="auto"/>
                <w:vertAlign w:val="baseline"/>
                <w:lang w:val="en-US" w:eastAsia="zh-CN"/>
              </w:rPr>
              <w:t>40%以下 □；</w:t>
            </w:r>
            <w:r>
              <w:rPr>
                <w:rFonts w:hint="default" w:ascii="Times New Roman" w:hAnsi="Times New Roman" w:eastAsia="宋体" w:cs="Times New Roman"/>
                <w:b w:val="0"/>
                <w:bCs w:val="0"/>
                <w:color w:val="auto"/>
                <w:sz w:val="22"/>
                <w:szCs w:val="22"/>
                <w:u w:val="none" w:color="auto"/>
                <w:vertAlign w:val="baseline"/>
                <w:lang w:eastAsia="zh-CN"/>
              </w:rPr>
              <w:t>开发量</w:t>
            </w:r>
            <w:r>
              <w:rPr>
                <w:rFonts w:hint="default" w:ascii="Times New Roman" w:hAnsi="Times New Roman" w:eastAsia="宋体" w:cs="Times New Roman"/>
                <w:b w:val="0"/>
                <w:bCs w:val="0"/>
                <w:color w:val="auto"/>
                <w:sz w:val="22"/>
                <w:szCs w:val="22"/>
                <w:u w:val="none" w:color="auto"/>
                <w:vertAlign w:val="baseline"/>
                <w:lang w:val="en-US" w:eastAsia="zh-CN"/>
              </w:rPr>
              <w:t xml:space="preserve">40%以上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水文情势调查</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调查时期</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3513" w:type="dxa"/>
            <w:gridSpan w:val="7"/>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水行政主管部门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；补充监测 □；</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补充监测</w:t>
            </w: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监测时期</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1939" w:type="dxa"/>
            <w:gridSpan w:val="3"/>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3151"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57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939" w:type="dxa"/>
            <w:gridSpan w:val="3"/>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监测断面或点位个数（</w:t>
            </w:r>
            <w:r>
              <w:rPr>
                <w:rFonts w:hint="default" w:ascii="Times New Roman" w:hAnsi="Times New Roman" w:cs="Times New Roman"/>
                <w:b w:val="0"/>
                <w:bCs w:val="0"/>
                <w:color w:val="auto"/>
                <w:sz w:val="22"/>
                <w:szCs w:val="22"/>
                <w:u w:val="none" w:color="auto"/>
                <w:vertAlign w:val="baseline"/>
                <w:lang w:val="en-US" w:eastAsia="zh-CN"/>
              </w:rPr>
              <w:t>2</w:t>
            </w:r>
            <w:r>
              <w:rPr>
                <w:rFonts w:hint="default" w:ascii="Times New Roman" w:hAnsi="Times New Roman" w:eastAsia="宋体" w:cs="Times New Roman"/>
                <w:b w:val="0"/>
                <w:bCs w:val="0"/>
                <w:color w:val="auto"/>
                <w:sz w:val="22"/>
                <w:szCs w:val="22"/>
                <w:u w:val="none" w:color="auto"/>
                <w:vertAlign w:val="baseline"/>
                <w:lang w:eastAsia="zh-CN"/>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现状评价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评价因子</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评价标准</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河流、湖库、河口：Ⅰ类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□；Ⅱ类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□；Ⅲ类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；Ⅳ类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□；Ⅴ类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近岸海域：第一类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□；第二类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□；第三类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□；第四类</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丰水期 □；平水期 □；枯水期 □；冰封期 □；春季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；秋季 □；冬季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restart"/>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水功能环境区或水功能区、近岸海域环境功能区水质达标状况 □：</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水环境保护目标质量状况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对照断面、控制断面等代表性断面的水质状况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□；不达标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底泥污染评价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水资源与开发利用程度及其水文情势评价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水环境质量回顾评价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流域（区域）水资源（包括水能资源）与开发利用总体状况、生态流量管理要求与现状满意程度、建设项目占用水域空间的水流状况与河湖演变状况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8"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5293" w:type="dxa"/>
            <w:gridSpan w:val="10"/>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7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不达标区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影响预测</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预测范围</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河流：长度（）</w:t>
            </w:r>
            <w:r>
              <w:rPr>
                <w:rFonts w:hint="default" w:ascii="Times New Roman" w:hAnsi="Times New Roman" w:eastAsia="宋体" w:cs="Times New Roman"/>
                <w:b w:val="0"/>
                <w:bCs w:val="0"/>
                <w:color w:val="auto"/>
                <w:sz w:val="22"/>
                <w:szCs w:val="22"/>
                <w:u w:val="none" w:color="auto"/>
                <w:vertAlign w:val="baseline"/>
                <w:lang w:val="en-US" w:eastAsia="zh-CN"/>
              </w:rPr>
              <w:t>km；湖库、河口及近岸海域：面积（）km</w:t>
            </w:r>
            <w:r>
              <w:rPr>
                <w:rFonts w:hint="default" w:ascii="Times New Roman" w:hAnsi="Times New Roman" w:eastAsia="宋体" w:cs="Times New Roman"/>
                <w:b w:val="0"/>
                <w:bCs w:val="0"/>
                <w:color w:val="auto"/>
                <w:sz w:val="22"/>
                <w:szCs w:val="22"/>
                <w:u w:val="none" w:color="auto"/>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预测因子</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预测时期</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丰水期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平水期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枯水期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冰封期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春季 □；</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夏季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 xml:space="preserve">秋季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；冬季 □；</w:t>
            </w:r>
            <w:r>
              <w:rPr>
                <w:rFonts w:hint="default" w:ascii="Times New Roman" w:hAnsi="Times New Roman" w:eastAsia="宋体" w:cs="Times New Roman"/>
                <w:b w:val="0"/>
                <w:bCs w:val="0"/>
                <w:color w:val="auto"/>
                <w:sz w:val="22"/>
                <w:szCs w:val="22"/>
                <w:u w:val="none" w:color="auto"/>
                <w:vertAlign w:val="baseline"/>
                <w:lang w:val="en-US" w:eastAsia="zh-CN"/>
              </w:rPr>
              <w:t xml:space="preserve"> 设计水文条件  </w:t>
            </w: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预测情景</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建设期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□；生产运行期</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□；服务期满后</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；非正常工况</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污染控制和减缓措施方案</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区（流）域环境质量改善目标要求情景</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预测方法</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数值解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□；解析解</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导则推荐模式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影响评价</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水污染控制和水环境影响减缓措施有效性评价</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区（流）域环境质量改善目标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；替代削减源</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水环境影响评价</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排放口混合区外满足水环境管理要求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水环境功能区或水功能区</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近岸海域环境功能区水质达标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满足水环境保护目标水域水环境质量要求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水环境控制单元或断面水质达标</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重点满足水污染物排放总量控制指标要求、重点行业建设项目，主要污染物排放满足等量或减量替代要求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满足区（流）域环境质量改善目标要求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水文要素影响型建设项目同时应包括水文情势变化评价、主要水文特征值影响评价、生态流量符合性评价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对于新设或调整入河（湖库、近岸海域）排放口的建设项目、应包括排放口设置的环境合理评价</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满足生态保护红线、水环境质量底线、资源利用上线和环境准入清单管理要求</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污染源排放量核算</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eastAsia"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化学需</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氧量</w:t>
            </w:r>
          </w:p>
        </w:tc>
        <w:tc>
          <w:tcPr>
            <w:tcW w:w="2879" w:type="dxa"/>
            <w:gridSpan w:val="6"/>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0.06</w:t>
            </w:r>
          </w:p>
        </w:tc>
        <w:tc>
          <w:tcPr>
            <w:tcW w:w="2694" w:type="dxa"/>
            <w:gridSpan w:val="4"/>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氨氮</w:t>
            </w:r>
          </w:p>
        </w:tc>
        <w:tc>
          <w:tcPr>
            <w:tcW w:w="2879" w:type="dxa"/>
            <w:gridSpan w:val="6"/>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0.0096</w:t>
            </w:r>
          </w:p>
        </w:tc>
        <w:tc>
          <w:tcPr>
            <w:tcW w:w="2694"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val="en-US" w:eastAsia="zh-CN"/>
              </w:rPr>
            </w:pPr>
            <w:r>
              <w:rPr>
                <w:rFonts w:hint="eastAsia" w:cs="Times New Roman"/>
                <w:b w:val="0"/>
                <w:bCs w:val="0"/>
                <w:color w:val="auto"/>
                <w:sz w:val="22"/>
                <w:szCs w:val="22"/>
                <w:u w:val="none" w:color="auto"/>
                <w:vertAlign w:val="baselin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替代源排放情况</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污染源名称</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排污许可证编号</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名称</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排放量</w:t>
            </w:r>
            <w:r>
              <w:rPr>
                <w:rFonts w:hint="default" w:ascii="Times New Roman" w:hAnsi="Times New Roman" w:eastAsia="宋体" w:cs="Times New Roman"/>
                <w:b w:val="0"/>
                <w:bCs w:val="0"/>
                <w:color w:val="auto"/>
                <w:sz w:val="22"/>
                <w:szCs w:val="22"/>
                <w:u w:val="none" w:color="auto"/>
                <w:vertAlign w:val="baseline"/>
                <w:lang w:val="en-US" w:eastAsia="zh-CN"/>
              </w:rPr>
              <w:t>/（t/a）</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排放浓度</w:t>
            </w:r>
            <w:r>
              <w:rPr>
                <w:rFonts w:hint="default" w:ascii="Times New Roman" w:hAnsi="Times New Roman" w:eastAsia="宋体" w:cs="Times New Roman"/>
                <w:b w:val="0"/>
                <w:bCs w:val="0"/>
                <w:color w:val="auto"/>
                <w:sz w:val="22"/>
                <w:szCs w:val="22"/>
                <w:u w:val="none" w:color="auto"/>
                <w:vertAlign w:val="baseline"/>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458"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191"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390" w:type="dxa"/>
            <w:gridSpan w:val="4"/>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1534" w:type="dxa"/>
            <w:gridSpan w:val="2"/>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生态流量</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确定</w:t>
            </w:r>
          </w:p>
        </w:tc>
        <w:tc>
          <w:tcPr>
            <w:tcW w:w="6664" w:type="dxa"/>
            <w:gridSpan w:val="11"/>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生态流量：一般水期（）</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r>
              <w:rPr>
                <w:rFonts w:hint="default" w:ascii="Times New Roman" w:hAnsi="Times New Roman" w:eastAsia="宋体" w:cs="Times New Roman"/>
                <w:b w:val="0"/>
                <w:bCs w:val="0"/>
                <w:color w:val="auto"/>
                <w:sz w:val="22"/>
                <w:szCs w:val="22"/>
                <w:u w:val="none" w:color="auto"/>
                <w:vertAlign w:val="superscript"/>
                <w:lang w:val="en-US" w:eastAsia="zh-CN"/>
              </w:rPr>
              <w:t>3</w:t>
            </w:r>
            <w:r>
              <w:rPr>
                <w:rFonts w:hint="default" w:ascii="Times New Roman" w:hAnsi="Times New Roman" w:eastAsia="宋体" w:cs="Times New Roman"/>
                <w:b w:val="0"/>
                <w:bCs w:val="0"/>
                <w:color w:val="auto"/>
                <w:sz w:val="22"/>
                <w:szCs w:val="22"/>
                <w:u w:val="none" w:color="auto"/>
                <w:vertAlign w:val="baseline"/>
                <w:lang w:val="en-US" w:eastAsia="zh-CN"/>
              </w:rPr>
              <w:t>/s</w:t>
            </w:r>
          </w:p>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生态水位：一般水期（）</w:t>
            </w:r>
            <w:r>
              <w:rPr>
                <w:rFonts w:hint="default" w:ascii="Times New Roman" w:hAnsi="Times New Roman" w:eastAsia="宋体" w:cs="Times New Roman"/>
                <w:b w:val="0"/>
                <w:bCs w:val="0"/>
                <w:color w:val="auto"/>
                <w:sz w:val="22"/>
                <w:szCs w:val="22"/>
                <w:u w:val="none" w:color="auto"/>
                <w:vertAlign w:val="baseline"/>
                <w:lang w:val="en-US" w:eastAsia="zh-CN"/>
              </w:rPr>
              <w:t>m；鱼类繁殖期</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m；其他</w:t>
            </w:r>
            <w:r>
              <w:rPr>
                <w:rFonts w:hint="default" w:ascii="Times New Roman" w:hAnsi="Times New Roman" w:eastAsia="宋体" w:cs="Times New Roman"/>
                <w:b w:val="0"/>
                <w:bCs w:val="0"/>
                <w:color w:val="auto"/>
                <w:sz w:val="22"/>
                <w:szCs w:val="22"/>
                <w:u w:val="none" w:color="auto"/>
                <w:vertAlign w:val="baseline"/>
                <w:lang w:eastAsia="zh-CN"/>
              </w:rPr>
              <w:t>（）</w:t>
            </w:r>
            <w:r>
              <w:rPr>
                <w:rFonts w:hint="default" w:ascii="Times New Roman" w:hAnsi="Times New Roman" w:eastAsia="宋体" w:cs="Times New Roman"/>
                <w:b w:val="0"/>
                <w:bCs w:val="0"/>
                <w:color w:val="auto"/>
                <w:sz w:val="22"/>
                <w:szCs w:val="22"/>
                <w:u w:val="none" w:color="auto"/>
                <w:vertAlign w:val="baseline"/>
                <w:lang w:val="en-US" w:eastAsia="zh-CN"/>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1499"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防治措施</w:t>
            </w:r>
          </w:p>
        </w:tc>
        <w:tc>
          <w:tcPr>
            <w:tcW w:w="1351" w:type="dxa"/>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环保措施</w:t>
            </w:r>
          </w:p>
        </w:tc>
        <w:tc>
          <w:tcPr>
            <w:tcW w:w="6664" w:type="dxa"/>
            <w:gridSpan w:val="11"/>
            <w:tcBorders>
              <w:tl2br w:val="nil"/>
              <w:tr2bl w:val="nil"/>
            </w:tcBorders>
            <w:noWrap w:val="0"/>
            <w:vAlign w:val="center"/>
          </w:tcPr>
          <w:p>
            <w:pPr>
              <w:spacing w:line="360" w:lineRule="auto"/>
              <w:jc w:val="left"/>
              <w:rPr>
                <w:rFonts w:hint="default" w:ascii="Times New Roman" w:hAnsi="Times New Roman" w:eastAsia="宋体" w:cs="Times New Roman"/>
                <w:b w:val="0"/>
                <w:bCs w:val="0"/>
                <w:color w:val="auto"/>
                <w:sz w:val="22"/>
                <w:szCs w:val="22"/>
                <w:u w:val="none" w:color="auto"/>
                <w:vertAlign w:val="baseline"/>
                <w:lang w:eastAsia="zh-CN"/>
              </w:rPr>
            </w:pPr>
            <w:r>
              <w:rPr>
                <w:rFonts w:hint="eastAsia" w:cs="Times New Roman"/>
                <w:b w:val="0"/>
                <w:bCs w:val="0"/>
                <w:color w:val="auto"/>
                <w:sz w:val="22"/>
                <w:szCs w:val="22"/>
                <w:u w:val="none" w:color="auto"/>
                <w:vertAlign w:val="baseline"/>
                <w:lang w:eastAsia="zh-CN"/>
              </w:rPr>
              <w:t>地埋式一体化污水处理设施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；水文减缓措施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□；生态流量保障设施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□；区域削减</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□；依托其他工程措施</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；其他</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499" w:type="dxa"/>
            <w:vMerge w:val="continue"/>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监测计划</w:t>
            </w: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环境质量</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监测方式</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A3"/>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手动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；自动</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□；无监测</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监测点位</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eastAsia="zh-CN"/>
              </w:rPr>
              <w:t>废水总排口</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09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监测因子</w:t>
            </w:r>
          </w:p>
        </w:tc>
        <w:tc>
          <w:tcPr>
            <w:tcW w:w="2662"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p>
        </w:tc>
        <w:tc>
          <w:tcPr>
            <w:tcW w:w="2911" w:type="dxa"/>
            <w:gridSpan w:val="5"/>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w:t>
            </w:r>
            <w:r>
              <w:rPr>
                <w:rFonts w:hint="eastAsia" w:cs="Times New Roman"/>
                <w:b w:val="0"/>
                <w:bCs w:val="0"/>
                <w:color w:val="auto"/>
                <w:sz w:val="22"/>
                <w:szCs w:val="22"/>
                <w:u w:val="none" w:color="auto"/>
                <w:vertAlign w:val="baseline"/>
                <w:lang w:val="en-US" w:eastAsia="zh-CN"/>
              </w:rPr>
              <w:t>PH值、化学需氧量、氨氮、动植物油、SS</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污染物排</w:t>
            </w:r>
          </w:p>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放清单</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499" w:type="dxa"/>
            <w:vMerge w:val="continue"/>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p>
        </w:tc>
        <w:tc>
          <w:tcPr>
            <w:tcW w:w="1351" w:type="dxa"/>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评价结论</w:t>
            </w:r>
          </w:p>
        </w:tc>
        <w:tc>
          <w:tcPr>
            <w:tcW w:w="6664" w:type="dxa"/>
            <w:gridSpan w:val="11"/>
            <w:tcBorders>
              <w:tl2br w:val="nil"/>
              <w:tr2bl w:val="nil"/>
            </w:tcBorders>
            <w:noWrap w:val="0"/>
            <w:vAlign w:val="top"/>
          </w:tcPr>
          <w:p>
            <w:pPr>
              <w:spacing w:line="360" w:lineRule="auto"/>
              <w:jc w:val="center"/>
              <w:rPr>
                <w:rFonts w:hint="default" w:ascii="Times New Roman" w:hAnsi="Times New Roman" w:eastAsia="宋体" w:cs="Times New Roman"/>
                <w:b w:val="0"/>
                <w:bCs w:val="0"/>
                <w:color w:val="auto"/>
                <w:sz w:val="22"/>
                <w:szCs w:val="22"/>
                <w:u w:val="none" w:color="auto"/>
                <w:vertAlign w:val="baseline"/>
                <w:lang w:eastAsia="zh-CN"/>
              </w:rPr>
            </w:pPr>
            <w:r>
              <w:rPr>
                <w:rFonts w:hint="default" w:ascii="Times New Roman" w:hAnsi="Times New Roman" w:eastAsia="宋体" w:cs="Times New Roman"/>
                <w:b w:val="0"/>
                <w:bCs w:val="0"/>
                <w:color w:val="auto"/>
                <w:sz w:val="22"/>
                <w:szCs w:val="22"/>
                <w:u w:val="none" w:color="auto"/>
                <w:vertAlign w:val="baseline"/>
                <w:lang w:eastAsia="zh-CN"/>
              </w:rPr>
              <w:t>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；不可以接受</w:t>
            </w:r>
            <w:r>
              <w:rPr>
                <w:rFonts w:hint="default" w:ascii="Times New Roman" w:hAnsi="Times New Roman" w:eastAsia="宋体" w:cs="Times New Roman"/>
                <w:b w:val="0"/>
                <w:bCs w:val="0"/>
                <w:color w:val="auto"/>
                <w:sz w:val="22"/>
                <w:szCs w:val="22"/>
                <w:u w:val="none" w:color="auto"/>
                <w:vertAlign w:val="baseline"/>
                <w:lang w:val="en-US" w:eastAsia="zh-CN"/>
              </w:rPr>
              <w:t xml:space="preserve"> </w:t>
            </w:r>
            <w:r>
              <w:rPr>
                <w:rFonts w:hint="default" w:ascii="Times New Roman" w:hAnsi="Times New Roman" w:eastAsia="宋体" w:cs="Times New Roman"/>
                <w:b w:val="0"/>
                <w:bCs w:val="0"/>
                <w:color w:val="auto"/>
                <w:sz w:val="22"/>
                <w:szCs w:val="22"/>
                <w:u w:val="none" w:color="auto"/>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9514" w:type="dxa"/>
            <w:gridSpan w:val="13"/>
            <w:tcBorders>
              <w:tl2br w:val="nil"/>
              <w:tr2bl w:val="nil"/>
            </w:tcBorders>
            <w:noWrap w:val="0"/>
            <w:vAlign w:val="top"/>
          </w:tcPr>
          <w:p>
            <w:pPr>
              <w:spacing w:line="360" w:lineRule="auto"/>
              <w:jc w:val="left"/>
              <w:rPr>
                <w:rFonts w:hint="default" w:ascii="Times New Roman" w:hAnsi="Times New Roman" w:eastAsia="宋体" w:cs="Times New Roman"/>
                <w:b w:val="0"/>
                <w:bCs w:val="0"/>
                <w:color w:val="auto"/>
                <w:sz w:val="22"/>
                <w:szCs w:val="22"/>
                <w:u w:val="none" w:color="auto"/>
                <w:vertAlign w:val="baseline"/>
                <w:lang w:val="en-US" w:eastAsia="zh-CN"/>
              </w:rPr>
            </w:pPr>
            <w:r>
              <w:rPr>
                <w:rFonts w:hint="default" w:ascii="Times New Roman" w:hAnsi="Times New Roman" w:eastAsia="宋体" w:cs="Times New Roman"/>
                <w:b w:val="0"/>
                <w:bCs w:val="0"/>
                <w:color w:val="auto"/>
                <w:sz w:val="22"/>
                <w:szCs w:val="22"/>
                <w:u w:val="none" w:color="auto"/>
                <w:vertAlign w:val="baseline"/>
                <w:lang w:eastAsia="zh-CN"/>
              </w:rPr>
              <w:t>注：“□”为勾选项，可</w:t>
            </w:r>
            <w:r>
              <w:rPr>
                <w:rFonts w:hint="default" w:ascii="Times New Roman" w:hAnsi="Times New Roman" w:eastAsia="宋体" w:cs="Times New Roman"/>
                <w:b w:val="0"/>
                <w:bCs w:val="0"/>
                <w:color w:val="auto"/>
                <w:sz w:val="22"/>
                <w:szCs w:val="22"/>
                <w:u w:val="none" w:color="auto"/>
                <w:vertAlign w:val="baseline"/>
                <w:lang w:eastAsia="zh-CN"/>
              </w:rPr>
              <w:sym w:font="Wingdings 2" w:char="0052"/>
            </w:r>
            <w:r>
              <w:rPr>
                <w:rFonts w:hint="default" w:ascii="Times New Roman" w:hAnsi="Times New Roman" w:eastAsia="宋体" w:cs="Times New Roman"/>
                <w:b w:val="0"/>
                <w:bCs w:val="0"/>
                <w:color w:val="auto"/>
                <w:sz w:val="22"/>
                <w:szCs w:val="22"/>
                <w:u w:val="none" w:color="auto"/>
                <w:vertAlign w:val="baseline"/>
                <w:lang w:eastAsia="zh-CN"/>
              </w:rPr>
              <w:t>：“（）”为内容填写项；“备注”为其他补充内容</w:t>
            </w:r>
          </w:p>
        </w:tc>
      </w:tr>
    </w:tbl>
    <w:p>
      <w:pPr>
        <w:jc w:val="center"/>
        <w:rPr>
          <w:rFonts w:hint="default" w:ascii="Times New Roman" w:hAnsi="Times New Roman" w:eastAsia="宋体" w:cs="Times New Roman"/>
          <w:b/>
          <w:bCs/>
          <w:color w:val="auto"/>
          <w:sz w:val="28"/>
          <w:szCs w:val="36"/>
          <w:u w:val="none" w:color="auto"/>
        </w:rPr>
      </w:pPr>
      <w:r>
        <w:rPr>
          <w:rFonts w:hint="eastAsia" w:ascii="Times New Roman" w:hAnsi="Times New Roman" w:eastAsia="宋体" w:cs="Times New Roman"/>
          <w:b/>
          <w:bCs/>
          <w:color w:val="auto"/>
          <w:sz w:val="28"/>
          <w:szCs w:val="36"/>
          <w:u w:val="none" w:color="auto"/>
          <w:lang w:val="en-US" w:eastAsia="zh-CN"/>
        </w:rPr>
        <w:t xml:space="preserve"> </w:t>
      </w:r>
      <w:r>
        <w:rPr>
          <w:rFonts w:hint="default" w:ascii="Times New Roman" w:hAnsi="Times New Roman" w:eastAsia="宋体" w:cs="Times New Roman"/>
          <w:b/>
          <w:bCs/>
          <w:color w:val="auto"/>
          <w:sz w:val="28"/>
          <w:szCs w:val="36"/>
          <w:u w:val="none" w:color="auto"/>
        </w:rPr>
        <w:t>环境风险评价自查表</w:t>
      </w:r>
    </w:p>
    <w:tbl>
      <w:tblPr>
        <w:tblStyle w:val="41"/>
        <w:tblW w:w="951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5"/>
        <w:gridCol w:w="1082"/>
        <w:gridCol w:w="844"/>
        <w:gridCol w:w="340"/>
        <w:gridCol w:w="349"/>
        <w:gridCol w:w="408"/>
        <w:gridCol w:w="278"/>
        <w:gridCol w:w="182"/>
        <w:gridCol w:w="1"/>
        <w:gridCol w:w="506"/>
        <w:gridCol w:w="689"/>
        <w:gridCol w:w="9"/>
        <w:gridCol w:w="732"/>
        <w:gridCol w:w="114"/>
        <w:gridCol w:w="12"/>
        <w:gridCol w:w="506"/>
        <w:gridCol w:w="1"/>
        <w:gridCol w:w="10"/>
        <w:gridCol w:w="967"/>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工作内容</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风险调查</w:t>
            </w: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危险物质</w:t>
            </w: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名称</w:t>
            </w:r>
          </w:p>
        </w:tc>
        <w:tc>
          <w:tcPr>
            <w:tcW w:w="1375" w:type="dxa"/>
            <w:gridSpan w:val="4"/>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val="en-US" w:eastAsia="zh-CN"/>
              </w:rPr>
            </w:pPr>
            <w:r>
              <w:rPr>
                <w:rFonts w:hint="eastAsia" w:cs="Times New Roman"/>
                <w:color w:val="auto"/>
                <w:sz w:val="22"/>
                <w:szCs w:val="22"/>
                <w:u w:val="none" w:color="auto"/>
                <w:lang w:val="en-US" w:eastAsia="zh-CN"/>
              </w:rPr>
              <w:t>变压器油</w:t>
            </w:r>
          </w:p>
        </w:tc>
        <w:tc>
          <w:tcPr>
            <w:tcW w:w="1378" w:type="dxa"/>
            <w:gridSpan w:val="4"/>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r>
              <w:rPr>
                <w:rFonts w:hint="eastAsia" w:cs="Times New Roman"/>
                <w:color w:val="auto"/>
                <w:sz w:val="22"/>
                <w:szCs w:val="22"/>
                <w:u w:val="none" w:color="auto"/>
                <w:lang w:eastAsia="zh-CN"/>
              </w:rPr>
              <w:t>乙炔</w:t>
            </w:r>
          </w:p>
        </w:tc>
        <w:tc>
          <w:tcPr>
            <w:tcW w:w="1374" w:type="dxa"/>
            <w:gridSpan w:val="6"/>
            <w:tcBorders>
              <w:tl2br w:val="nil"/>
              <w:tr2bl w:val="nil"/>
            </w:tcBorders>
            <w:noWrap w:val="0"/>
            <w:vAlign w:val="center"/>
          </w:tcPr>
          <w:p>
            <w:pPr>
              <w:ind w:left="0" w:leftChars="0" w:firstLine="0" w:firstLineChars="0"/>
              <w:jc w:val="center"/>
              <w:rPr>
                <w:rFonts w:hint="eastAsia" w:ascii="Times New Roman" w:hAnsi="Times New Roman" w:eastAsia="宋体" w:cs="Times New Roman"/>
                <w:color w:val="auto"/>
                <w:sz w:val="22"/>
                <w:szCs w:val="22"/>
                <w:u w:val="none" w:color="auto"/>
                <w:lang w:eastAsia="zh-CN"/>
              </w:rPr>
            </w:pPr>
          </w:p>
        </w:tc>
        <w:tc>
          <w:tcPr>
            <w:tcW w:w="97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139"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存在总量/t</w:t>
            </w:r>
          </w:p>
        </w:tc>
        <w:tc>
          <w:tcPr>
            <w:tcW w:w="1375"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5</w:t>
            </w:r>
          </w:p>
        </w:tc>
        <w:tc>
          <w:tcPr>
            <w:tcW w:w="1378"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eastAsia" w:cs="Times New Roman"/>
                <w:color w:val="auto"/>
                <w:sz w:val="22"/>
                <w:szCs w:val="22"/>
                <w:u w:val="none" w:color="auto"/>
                <w:lang w:val="en-US" w:eastAsia="zh-CN"/>
              </w:rPr>
              <w:t>0.05</w:t>
            </w:r>
          </w:p>
        </w:tc>
        <w:tc>
          <w:tcPr>
            <w:tcW w:w="1374" w:type="dxa"/>
            <w:gridSpan w:val="6"/>
            <w:tcBorders>
              <w:tl2br w:val="nil"/>
              <w:tr2bl w:val="nil"/>
            </w:tcBorders>
            <w:noWrap w:val="0"/>
            <w:vAlign w:val="center"/>
          </w:tcPr>
          <w:p>
            <w:pPr>
              <w:ind w:left="0" w:leftChars="0" w:firstLine="0" w:firstLineChars="0"/>
              <w:jc w:val="center"/>
              <w:rPr>
                <w:rFonts w:hint="default" w:ascii="Times New Roman" w:hAnsi="Times New Roman" w:eastAsia="宋体" w:cs="Times New Roman"/>
                <w:color w:val="auto"/>
                <w:sz w:val="22"/>
                <w:szCs w:val="22"/>
                <w:u w:val="none" w:color="auto"/>
                <w:lang w:val="en-US" w:eastAsia="zh-CN"/>
              </w:rPr>
            </w:pPr>
          </w:p>
        </w:tc>
        <w:tc>
          <w:tcPr>
            <w:tcW w:w="97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139"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环境敏感性</w:t>
            </w: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2753"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500m范围内人口数___</w:t>
            </w:r>
            <w:r>
              <w:rPr>
                <w:rFonts w:hint="eastAsia" w:ascii="Times New Roman" w:hAnsi="Times New Roman" w:cs="Times New Roman"/>
                <w:color w:val="auto"/>
                <w:sz w:val="22"/>
                <w:szCs w:val="22"/>
                <w:u w:val="none" w:color="auto"/>
                <w:lang w:eastAsia="zh-CN"/>
              </w:rPr>
              <w:t>小于</w:t>
            </w:r>
            <w:r>
              <w:rPr>
                <w:rFonts w:hint="default" w:ascii="Times New Roman" w:hAnsi="Times New Roman" w:cs="Times New Roman"/>
                <w:color w:val="auto"/>
                <w:sz w:val="22"/>
                <w:szCs w:val="22"/>
                <w:u w:val="none" w:color="auto"/>
                <w:lang w:val="en-US" w:eastAsia="zh-CN"/>
              </w:rPr>
              <w:t>500</w:t>
            </w:r>
            <w:r>
              <w:rPr>
                <w:rFonts w:hint="default" w:ascii="Times New Roman" w:hAnsi="Times New Roman" w:cs="Times New Roman"/>
                <w:color w:val="auto"/>
                <w:sz w:val="22"/>
                <w:szCs w:val="22"/>
                <w:u w:val="none" w:color="auto"/>
              </w:rPr>
              <w:t>____人</w:t>
            </w:r>
          </w:p>
        </w:tc>
        <w:tc>
          <w:tcPr>
            <w:tcW w:w="3490" w:type="dxa"/>
            <w:gridSpan w:val="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5km范围内人口数_______人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4126" w:type="dxa"/>
            <w:gridSpan w:val="1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每公里管段周边200m范围内人口数（最大）</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_______人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地表水功能敏感性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环境敏感目标分级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地下水功能敏感性</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包气带防污性能</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D1□</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D2□</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物质及工艺系统危险性</w:t>
            </w: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Q＜1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1≤Q＜10□</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10≤Q＜100□</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M1</w:t>
            </w:r>
            <w:r>
              <w:rPr>
                <w:rFonts w:hint="default" w:ascii="Times New Roman" w:hAnsi="Times New Roman" w:cs="Times New Roman"/>
                <w:color w:val="auto"/>
                <w:sz w:val="22"/>
                <w:szCs w:val="22"/>
                <w:u w:val="none" w:color="auto"/>
                <w:lang w:eastAsia="zh-CN"/>
              </w:rPr>
              <w:t>□</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M2□</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M3□</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M4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844"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P值</w:t>
            </w:r>
          </w:p>
        </w:tc>
        <w:tc>
          <w:tcPr>
            <w:tcW w:w="1558"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P1□</w:t>
            </w:r>
          </w:p>
        </w:tc>
        <w:tc>
          <w:tcPr>
            <w:tcW w:w="1195"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P2□</w:t>
            </w:r>
          </w:p>
        </w:tc>
        <w:tc>
          <w:tcPr>
            <w:tcW w:w="137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P3□</w:t>
            </w:r>
          </w:p>
        </w:tc>
        <w:tc>
          <w:tcPr>
            <w:tcW w:w="21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P4</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环境敏感程度</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E2</w:t>
            </w:r>
            <w:r>
              <w:rPr>
                <w:rFonts w:hint="eastAsia" w:cs="Times New Roman"/>
                <w:color w:val="auto"/>
                <w:sz w:val="22"/>
                <w:szCs w:val="22"/>
                <w:u w:val="none" w:color="auto"/>
                <w:lang w:eastAsia="zh-CN"/>
              </w:rPr>
              <w:t>□</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E1□</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E2□</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E3</w:t>
            </w:r>
            <w:r>
              <w:rPr>
                <w:rFonts w:hint="eastAsia"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环境风险潜势</w:t>
            </w:r>
          </w:p>
        </w:tc>
        <w:tc>
          <w:tcPr>
            <w:tcW w:w="1184"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r>
              <w:rPr>
                <w:rFonts w:hint="eastAsia" w:cs="Times New Roman"/>
                <w:color w:val="auto"/>
                <w:sz w:val="22"/>
                <w:szCs w:val="22"/>
                <w:u w:val="none" w:color="auto"/>
                <w:lang w:eastAsia="zh-CN"/>
              </w:rPr>
              <w:t>□</w:t>
            </w:r>
          </w:p>
        </w:tc>
        <w:tc>
          <w:tcPr>
            <w:tcW w:w="1217"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IV□</w:t>
            </w:r>
          </w:p>
        </w:tc>
        <w:tc>
          <w:tcPr>
            <w:tcW w:w="1205"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III□</w:t>
            </w:r>
          </w:p>
        </w:tc>
        <w:tc>
          <w:tcPr>
            <w:tcW w:w="137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II□</w:t>
            </w:r>
          </w:p>
        </w:tc>
        <w:tc>
          <w:tcPr>
            <w:tcW w:w="2106"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I</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评价等级</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一级□</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二级□</w:t>
            </w:r>
          </w:p>
        </w:tc>
        <w:tc>
          <w:tcPr>
            <w:tcW w:w="1544"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三级□</w:t>
            </w:r>
          </w:p>
        </w:tc>
        <w:tc>
          <w:tcPr>
            <w:tcW w:w="2635" w:type="dxa"/>
            <w:gridSpan w:val="6"/>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简单分析</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风险识别</w:t>
            </w: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物质危险性</w:t>
            </w:r>
          </w:p>
        </w:tc>
        <w:tc>
          <w:tcPr>
            <w:tcW w:w="2908"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有毒有害□</w:t>
            </w:r>
          </w:p>
        </w:tc>
        <w:tc>
          <w:tcPr>
            <w:tcW w:w="4179" w:type="dxa"/>
            <w:gridSpan w:val="1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易燃易爆</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环境风险类型</w:t>
            </w:r>
          </w:p>
        </w:tc>
        <w:tc>
          <w:tcPr>
            <w:tcW w:w="2908" w:type="dxa"/>
            <w:gridSpan w:val="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泄漏</w:t>
            </w:r>
            <w:r>
              <w:rPr>
                <w:rFonts w:hint="default" w:ascii="Times New Roman" w:hAnsi="Times New Roman" w:cs="Times New Roman"/>
                <w:color w:val="auto"/>
                <w:sz w:val="22"/>
                <w:szCs w:val="22"/>
                <w:u w:val="none" w:color="auto"/>
              </w:rPr>
              <w:sym w:font="Wingdings 2" w:char="0052"/>
            </w:r>
          </w:p>
        </w:tc>
        <w:tc>
          <w:tcPr>
            <w:tcW w:w="4179" w:type="dxa"/>
            <w:gridSpan w:val="1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火灾、爆炸引发伴生/次生污染物排放</w:t>
            </w:r>
            <w:r>
              <w:rPr>
                <w:rFonts w:hint="default" w:ascii="Times New Roman" w:hAnsi="Times New Roman" w:cs="Times New Roman"/>
                <w:color w:val="auto"/>
                <w:sz w:val="22"/>
                <w:szCs w:val="22"/>
                <w:u w:val="none" w:color="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6"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影响途径</w:t>
            </w:r>
          </w:p>
        </w:tc>
        <w:tc>
          <w:tcPr>
            <w:tcW w:w="1941" w:type="dxa"/>
            <w:gridSpan w:val="4"/>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大气</w:t>
            </w:r>
            <w:r>
              <w:rPr>
                <w:rFonts w:hint="default" w:ascii="Times New Roman" w:hAnsi="Times New Roman" w:cs="Times New Roman"/>
                <w:color w:val="auto"/>
                <w:sz w:val="22"/>
                <w:szCs w:val="22"/>
                <w:u w:val="none" w:color="auto"/>
                <w:lang w:eastAsia="zh-CN"/>
              </w:rPr>
              <w:sym w:font="Wingdings 2" w:char="0052"/>
            </w:r>
          </w:p>
        </w:tc>
        <w:tc>
          <w:tcPr>
            <w:tcW w:w="2397"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eastAsia="zh-CN"/>
              </w:rPr>
            </w:pPr>
            <w:r>
              <w:rPr>
                <w:rFonts w:hint="default" w:ascii="Times New Roman" w:hAnsi="Times New Roman" w:cs="Times New Roman"/>
                <w:color w:val="auto"/>
                <w:sz w:val="22"/>
                <w:szCs w:val="22"/>
                <w:u w:val="none" w:color="auto"/>
              </w:rPr>
              <w:t>地表水</w:t>
            </w:r>
            <w:r>
              <w:rPr>
                <w:rFonts w:hint="default" w:ascii="Times New Roman" w:hAnsi="Times New Roman" w:cs="Times New Roman"/>
                <w:color w:val="auto"/>
                <w:sz w:val="22"/>
                <w:szCs w:val="22"/>
                <w:u w:val="none" w:color="auto"/>
                <w:lang w:eastAsia="zh-CN"/>
              </w:rPr>
              <w:t>☑</w:t>
            </w:r>
          </w:p>
        </w:tc>
        <w:tc>
          <w:tcPr>
            <w:tcW w:w="2749"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27" w:type="dxa"/>
            <w:gridSpan w:val="2"/>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事故情形分析</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源强设定方法</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计算法□</w:t>
            </w:r>
          </w:p>
        </w:tc>
        <w:tc>
          <w:tcPr>
            <w:tcW w:w="1430"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经验估算法□</w:t>
            </w:r>
          </w:p>
        </w:tc>
        <w:tc>
          <w:tcPr>
            <w:tcW w:w="2749" w:type="dxa"/>
            <w:gridSpan w:val="7"/>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其他估算法</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1345"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风险预测与评价</w:t>
            </w: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w:t>
            </w:r>
          </w:p>
        </w:tc>
        <w:tc>
          <w:tcPr>
            <w:tcW w:w="1533" w:type="dxa"/>
            <w:gridSpan w:val="3"/>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预测模型</w:t>
            </w:r>
          </w:p>
        </w:tc>
        <w:tc>
          <w:tcPr>
            <w:tcW w:w="1375"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SLAB□</w:t>
            </w:r>
          </w:p>
        </w:tc>
        <w:tc>
          <w:tcPr>
            <w:tcW w:w="1556"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AFTOX□</w:t>
            </w:r>
          </w:p>
        </w:tc>
        <w:tc>
          <w:tcPr>
            <w:tcW w:w="2623" w:type="dxa"/>
            <w:gridSpan w:val="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其他</w:t>
            </w:r>
            <w:r>
              <w:rPr>
                <w:rFonts w:hint="default" w:ascii="Times New Roman" w:hAnsi="Times New Roman" w:cs="Times New Roman"/>
                <w:color w:val="auto"/>
                <w:sz w:val="22"/>
                <w:szCs w:val="22"/>
                <w:u w:val="none" w:color="auto"/>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预测结果</w:t>
            </w:r>
          </w:p>
        </w:tc>
        <w:tc>
          <w:tcPr>
            <w:tcW w:w="5554" w:type="dxa"/>
            <w:gridSpan w:val="1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大气毒性终点浓度-1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533" w:type="dxa"/>
            <w:gridSpan w:val="3"/>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5554" w:type="dxa"/>
            <w:gridSpan w:val="15"/>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大气毒性终点浓度-2  最大影响范围___m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地表水</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restart"/>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地下水</w:t>
            </w: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下游厂区边界到达时间_____d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345"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1082" w:type="dxa"/>
            <w:vMerge w:val="continue"/>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p>
        </w:tc>
        <w:tc>
          <w:tcPr>
            <w:tcW w:w="7087" w:type="dxa"/>
            <w:gridSpan w:val="18"/>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最近环境敏感目标_____，到达时间______d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1345"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重点风险</w:t>
            </w:r>
          </w:p>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防范措施</w:t>
            </w:r>
          </w:p>
        </w:tc>
        <w:tc>
          <w:tcPr>
            <w:tcW w:w="8169" w:type="dxa"/>
            <w:gridSpan w:val="1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lang w:val="en-US" w:eastAsia="zh-CN"/>
              </w:rPr>
              <w:t>地面防渗，设置围堰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8" w:hRule="atLeast"/>
        </w:trPr>
        <w:tc>
          <w:tcPr>
            <w:tcW w:w="1345" w:type="dxa"/>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评价结论与建议</w:t>
            </w:r>
          </w:p>
        </w:tc>
        <w:tc>
          <w:tcPr>
            <w:tcW w:w="8169" w:type="dxa"/>
            <w:gridSpan w:val="19"/>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lang w:val="en-US" w:eastAsia="zh-CN"/>
              </w:rPr>
            </w:pPr>
            <w:r>
              <w:rPr>
                <w:rFonts w:hint="default" w:ascii="Times New Roman" w:hAnsi="Times New Roman" w:cs="Times New Roman"/>
                <w:color w:val="auto"/>
                <w:sz w:val="22"/>
                <w:szCs w:val="22"/>
                <w:u w:val="none" w:color="auto"/>
              </w:rPr>
              <w:t>综上所述，项目存在一定风险，在采取相应的风险防范措施下，项目的风险处于环境可接受的水平，项目建设从环境风险角度分析可行</w:t>
            </w:r>
            <w:r>
              <w:rPr>
                <w:rFonts w:hint="default" w:ascii="Times New Roman" w:hAnsi="Times New Roman" w:cs="Times New Roman"/>
                <w:color w:val="auto"/>
                <w:sz w:val="22"/>
                <w:szCs w:val="22"/>
                <w:u w:val="none" w:color="auto"/>
                <w:lang w:val="en-US" w:eastAsia="zh-CN"/>
              </w:rPr>
              <w:t xml:space="preserv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9514" w:type="dxa"/>
            <w:gridSpan w:val="20"/>
            <w:tcBorders>
              <w:tl2br w:val="nil"/>
              <w:tr2bl w:val="nil"/>
            </w:tcBorders>
            <w:noWrap w:val="0"/>
            <w:vAlign w:val="center"/>
          </w:tcPr>
          <w:p>
            <w:pPr>
              <w:ind w:left="0" w:leftChars="0" w:firstLine="0" w:firstLineChars="0"/>
              <w:jc w:val="center"/>
              <w:rPr>
                <w:rFonts w:hint="default" w:ascii="Times New Roman" w:hAnsi="Times New Roman" w:cs="Times New Roman"/>
                <w:color w:val="auto"/>
                <w:sz w:val="22"/>
                <w:szCs w:val="22"/>
                <w:u w:val="none" w:color="auto"/>
              </w:rPr>
            </w:pPr>
            <w:r>
              <w:rPr>
                <w:rFonts w:hint="default" w:ascii="Times New Roman" w:hAnsi="Times New Roman" w:cs="Times New Roman"/>
                <w:color w:val="auto"/>
                <w:sz w:val="22"/>
                <w:szCs w:val="22"/>
                <w:u w:val="none" w:color="auto"/>
              </w:rPr>
              <w:t>注：“□”为勾选项；“_____”为填写项</w:t>
            </w:r>
          </w:p>
        </w:tc>
      </w:tr>
    </w:tbl>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pStyle w:val="5"/>
        <w:rPr>
          <w:rFonts w:hint="default"/>
          <w:color w:val="auto"/>
          <w:u w:val="none" w:color="auto"/>
        </w:rPr>
      </w:pPr>
    </w:p>
    <w:p>
      <w:pPr>
        <w:rPr>
          <w:rFonts w:hint="default"/>
          <w:color w:val="auto"/>
          <w:u w:val="none" w:color="auto"/>
        </w:rPr>
      </w:pPr>
    </w:p>
    <w:p>
      <w:pPr>
        <w:pStyle w:val="5"/>
        <w:rPr>
          <w:rFonts w:hint="default"/>
          <w:color w:val="auto"/>
          <w:u w:val="none" w:color="auto"/>
        </w:rPr>
      </w:pPr>
    </w:p>
    <w:p>
      <w:pPr>
        <w:bidi w:val="0"/>
        <w:rPr>
          <w:rFonts w:hint="default"/>
          <w:color w:val="auto"/>
          <w:u w:val="none" w:color="auto"/>
        </w:rPr>
      </w:pPr>
    </w:p>
    <w:p>
      <w:pPr>
        <w:bidi w:val="0"/>
        <w:rPr>
          <w:rFonts w:hint="default"/>
          <w:color w:val="auto"/>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p>
    <w:p>
      <w:pPr>
        <w:keepNext w:val="0"/>
        <w:keepLines w:val="0"/>
        <w:pageBreakBefore w:val="0"/>
        <w:widowControl w:val="0"/>
        <w:kinsoku/>
        <w:wordWrap/>
        <w:overflowPunct/>
        <w:topLinePunct w:val="0"/>
        <w:autoSpaceDE/>
        <w:autoSpaceDN/>
        <w:bidi w:val="0"/>
        <w:adjustRightInd/>
        <w:snapToGrid/>
        <w:spacing w:line="351" w:lineRule="auto"/>
        <w:jc w:val="center"/>
        <w:textAlignment w:val="auto"/>
        <w:outlineLvl w:val="0"/>
        <w:rPr>
          <w:rFonts w:hint="default" w:ascii="Times New Roman" w:hAnsi="Times New Roman" w:cs="Times New Roman"/>
          <w:b/>
          <w:bCs/>
          <w:color w:val="auto"/>
          <w:sz w:val="36"/>
          <w:szCs w:val="36"/>
          <w:u w:val="none" w:color="auto"/>
        </w:rPr>
      </w:pPr>
      <w:r>
        <w:rPr>
          <w:rFonts w:hint="default" w:ascii="Times New Roman" w:hAnsi="Times New Roman" w:cs="Times New Roman"/>
          <w:b/>
          <w:bCs/>
          <w:color w:val="auto"/>
          <w:sz w:val="36"/>
          <w:szCs w:val="36"/>
          <w:u w:val="none" w:color="auto"/>
        </w:rPr>
        <w:t>注  释</w:t>
      </w:r>
    </w:p>
    <w:p>
      <w:pPr>
        <w:keepNext w:val="0"/>
        <w:keepLines w:val="0"/>
        <w:pageBreakBefore w:val="0"/>
        <w:widowControl w:val="0"/>
        <w:numPr>
          <w:ilvl w:val="0"/>
          <w:numId w:val="13"/>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本报告表附以下附件、附图：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附件1  委托书</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 xml:space="preserve">附件2  </w:t>
      </w:r>
      <w:r>
        <w:rPr>
          <w:rFonts w:hint="default" w:ascii="Times New Roman" w:hAnsi="Times New Roman" w:cs="Times New Roman"/>
          <w:color w:val="auto"/>
          <w:sz w:val="24"/>
          <w:szCs w:val="24"/>
          <w:u w:val="none" w:color="auto"/>
          <w:lang w:eastAsia="zh-CN"/>
        </w:rPr>
        <w:t>营业执照</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val="en-US" w:eastAsia="zh-CN"/>
        </w:rPr>
      </w:pPr>
      <w:r>
        <w:rPr>
          <w:rFonts w:hint="default" w:ascii="Times New Roman" w:hAnsi="Times New Roman" w:cs="Times New Roman"/>
          <w:color w:val="auto"/>
          <w:sz w:val="24"/>
          <w:szCs w:val="24"/>
          <w:u w:val="none" w:color="auto"/>
        </w:rPr>
        <w:t xml:space="preserve">附件3  </w:t>
      </w:r>
      <w:r>
        <w:rPr>
          <w:rFonts w:hint="eastAsia" w:cs="Times New Roman"/>
          <w:color w:val="auto"/>
          <w:sz w:val="24"/>
          <w:szCs w:val="24"/>
          <w:u w:val="none" w:color="auto"/>
          <w:lang w:eastAsia="zh-CN"/>
        </w:rPr>
        <w:t>国土证</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default" w:ascii="Times New Roman" w:hAnsi="Times New Roman" w:cs="Times New Roman"/>
          <w:color w:val="auto"/>
          <w:sz w:val="24"/>
          <w:szCs w:val="24"/>
          <w:u w:val="none" w:color="auto"/>
        </w:rPr>
        <w:t>附件</w:t>
      </w:r>
      <w:r>
        <w:rPr>
          <w:rFonts w:hint="eastAsia"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eastAsia="zh-CN"/>
        </w:rPr>
        <w:t>项目备案批复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原环评批复及验收批复</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附件</w:t>
      </w:r>
      <w:r>
        <w:rPr>
          <w:rFonts w:hint="eastAsia" w:cs="Times New Roman"/>
          <w:color w:val="auto"/>
          <w:sz w:val="24"/>
          <w:szCs w:val="24"/>
          <w:u w:val="none" w:color="auto"/>
          <w:lang w:val="en-US" w:eastAsia="zh-CN"/>
        </w:rPr>
        <w:t>6</w:t>
      </w:r>
      <w:r>
        <w:rPr>
          <w:rFonts w:hint="eastAsia" w:ascii="Times New Roman" w:hAnsi="Times New Roman" w:cs="Times New Roman"/>
          <w:color w:val="auto"/>
          <w:sz w:val="24"/>
          <w:szCs w:val="24"/>
          <w:u w:val="none" w:color="auto"/>
          <w:lang w:val="en-US" w:eastAsia="zh-CN"/>
        </w:rPr>
        <w:t xml:space="preserve">  </w:t>
      </w:r>
      <w:r>
        <w:rPr>
          <w:rFonts w:hint="eastAsia" w:cs="Times New Roman"/>
          <w:color w:val="auto"/>
          <w:sz w:val="24"/>
          <w:szCs w:val="24"/>
          <w:u w:val="none" w:color="auto"/>
          <w:lang w:val="en-US" w:eastAsia="zh-CN"/>
        </w:rPr>
        <w:t>原项目危险废物处理合同</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附件7  环评监测</w:t>
      </w:r>
      <w:r>
        <w:rPr>
          <w:rFonts w:hint="eastAsia" w:ascii="Times New Roman" w:hAnsi="Times New Roman" w:cs="Times New Roman"/>
          <w:color w:val="auto"/>
          <w:sz w:val="24"/>
          <w:szCs w:val="24"/>
          <w:u w:val="none" w:color="auto"/>
          <w:lang w:val="en-US" w:eastAsia="zh-CN"/>
        </w:rPr>
        <w:t>质保单</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cs="Times New Roman"/>
          <w:color w:val="auto"/>
          <w:sz w:val="24"/>
          <w:szCs w:val="24"/>
          <w:u w:val="none" w:color="auto"/>
          <w:lang w:val="en-US" w:eastAsia="zh-CN"/>
        </w:rPr>
      </w:pPr>
      <w:r>
        <w:rPr>
          <w:rFonts w:hint="eastAsia" w:cs="Times New Roman"/>
          <w:color w:val="auto"/>
          <w:sz w:val="24"/>
          <w:szCs w:val="24"/>
          <w:u w:val="none" w:color="auto"/>
          <w:lang w:val="en-US" w:eastAsia="zh-CN"/>
        </w:rPr>
        <w:t>附件8  扩建环保手续申请报告</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cs="Times New Roman"/>
          <w:color w:val="auto"/>
          <w:sz w:val="24"/>
          <w:szCs w:val="24"/>
          <w:u w:val="none" w:color="auto"/>
          <w:lang w:val="en-US" w:eastAsia="zh-CN"/>
        </w:rPr>
      </w:pPr>
      <w:r>
        <w:rPr>
          <w:rFonts w:hint="eastAsia" w:cs="Times New Roman"/>
          <w:color w:val="auto"/>
          <w:sz w:val="24"/>
          <w:szCs w:val="24"/>
          <w:u w:val="none" w:color="auto"/>
          <w:lang w:val="en-US" w:eastAsia="zh-CN"/>
        </w:rPr>
        <w:t>附件9 专家意见及专家签到表。</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附图1  本项目地理位置图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附图2</w:t>
      </w:r>
      <w:r>
        <w:rPr>
          <w:rFonts w:hint="eastAsia" w:cs="Times New Roman"/>
          <w:color w:val="auto"/>
          <w:sz w:val="24"/>
          <w:szCs w:val="24"/>
          <w:u w:val="none" w:color="auto"/>
          <w:lang w:val="en-US" w:eastAsia="zh-CN"/>
        </w:rPr>
        <w:t>-1</w:t>
      </w:r>
      <w:r>
        <w:rPr>
          <w:rFonts w:hint="default" w:ascii="Times New Roman" w:hAnsi="Times New Roman" w:cs="Times New Roman"/>
          <w:color w:val="auto"/>
          <w:sz w:val="24"/>
          <w:szCs w:val="24"/>
          <w:u w:val="none" w:color="auto"/>
        </w:rPr>
        <w:t xml:space="preserve"> </w:t>
      </w:r>
      <w:r>
        <w:rPr>
          <w:rFonts w:hint="eastAsia" w:cs="Times New Roman"/>
          <w:color w:val="auto"/>
          <w:sz w:val="24"/>
          <w:szCs w:val="24"/>
          <w:u w:val="none" w:color="auto"/>
          <w:lang w:eastAsia="zh-CN"/>
        </w:rPr>
        <w:t>扩建前</w:t>
      </w:r>
      <w:r>
        <w:rPr>
          <w:rFonts w:hint="default" w:ascii="Times New Roman" w:hAnsi="Times New Roman" w:cs="Times New Roman"/>
          <w:color w:val="auto"/>
          <w:sz w:val="24"/>
          <w:szCs w:val="24"/>
          <w:u w:val="none" w:color="auto"/>
        </w:rPr>
        <w:t>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eastAsia" w:ascii="Times New Roman" w:hAnsi="Times New Roman" w:eastAsia="宋体" w:cs="Times New Roman"/>
          <w:color w:val="auto"/>
          <w:sz w:val="24"/>
          <w:szCs w:val="24"/>
          <w:u w:val="none" w:color="auto"/>
          <w:lang w:eastAsia="zh-CN"/>
        </w:rPr>
      </w:pPr>
      <w:r>
        <w:rPr>
          <w:rFonts w:hint="eastAsia" w:cs="Times New Roman"/>
          <w:color w:val="auto"/>
          <w:sz w:val="24"/>
          <w:szCs w:val="24"/>
          <w:u w:val="none" w:color="auto"/>
          <w:lang w:eastAsia="zh-CN"/>
        </w:rPr>
        <w:t>附图</w:t>
      </w:r>
      <w:r>
        <w:rPr>
          <w:rFonts w:hint="eastAsia" w:cs="Times New Roman"/>
          <w:color w:val="auto"/>
          <w:sz w:val="24"/>
          <w:szCs w:val="24"/>
          <w:u w:val="none" w:color="auto"/>
          <w:lang w:val="en-US" w:eastAsia="zh-CN"/>
        </w:rPr>
        <w:t>2-2 扩建后平面布置图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附图3  声环境</w:t>
      </w:r>
      <w:r>
        <w:rPr>
          <w:rFonts w:hint="eastAsia" w:cs="Times New Roman"/>
          <w:color w:val="auto"/>
          <w:sz w:val="24"/>
          <w:szCs w:val="24"/>
          <w:u w:val="none" w:color="auto"/>
          <w:lang w:eastAsia="zh-CN"/>
        </w:rPr>
        <w:t>、废气、废水</w:t>
      </w:r>
      <w:r>
        <w:rPr>
          <w:rFonts w:hint="default" w:ascii="Times New Roman" w:hAnsi="Times New Roman" w:cs="Times New Roman"/>
          <w:color w:val="auto"/>
          <w:sz w:val="24"/>
          <w:szCs w:val="24"/>
          <w:u w:val="none" w:color="auto"/>
        </w:rPr>
        <w:t>现状监测点位图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附图</w:t>
      </w:r>
      <w:r>
        <w:rPr>
          <w:rFonts w:hint="eastAsia" w:ascii="Times New Roman" w:hAnsi="Times New Roman" w:cs="Times New Roman"/>
          <w:color w:val="auto"/>
          <w:sz w:val="24"/>
          <w:szCs w:val="24"/>
          <w:u w:val="none" w:color="auto"/>
          <w:lang w:val="en-US" w:eastAsia="zh-CN"/>
        </w:rPr>
        <w:t>4</w:t>
      </w:r>
      <w:r>
        <w:rPr>
          <w:rFonts w:hint="default" w:ascii="Times New Roman" w:hAnsi="Times New Roman" w:cs="Times New Roman"/>
          <w:color w:val="auto"/>
          <w:sz w:val="24"/>
          <w:szCs w:val="24"/>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rFonts w:hint="default" w:ascii="Times New Roman" w:hAnsi="Times New Roman" w:cs="Times New Roman"/>
          <w:color w:val="auto"/>
          <w:sz w:val="24"/>
          <w:szCs w:val="24"/>
          <w:u w:val="none" w:color="auto"/>
          <w:lang w:val="en-US" w:eastAsia="zh-CN"/>
        </w:rPr>
        <w:t>附图</w:t>
      </w:r>
      <w:r>
        <w:rPr>
          <w:rFonts w:hint="eastAsia" w:ascii="Times New Roman" w:hAnsi="Times New Roman" w:cs="Times New Roman"/>
          <w:color w:val="auto"/>
          <w:sz w:val="24"/>
          <w:szCs w:val="24"/>
          <w:u w:val="none" w:color="auto"/>
          <w:lang w:val="en-US" w:eastAsia="zh-CN"/>
        </w:rPr>
        <w:t>5</w:t>
      </w:r>
      <w:r>
        <w:rPr>
          <w:rFonts w:hint="default" w:ascii="Times New Roman" w:hAnsi="Times New Roman" w:cs="Times New Roman"/>
          <w:color w:val="auto"/>
          <w:sz w:val="24"/>
          <w:szCs w:val="24"/>
          <w:u w:val="none" w:color="auto"/>
          <w:lang w:val="en-US" w:eastAsia="zh-CN"/>
        </w:rPr>
        <w:t xml:space="preserve">  项目现场照片</w:t>
      </w:r>
    </w:p>
    <w:p>
      <w:pPr>
        <w:keepNext w:val="0"/>
        <w:keepLines w:val="0"/>
        <w:pageBreakBefore w:val="0"/>
        <w:widowControl w:val="0"/>
        <w:numPr>
          <w:ilvl w:val="0"/>
          <w:numId w:val="13"/>
        </w:numPr>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如果本报告表不能说明工程产生的污染及对环境造成的影响，应进行专项评价。根据建设工程的特点和当地环境特征，应选下列1~2项进行专项评价。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1. 大气环境影响专项评价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2. 水环境影响专项评价(包括地表水和地下水)</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3. 生态影响专项评价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4. 声影响专项评价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5. 土壤影响专项评价</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6. 固体废物影响专项评价</w:t>
      </w:r>
    </w:p>
    <w:p>
      <w:pPr>
        <w:rPr>
          <w:color w:val="auto"/>
          <w:u w:val="none" w:color="auto"/>
        </w:rPr>
      </w:pPr>
      <w:r>
        <w:rPr>
          <w:rFonts w:hint="default" w:ascii="Times New Roman" w:hAnsi="Times New Roman" w:cs="Times New Roman"/>
          <w:color w:val="auto"/>
          <w:sz w:val="24"/>
          <w:szCs w:val="24"/>
          <w:u w:val="none" w:color="auto"/>
        </w:rPr>
        <w:t>以上专项评价中未包括的另列专项，专项评价按照《环境影响评价技术导则》中的要求进行</w:t>
      </w:r>
    </w:p>
    <w:p>
      <w:pPr>
        <w:pStyle w:val="39"/>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869988864" behindDoc="0" locked="0" layoutInCell="1" allowOverlap="1">
            <wp:simplePos x="0" y="0"/>
            <wp:positionH relativeFrom="column">
              <wp:posOffset>-34925</wp:posOffset>
            </wp:positionH>
            <wp:positionV relativeFrom="paragraph">
              <wp:posOffset>321945</wp:posOffset>
            </wp:positionV>
            <wp:extent cx="5900420" cy="8239760"/>
            <wp:effectExtent l="0" t="0" r="5080" b="8890"/>
            <wp:wrapNone/>
            <wp:docPr id="12" name="图片 12" descr="委托书（湘变电气）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委托书（湘变电气）_00"/>
                    <pic:cNvPicPr>
                      <a:picLocks noChangeAspect="1"/>
                    </pic:cNvPicPr>
                  </pic:nvPicPr>
                  <pic:blipFill>
                    <a:blip r:embed="rId23"/>
                    <a:stretch>
                      <a:fillRect/>
                    </a:stretch>
                  </pic:blipFill>
                  <pic:spPr>
                    <a:xfrm>
                      <a:off x="0" y="0"/>
                      <a:ext cx="5900420" cy="823976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1 委托书</w:t>
      </w: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09950976" behindDoc="0" locked="0" layoutInCell="1" allowOverlap="1">
            <wp:simplePos x="0" y="0"/>
            <wp:positionH relativeFrom="column">
              <wp:posOffset>12700</wp:posOffset>
            </wp:positionH>
            <wp:positionV relativeFrom="paragraph">
              <wp:posOffset>371475</wp:posOffset>
            </wp:positionV>
            <wp:extent cx="5812155" cy="8126095"/>
            <wp:effectExtent l="0" t="0" r="17145" b="8255"/>
            <wp:wrapNone/>
            <wp:docPr id="91" name="图片 9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营业执照"/>
                    <pic:cNvPicPr>
                      <a:picLocks noChangeAspect="1"/>
                    </pic:cNvPicPr>
                  </pic:nvPicPr>
                  <pic:blipFill>
                    <a:blip r:embed="rId24"/>
                    <a:stretch>
                      <a:fillRect/>
                    </a:stretch>
                  </pic:blipFill>
                  <pic:spPr>
                    <a:xfrm>
                      <a:off x="0" y="0"/>
                      <a:ext cx="5812155" cy="812609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2 营业执照</w:t>
      </w: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lang w:val="en-US" w:eastAsia="zh-CN"/>
        </w:rPr>
      </w:pPr>
      <w:r>
        <w:rPr>
          <w:rFonts w:hint="eastAsia"/>
          <w:color w:val="auto"/>
          <w:u w:val="none" w:color="auto"/>
          <w:lang w:eastAsia="zh-CN"/>
        </w:rPr>
        <w:t>附件</w:t>
      </w:r>
      <w:r>
        <w:rPr>
          <w:rFonts w:hint="eastAsia"/>
          <w:color w:val="auto"/>
          <w:u w:val="none" w:color="auto"/>
          <w:lang w:val="en-US" w:eastAsia="zh-CN"/>
        </w:rPr>
        <w:t>3 国土证</w:t>
      </w: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r>
        <w:rPr>
          <w:rFonts w:hint="eastAsia" w:eastAsia="宋体"/>
          <w:color w:val="auto"/>
          <w:u w:val="none" w:color="auto"/>
          <w:lang w:eastAsia="zh-CN"/>
        </w:rPr>
        <w:drawing>
          <wp:anchor distT="0" distB="0" distL="114300" distR="114300" simplePos="0" relativeHeight="1709953024" behindDoc="0" locked="0" layoutInCell="1" allowOverlap="1">
            <wp:simplePos x="0" y="0"/>
            <wp:positionH relativeFrom="column">
              <wp:posOffset>-1325245</wp:posOffset>
            </wp:positionH>
            <wp:positionV relativeFrom="paragraph">
              <wp:posOffset>191770</wp:posOffset>
            </wp:positionV>
            <wp:extent cx="8508365" cy="5993765"/>
            <wp:effectExtent l="0" t="0" r="6985" b="6985"/>
            <wp:wrapNone/>
            <wp:docPr id="93" name="图片 93" descr="国土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国土证"/>
                    <pic:cNvPicPr>
                      <a:picLocks noChangeAspect="1"/>
                    </pic:cNvPicPr>
                  </pic:nvPicPr>
                  <pic:blipFill>
                    <a:blip r:embed="rId25"/>
                    <a:stretch>
                      <a:fillRect/>
                    </a:stretch>
                  </pic:blipFill>
                  <pic:spPr>
                    <a:xfrm rot="16200000">
                      <a:off x="0" y="0"/>
                      <a:ext cx="8508365" cy="5993765"/>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09954048" behindDoc="0" locked="0" layoutInCell="1" allowOverlap="1">
            <wp:simplePos x="0" y="0"/>
            <wp:positionH relativeFrom="column">
              <wp:posOffset>-44450</wp:posOffset>
            </wp:positionH>
            <wp:positionV relativeFrom="paragraph">
              <wp:posOffset>222885</wp:posOffset>
            </wp:positionV>
            <wp:extent cx="5894705" cy="8573135"/>
            <wp:effectExtent l="0" t="0" r="10795" b="18415"/>
            <wp:wrapNone/>
            <wp:docPr id="94" name="图片 94" descr="81569c77bd28c2a40e2399ccd91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81569c77bd28c2a40e2399ccd918997"/>
                    <pic:cNvPicPr>
                      <a:picLocks noChangeAspect="1"/>
                    </pic:cNvPicPr>
                  </pic:nvPicPr>
                  <pic:blipFill>
                    <a:blip r:embed="rId26"/>
                    <a:stretch>
                      <a:fillRect/>
                    </a:stretch>
                  </pic:blipFill>
                  <pic:spPr>
                    <a:xfrm>
                      <a:off x="0" y="0"/>
                      <a:ext cx="5894705" cy="8573135"/>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4 项目备案批复</w:t>
      </w: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55072" behindDoc="0" locked="0" layoutInCell="1" allowOverlap="1">
            <wp:simplePos x="0" y="0"/>
            <wp:positionH relativeFrom="column">
              <wp:posOffset>-15875</wp:posOffset>
            </wp:positionH>
            <wp:positionV relativeFrom="paragraph">
              <wp:posOffset>62865</wp:posOffset>
            </wp:positionV>
            <wp:extent cx="5894705" cy="8503285"/>
            <wp:effectExtent l="0" t="0" r="10795" b="12065"/>
            <wp:wrapNone/>
            <wp:docPr id="95" name="图片 95" descr="cb1cb3499e8a9df5af85a831a5e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b1cb3499e8a9df5af85a831a5e3385"/>
                    <pic:cNvPicPr>
                      <a:picLocks noChangeAspect="1"/>
                    </pic:cNvPicPr>
                  </pic:nvPicPr>
                  <pic:blipFill>
                    <a:blip r:embed="rId27"/>
                    <a:stretch>
                      <a:fillRect/>
                    </a:stretch>
                  </pic:blipFill>
                  <pic:spPr>
                    <a:xfrm>
                      <a:off x="0" y="0"/>
                      <a:ext cx="5894705" cy="8503285"/>
                    </a:xfrm>
                    <a:prstGeom prst="rect">
                      <a:avLst/>
                    </a:prstGeom>
                  </pic:spPr>
                </pic:pic>
              </a:graphicData>
            </a:graphic>
          </wp:anchor>
        </w:drawing>
      </w: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09956096" behindDoc="0" locked="0" layoutInCell="1" allowOverlap="1">
            <wp:simplePos x="0" y="0"/>
            <wp:positionH relativeFrom="column">
              <wp:posOffset>-34925</wp:posOffset>
            </wp:positionH>
            <wp:positionV relativeFrom="paragraph">
              <wp:posOffset>276225</wp:posOffset>
            </wp:positionV>
            <wp:extent cx="5901690" cy="8115300"/>
            <wp:effectExtent l="0" t="0" r="3810" b="0"/>
            <wp:wrapNone/>
            <wp:docPr id="96" name="图片 96" descr="原来的环评报告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原来的环评报告_48"/>
                    <pic:cNvPicPr>
                      <a:picLocks noChangeAspect="1"/>
                    </pic:cNvPicPr>
                  </pic:nvPicPr>
                  <pic:blipFill>
                    <a:blip r:embed="rId28"/>
                    <a:stretch>
                      <a:fillRect/>
                    </a:stretch>
                  </pic:blipFill>
                  <pic:spPr>
                    <a:xfrm>
                      <a:off x="0" y="0"/>
                      <a:ext cx="5901690" cy="811530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5 原环评批复及验收批复</w:t>
      </w: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57120" behindDoc="0" locked="0" layoutInCell="1" allowOverlap="1">
            <wp:simplePos x="0" y="0"/>
            <wp:positionH relativeFrom="column">
              <wp:posOffset>-73025</wp:posOffset>
            </wp:positionH>
            <wp:positionV relativeFrom="paragraph">
              <wp:posOffset>133350</wp:posOffset>
            </wp:positionV>
            <wp:extent cx="5901690" cy="8115300"/>
            <wp:effectExtent l="0" t="0" r="3810" b="0"/>
            <wp:wrapNone/>
            <wp:docPr id="97" name="图片 97" descr="原来的环评报告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原来的环评报告_49"/>
                    <pic:cNvPicPr>
                      <a:picLocks noChangeAspect="1"/>
                    </pic:cNvPicPr>
                  </pic:nvPicPr>
                  <pic:blipFill>
                    <a:blip r:embed="rId29"/>
                    <a:stretch>
                      <a:fillRect/>
                    </a:stretch>
                  </pic:blipFill>
                  <pic:spPr>
                    <a:xfrm>
                      <a:off x="0" y="0"/>
                      <a:ext cx="5901690" cy="8115300"/>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58144" behindDoc="0" locked="0" layoutInCell="1" allowOverlap="1">
            <wp:simplePos x="0" y="0"/>
            <wp:positionH relativeFrom="column">
              <wp:posOffset>41275</wp:posOffset>
            </wp:positionH>
            <wp:positionV relativeFrom="paragraph">
              <wp:posOffset>80010</wp:posOffset>
            </wp:positionV>
            <wp:extent cx="5902960" cy="8705215"/>
            <wp:effectExtent l="0" t="0" r="2540" b="635"/>
            <wp:wrapNone/>
            <wp:docPr id="98" name="图片 98" descr="原来的环评报告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原来的环评报告_47"/>
                    <pic:cNvPicPr>
                      <a:picLocks noChangeAspect="1"/>
                    </pic:cNvPicPr>
                  </pic:nvPicPr>
                  <pic:blipFill>
                    <a:blip r:embed="rId30"/>
                    <a:stretch>
                      <a:fillRect/>
                    </a:stretch>
                  </pic:blipFill>
                  <pic:spPr>
                    <a:xfrm>
                      <a:off x="0" y="0"/>
                      <a:ext cx="5902960" cy="8705215"/>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lang w:val="en-US" w:eastAsia="zh-CN"/>
        </w:rPr>
      </w:pPr>
      <w:r>
        <w:rPr>
          <w:rFonts w:hint="eastAsia" w:eastAsia="宋体"/>
          <w:color w:val="auto"/>
          <w:u w:val="none" w:color="auto"/>
          <w:lang w:eastAsia="zh-CN"/>
        </w:rPr>
        <w:drawing>
          <wp:anchor distT="0" distB="0" distL="114300" distR="114300" simplePos="0" relativeHeight="1709959168" behindDoc="0" locked="0" layoutInCell="1" allowOverlap="1">
            <wp:simplePos x="0" y="0"/>
            <wp:positionH relativeFrom="column">
              <wp:posOffset>-53975</wp:posOffset>
            </wp:positionH>
            <wp:positionV relativeFrom="paragraph">
              <wp:posOffset>321945</wp:posOffset>
            </wp:positionV>
            <wp:extent cx="5902325" cy="8354060"/>
            <wp:effectExtent l="0" t="0" r="3175" b="8890"/>
            <wp:wrapNone/>
            <wp:docPr id="99" name="图片 99" descr="危废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危废合同_00"/>
                    <pic:cNvPicPr>
                      <a:picLocks noChangeAspect="1"/>
                    </pic:cNvPicPr>
                  </pic:nvPicPr>
                  <pic:blipFill>
                    <a:blip r:embed="rId31"/>
                    <a:stretch>
                      <a:fillRect/>
                    </a:stretch>
                  </pic:blipFill>
                  <pic:spPr>
                    <a:xfrm>
                      <a:off x="0" y="0"/>
                      <a:ext cx="5902325" cy="8354060"/>
                    </a:xfrm>
                    <a:prstGeom prst="rect">
                      <a:avLst/>
                    </a:prstGeom>
                  </pic:spPr>
                </pic:pic>
              </a:graphicData>
            </a:graphic>
          </wp:anchor>
        </w:drawing>
      </w:r>
      <w:r>
        <w:rPr>
          <w:rFonts w:hint="eastAsia"/>
          <w:color w:val="auto"/>
          <w:u w:val="none" w:color="auto"/>
          <w:lang w:eastAsia="zh-CN"/>
        </w:rPr>
        <w:t>附件</w:t>
      </w:r>
      <w:r>
        <w:rPr>
          <w:rFonts w:hint="eastAsia"/>
          <w:color w:val="auto"/>
          <w:u w:val="none" w:color="auto"/>
          <w:lang w:val="en-US" w:eastAsia="zh-CN"/>
        </w:rPr>
        <w:t>6 原项目危险废物处置合同</w:t>
      </w: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60192" behindDoc="0" locked="0" layoutInCell="1" allowOverlap="1">
            <wp:simplePos x="0" y="0"/>
            <wp:positionH relativeFrom="column">
              <wp:posOffset>-34925</wp:posOffset>
            </wp:positionH>
            <wp:positionV relativeFrom="paragraph">
              <wp:posOffset>55245</wp:posOffset>
            </wp:positionV>
            <wp:extent cx="5902325" cy="8354060"/>
            <wp:effectExtent l="0" t="0" r="3175" b="8890"/>
            <wp:wrapNone/>
            <wp:docPr id="100" name="图片 100" descr="危废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危废合同_01"/>
                    <pic:cNvPicPr>
                      <a:picLocks noChangeAspect="1"/>
                    </pic:cNvPicPr>
                  </pic:nvPicPr>
                  <pic:blipFill>
                    <a:blip r:embed="rId32"/>
                    <a:stretch>
                      <a:fillRect/>
                    </a:stretch>
                  </pic:blipFill>
                  <pic:spPr>
                    <a:xfrm>
                      <a:off x="0" y="0"/>
                      <a:ext cx="5902325" cy="8354060"/>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61216" behindDoc="0" locked="0" layoutInCell="1" allowOverlap="1">
            <wp:simplePos x="0" y="0"/>
            <wp:positionH relativeFrom="column">
              <wp:posOffset>-63500</wp:posOffset>
            </wp:positionH>
            <wp:positionV relativeFrom="paragraph">
              <wp:posOffset>93345</wp:posOffset>
            </wp:positionV>
            <wp:extent cx="5902325" cy="8354060"/>
            <wp:effectExtent l="0" t="0" r="3175" b="8890"/>
            <wp:wrapNone/>
            <wp:docPr id="101" name="图片 101" descr="危废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危废合同_02"/>
                    <pic:cNvPicPr>
                      <a:picLocks noChangeAspect="1"/>
                    </pic:cNvPicPr>
                  </pic:nvPicPr>
                  <pic:blipFill>
                    <a:blip r:embed="rId33"/>
                    <a:stretch>
                      <a:fillRect/>
                    </a:stretch>
                  </pic:blipFill>
                  <pic:spPr>
                    <a:xfrm>
                      <a:off x="0" y="0"/>
                      <a:ext cx="5902325" cy="8354060"/>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62240" behindDoc="0" locked="0" layoutInCell="1" allowOverlap="1">
            <wp:simplePos x="0" y="0"/>
            <wp:positionH relativeFrom="column">
              <wp:posOffset>41275</wp:posOffset>
            </wp:positionH>
            <wp:positionV relativeFrom="paragraph">
              <wp:posOffset>140970</wp:posOffset>
            </wp:positionV>
            <wp:extent cx="5902325" cy="8354060"/>
            <wp:effectExtent l="0" t="0" r="3175" b="8890"/>
            <wp:wrapNone/>
            <wp:docPr id="102" name="图片 102" descr="危废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危废合同_03"/>
                    <pic:cNvPicPr>
                      <a:picLocks noChangeAspect="1"/>
                    </pic:cNvPicPr>
                  </pic:nvPicPr>
                  <pic:blipFill>
                    <a:blip r:embed="rId34"/>
                    <a:stretch>
                      <a:fillRect/>
                    </a:stretch>
                  </pic:blipFill>
                  <pic:spPr>
                    <a:xfrm>
                      <a:off x="0" y="0"/>
                      <a:ext cx="5902325" cy="8354060"/>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63264" behindDoc="0" locked="0" layoutInCell="1" allowOverlap="1">
            <wp:simplePos x="0" y="0"/>
            <wp:positionH relativeFrom="column">
              <wp:posOffset>-44450</wp:posOffset>
            </wp:positionH>
            <wp:positionV relativeFrom="paragraph">
              <wp:posOffset>121920</wp:posOffset>
            </wp:positionV>
            <wp:extent cx="5902325" cy="8354060"/>
            <wp:effectExtent l="0" t="0" r="3175" b="8890"/>
            <wp:wrapNone/>
            <wp:docPr id="103" name="图片 103" descr="危废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危废合同_04"/>
                    <pic:cNvPicPr>
                      <a:picLocks noChangeAspect="1"/>
                    </pic:cNvPicPr>
                  </pic:nvPicPr>
                  <pic:blipFill>
                    <a:blip r:embed="rId35"/>
                    <a:stretch>
                      <a:fillRect/>
                    </a:stretch>
                  </pic:blipFill>
                  <pic:spPr>
                    <a:xfrm>
                      <a:off x="0" y="0"/>
                      <a:ext cx="5902325" cy="8354060"/>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r>
        <w:rPr>
          <w:rFonts w:hint="eastAsia" w:eastAsia="宋体"/>
          <w:color w:val="auto"/>
          <w:u w:val="none" w:color="auto"/>
          <w:lang w:eastAsia="zh-CN"/>
        </w:rPr>
        <w:drawing>
          <wp:anchor distT="0" distB="0" distL="114300" distR="114300" simplePos="0" relativeHeight="1709964288" behindDoc="0" locked="0" layoutInCell="1" allowOverlap="1">
            <wp:simplePos x="0" y="0"/>
            <wp:positionH relativeFrom="column">
              <wp:posOffset>60325</wp:posOffset>
            </wp:positionH>
            <wp:positionV relativeFrom="paragraph">
              <wp:posOffset>45720</wp:posOffset>
            </wp:positionV>
            <wp:extent cx="5902325" cy="8354060"/>
            <wp:effectExtent l="0" t="0" r="3175" b="8890"/>
            <wp:wrapNone/>
            <wp:docPr id="104" name="图片 104" descr="危废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危废合同_05"/>
                    <pic:cNvPicPr>
                      <a:picLocks noChangeAspect="1"/>
                    </pic:cNvPicPr>
                  </pic:nvPicPr>
                  <pic:blipFill>
                    <a:blip r:embed="rId36"/>
                    <a:stretch>
                      <a:fillRect/>
                    </a:stretch>
                  </pic:blipFill>
                  <pic:spPr>
                    <a:xfrm>
                      <a:off x="0" y="0"/>
                      <a:ext cx="5902325" cy="8354060"/>
                    </a:xfrm>
                    <a:prstGeom prst="rect">
                      <a:avLst/>
                    </a:prstGeom>
                  </pic:spPr>
                </pic:pic>
              </a:graphicData>
            </a:graphic>
          </wp:anchor>
        </w:drawing>
      </w:r>
    </w:p>
    <w:p>
      <w:pPr>
        <w:pStyle w:val="39"/>
        <w:rPr>
          <w:color w:val="auto"/>
          <w:u w:val="none" w:color="auto"/>
        </w:rPr>
      </w:pP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lang w:val="en-US" w:eastAsia="zh-CN"/>
        </w:rPr>
      </w:pPr>
      <w:r>
        <w:drawing>
          <wp:anchor distT="0" distB="0" distL="114300" distR="114300" simplePos="0" relativeHeight="1709975552" behindDoc="0" locked="0" layoutInCell="1" allowOverlap="1">
            <wp:simplePos x="0" y="0"/>
            <wp:positionH relativeFrom="column">
              <wp:posOffset>-95250</wp:posOffset>
            </wp:positionH>
            <wp:positionV relativeFrom="paragraph">
              <wp:posOffset>280035</wp:posOffset>
            </wp:positionV>
            <wp:extent cx="5981065" cy="8039100"/>
            <wp:effectExtent l="0" t="0" r="635" b="0"/>
            <wp:wrapNone/>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37"/>
                    <a:stretch>
                      <a:fillRect/>
                    </a:stretch>
                  </pic:blipFill>
                  <pic:spPr>
                    <a:xfrm>
                      <a:off x="0" y="0"/>
                      <a:ext cx="5981065" cy="8039100"/>
                    </a:xfrm>
                    <a:prstGeom prst="rect">
                      <a:avLst/>
                    </a:prstGeom>
                    <a:noFill/>
                    <a:ln>
                      <a:noFill/>
                    </a:ln>
                  </pic:spPr>
                </pic:pic>
              </a:graphicData>
            </a:graphic>
          </wp:anchor>
        </w:drawing>
      </w:r>
      <w:r>
        <w:rPr>
          <w:rFonts w:hint="eastAsia"/>
          <w:color w:val="auto"/>
          <w:u w:val="none" w:color="auto"/>
          <w:lang w:eastAsia="zh-CN"/>
        </w:rPr>
        <w:t>附件</w:t>
      </w:r>
      <w:r>
        <w:rPr>
          <w:rFonts w:hint="eastAsia"/>
          <w:color w:val="auto"/>
          <w:u w:val="none" w:color="auto"/>
          <w:lang w:val="en-US" w:eastAsia="zh-CN"/>
        </w:rPr>
        <w:t>7 环评监测质保单</w:t>
      </w: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8"/>
        <w:bidi w:val="0"/>
        <w:rPr>
          <w:rFonts w:hint="default"/>
          <w:lang w:val="en-US" w:eastAsia="zh-CN"/>
        </w:rPr>
      </w:pPr>
      <w:r>
        <w:rPr>
          <w:rFonts w:hint="eastAsia"/>
          <w:lang w:val="en-US" w:eastAsia="zh-CN"/>
        </w:rPr>
        <w:t>附件8 扩建环保手续申请报告</w:t>
      </w:r>
    </w:p>
    <w:p>
      <w:pPr>
        <w:pStyle w:val="39"/>
        <w:ind w:left="0" w:leftChars="0" w:firstLine="0" w:firstLineChars="0"/>
        <w:rPr>
          <w:rFonts w:hint="eastAsia"/>
          <w:color w:val="auto"/>
          <w:u w:val="none" w:color="auto"/>
          <w:lang w:val="en-US" w:eastAsia="zh-CN"/>
        </w:rPr>
      </w:pPr>
      <w:r>
        <w:rPr>
          <w:rFonts w:hint="eastAsia"/>
          <w:color w:val="auto"/>
          <w:u w:val="none" w:color="auto"/>
          <w:lang w:val="en-US" w:eastAsia="zh-CN"/>
        </w:rPr>
        <w:drawing>
          <wp:anchor distT="0" distB="0" distL="114300" distR="114300" simplePos="0" relativeHeight="1869992960" behindDoc="0" locked="0" layoutInCell="1" allowOverlap="1">
            <wp:simplePos x="0" y="0"/>
            <wp:positionH relativeFrom="column">
              <wp:posOffset>0</wp:posOffset>
            </wp:positionH>
            <wp:positionV relativeFrom="paragraph">
              <wp:posOffset>57150</wp:posOffset>
            </wp:positionV>
            <wp:extent cx="5899150" cy="8113395"/>
            <wp:effectExtent l="0" t="0" r="6350" b="1905"/>
            <wp:wrapNone/>
            <wp:docPr id="17" name="图片 17" descr="b590ce980bde6b932ba35cef7894b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590ce980bde6b932ba35cef7894b4d"/>
                    <pic:cNvPicPr>
                      <a:picLocks noChangeAspect="1"/>
                    </pic:cNvPicPr>
                  </pic:nvPicPr>
                  <pic:blipFill>
                    <a:blip r:embed="rId38"/>
                    <a:stretch>
                      <a:fillRect/>
                    </a:stretch>
                  </pic:blipFill>
                  <pic:spPr>
                    <a:xfrm rot="10800000">
                      <a:off x="0" y="0"/>
                      <a:ext cx="5899150" cy="8113395"/>
                    </a:xfrm>
                    <a:prstGeom prst="rect">
                      <a:avLst/>
                    </a:prstGeom>
                  </pic:spPr>
                </pic:pic>
              </a:graphicData>
            </a:graphic>
          </wp:anchor>
        </w:drawing>
      </w: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8"/>
        <w:bidi w:val="0"/>
        <w:rPr>
          <w:rFonts w:hint="default"/>
          <w:lang w:val="en-US" w:eastAsia="zh-CN"/>
        </w:rPr>
      </w:pPr>
      <w:r>
        <w:rPr>
          <w:rFonts w:hint="eastAsia"/>
          <w:lang w:val="en-US" w:eastAsia="zh-CN"/>
        </w:rPr>
        <w:t>附件9 专家意见及专家签到表</w:t>
      </w:r>
    </w:p>
    <w:p>
      <w:pPr>
        <w:adjustRightInd w:val="0"/>
        <w:snapToGrid w:val="0"/>
        <w:spacing w:line="360" w:lineRule="auto"/>
        <w:jc w:val="center"/>
        <w:rPr>
          <w:b/>
          <w:bCs/>
          <w:sz w:val="32"/>
          <w:szCs w:val="32"/>
        </w:rPr>
      </w:pPr>
      <w:r>
        <w:rPr>
          <w:rFonts w:hint="eastAsia"/>
          <w:b/>
          <w:bCs/>
          <w:sz w:val="32"/>
          <w:szCs w:val="32"/>
        </w:rPr>
        <w:t>湖南湘变电气有限责任公司“文星”节能变压器产品革新及技术改造项目</w:t>
      </w:r>
      <w:r>
        <w:rPr>
          <w:b/>
          <w:bCs/>
          <w:sz w:val="32"/>
          <w:szCs w:val="32"/>
        </w:rPr>
        <w:t>环境影响报告表</w:t>
      </w:r>
      <w:r>
        <w:rPr>
          <w:rFonts w:hint="eastAsia"/>
          <w:b/>
          <w:bCs/>
          <w:sz w:val="32"/>
          <w:szCs w:val="32"/>
        </w:rPr>
        <w:t>技术评审会专家意见</w:t>
      </w:r>
    </w:p>
    <w:p>
      <w:pPr>
        <w:tabs>
          <w:tab w:val="left" w:pos="993"/>
        </w:tabs>
        <w:spacing w:line="360" w:lineRule="auto"/>
        <w:ind w:firstLine="542" w:firstLineChars="200"/>
        <w:rPr>
          <w:b/>
          <w:sz w:val="28"/>
          <w:szCs w:val="28"/>
        </w:rPr>
      </w:pPr>
    </w:p>
    <w:p>
      <w:pPr>
        <w:tabs>
          <w:tab w:val="left" w:pos="993"/>
        </w:tabs>
        <w:spacing w:line="360" w:lineRule="auto"/>
        <w:ind w:firstLine="542" w:firstLineChars="200"/>
        <w:rPr>
          <w:b/>
          <w:sz w:val="28"/>
          <w:szCs w:val="28"/>
        </w:rPr>
      </w:pPr>
      <w:r>
        <w:rPr>
          <w:rFonts w:hint="eastAsia"/>
          <w:b/>
          <w:sz w:val="28"/>
          <w:szCs w:val="28"/>
        </w:rPr>
        <w:t>2019年12月5日</w:t>
      </w:r>
      <w:r>
        <w:rPr>
          <w:b/>
          <w:sz w:val="28"/>
          <w:szCs w:val="28"/>
        </w:rPr>
        <w:t>，</w:t>
      </w:r>
      <w:r>
        <w:rPr>
          <w:rFonts w:hint="eastAsia"/>
          <w:b/>
          <w:sz w:val="28"/>
          <w:szCs w:val="28"/>
        </w:rPr>
        <w:t>岳阳市生态环境局湘阴分局在湘阴县主持召开了《湖南湘变电气有限责任公司“文星”节能变压器产品革新及技术改造项目环境影响报告表》</w:t>
      </w:r>
      <w:r>
        <w:rPr>
          <w:b/>
          <w:sz w:val="28"/>
          <w:szCs w:val="28"/>
        </w:rPr>
        <w:t>技术</w:t>
      </w:r>
      <w:r>
        <w:rPr>
          <w:rFonts w:hint="eastAsia"/>
          <w:b/>
          <w:sz w:val="28"/>
          <w:szCs w:val="28"/>
        </w:rPr>
        <w:t>评审</w:t>
      </w:r>
      <w:r>
        <w:rPr>
          <w:b/>
          <w:sz w:val="28"/>
          <w:szCs w:val="28"/>
        </w:rPr>
        <w:t>会。参加会议的有</w:t>
      </w:r>
      <w:r>
        <w:rPr>
          <w:rFonts w:hint="eastAsia"/>
          <w:b/>
          <w:sz w:val="28"/>
          <w:szCs w:val="28"/>
        </w:rPr>
        <w:t>建设单位湖南湘变电气有限责任公司、编制单位</w:t>
      </w:r>
      <w:r>
        <w:rPr>
          <w:rFonts w:hint="eastAsia"/>
          <w:b/>
          <w:sz w:val="28"/>
          <w:szCs w:val="28"/>
          <w:lang w:eastAsia="zh-CN"/>
        </w:rPr>
        <w:t>北京国环益达环保技术有限公司</w:t>
      </w:r>
      <w:r>
        <w:rPr>
          <w:rFonts w:hint="eastAsia"/>
          <w:b/>
          <w:sz w:val="28"/>
          <w:szCs w:val="28"/>
        </w:rPr>
        <w:t>的代表。</w:t>
      </w:r>
      <w:r>
        <w:rPr>
          <w:b/>
          <w:sz w:val="28"/>
          <w:szCs w:val="28"/>
        </w:rPr>
        <w:t>会议邀请了3位专家组成技术</w:t>
      </w:r>
      <w:r>
        <w:rPr>
          <w:rFonts w:hint="eastAsia"/>
          <w:b/>
          <w:sz w:val="28"/>
          <w:szCs w:val="28"/>
        </w:rPr>
        <w:t>评审</w:t>
      </w:r>
      <w:r>
        <w:rPr>
          <w:b/>
          <w:sz w:val="28"/>
          <w:szCs w:val="28"/>
        </w:rPr>
        <w:t>组（名单附后）。</w:t>
      </w:r>
      <w:r>
        <w:rPr>
          <w:rFonts w:hint="eastAsia"/>
          <w:b/>
          <w:sz w:val="28"/>
          <w:szCs w:val="28"/>
        </w:rPr>
        <w:t>会上建设单位介绍了项目的简要情况，编制单位汇报了环评报告的具体内容。经与会专家及代表认真讨论和评审，形成技术评审会专家意见如下：</w:t>
      </w:r>
    </w:p>
    <w:p>
      <w:pPr>
        <w:tabs>
          <w:tab w:val="left" w:pos="993"/>
        </w:tabs>
        <w:spacing w:line="360" w:lineRule="auto"/>
        <w:rPr>
          <w:b/>
          <w:sz w:val="28"/>
          <w:szCs w:val="28"/>
        </w:rPr>
      </w:pPr>
    </w:p>
    <w:p>
      <w:pPr>
        <w:tabs>
          <w:tab w:val="left" w:pos="993"/>
        </w:tabs>
        <w:spacing w:line="360" w:lineRule="auto"/>
        <w:rPr>
          <w:b/>
          <w:sz w:val="28"/>
          <w:szCs w:val="28"/>
        </w:rPr>
      </w:pPr>
      <w:r>
        <w:rPr>
          <w:b/>
          <w:sz w:val="28"/>
          <w:szCs w:val="28"/>
        </w:rPr>
        <w:t>一、项目概况</w:t>
      </w:r>
    </w:p>
    <w:p>
      <w:pPr>
        <w:tabs>
          <w:tab w:val="left" w:pos="993"/>
        </w:tabs>
        <w:spacing w:line="360" w:lineRule="auto"/>
        <w:ind w:firstLine="542" w:firstLineChars="200"/>
        <w:rPr>
          <w:b/>
          <w:sz w:val="28"/>
          <w:szCs w:val="28"/>
        </w:rPr>
      </w:pPr>
      <w:r>
        <w:rPr>
          <w:rFonts w:hint="eastAsia"/>
          <w:b/>
          <w:sz w:val="28"/>
          <w:szCs w:val="28"/>
        </w:rPr>
        <w:t>详见报告。</w:t>
      </w:r>
    </w:p>
    <w:p>
      <w:pPr>
        <w:spacing w:line="360" w:lineRule="auto"/>
        <w:ind w:firstLine="462" w:firstLineChars="200"/>
        <w:jc w:val="left"/>
        <w:rPr>
          <w:sz w:val="24"/>
        </w:rPr>
      </w:pPr>
    </w:p>
    <w:p>
      <w:pPr>
        <w:numPr>
          <w:ilvl w:val="0"/>
          <w:numId w:val="14"/>
        </w:numPr>
        <w:tabs>
          <w:tab w:val="left" w:pos="993"/>
        </w:tabs>
        <w:spacing w:line="360" w:lineRule="auto"/>
        <w:rPr>
          <w:b/>
          <w:sz w:val="28"/>
          <w:szCs w:val="28"/>
        </w:rPr>
      </w:pPr>
      <w:r>
        <w:rPr>
          <w:b/>
          <w:sz w:val="28"/>
          <w:szCs w:val="28"/>
        </w:rPr>
        <w:t>报告表修改意见</w:t>
      </w:r>
    </w:p>
    <w:p>
      <w:pPr>
        <w:numPr>
          <w:ilvl w:val="0"/>
          <w:numId w:val="15"/>
        </w:numPr>
        <w:tabs>
          <w:tab w:val="left" w:pos="993"/>
        </w:tabs>
        <w:spacing w:line="360" w:lineRule="auto"/>
        <w:ind w:left="0" w:firstLine="542" w:firstLineChars="200"/>
        <w:rPr>
          <w:rFonts w:hint="eastAsia"/>
          <w:b/>
          <w:sz w:val="28"/>
          <w:szCs w:val="28"/>
        </w:rPr>
      </w:pPr>
      <w:r>
        <w:rPr>
          <w:rFonts w:hint="eastAsia"/>
          <w:b/>
          <w:sz w:val="28"/>
          <w:szCs w:val="28"/>
        </w:rPr>
        <w:t>完善项目由来及本项目建设内容，进一步强化改扩建前后项目平面布局及功能调整情况；核实项目主要原辅材料用量，明确变压器油、油漆等主要成分、理化及毒理性质、储存方式及最大储存量。</w:t>
      </w:r>
    </w:p>
    <w:p>
      <w:pPr>
        <w:numPr>
          <w:ilvl w:val="0"/>
          <w:numId w:val="15"/>
        </w:numPr>
        <w:tabs>
          <w:tab w:val="left" w:pos="993"/>
        </w:tabs>
        <w:spacing w:line="360" w:lineRule="auto"/>
        <w:ind w:left="0" w:firstLine="542" w:firstLineChars="200"/>
        <w:rPr>
          <w:rFonts w:hint="eastAsia"/>
          <w:b/>
          <w:sz w:val="28"/>
          <w:szCs w:val="28"/>
        </w:rPr>
      </w:pPr>
      <w:r>
        <w:rPr>
          <w:rFonts w:hint="eastAsia"/>
          <w:b/>
          <w:sz w:val="28"/>
          <w:szCs w:val="28"/>
        </w:rPr>
        <w:t>完善现有项目环保设施建设和运行情况说明，明确污染源监测期间的工况，完善现有项目存在的环境问题及“以新带老”措施。</w:t>
      </w:r>
    </w:p>
    <w:p>
      <w:pPr>
        <w:numPr>
          <w:ilvl w:val="0"/>
          <w:numId w:val="15"/>
        </w:numPr>
        <w:tabs>
          <w:tab w:val="left" w:pos="993"/>
        </w:tabs>
        <w:spacing w:line="360" w:lineRule="auto"/>
        <w:ind w:left="0" w:firstLine="542" w:firstLineChars="200"/>
        <w:rPr>
          <w:rFonts w:hint="eastAsia"/>
          <w:b/>
          <w:sz w:val="28"/>
          <w:szCs w:val="28"/>
        </w:rPr>
      </w:pPr>
      <w:r>
        <w:rPr>
          <w:rFonts w:hint="eastAsia"/>
          <w:b/>
          <w:sz w:val="28"/>
          <w:szCs w:val="28"/>
        </w:rPr>
        <w:t>根据各要素评价范围，完善项目环境保护目标及其规模；</w:t>
      </w:r>
      <w:r>
        <w:rPr>
          <w:b/>
          <w:sz w:val="28"/>
          <w:szCs w:val="28"/>
        </w:rPr>
        <w:t>根据校核</w:t>
      </w:r>
      <w:r>
        <w:rPr>
          <w:rFonts w:hint="eastAsia"/>
          <w:b/>
          <w:sz w:val="28"/>
          <w:szCs w:val="28"/>
        </w:rPr>
        <w:t>的</w:t>
      </w:r>
      <w:r>
        <w:rPr>
          <w:b/>
          <w:sz w:val="28"/>
          <w:szCs w:val="28"/>
        </w:rPr>
        <w:t>土壤和地下水评价等级</w:t>
      </w:r>
      <w:r>
        <w:rPr>
          <w:rFonts w:hint="eastAsia"/>
          <w:b/>
          <w:sz w:val="28"/>
          <w:szCs w:val="28"/>
        </w:rPr>
        <w:t>，相应</w:t>
      </w:r>
      <w:r>
        <w:rPr>
          <w:b/>
          <w:sz w:val="28"/>
          <w:szCs w:val="28"/>
        </w:rPr>
        <w:t>完善地下水和土壤环境质量现状监测</w:t>
      </w:r>
      <w:r>
        <w:rPr>
          <w:rFonts w:hint="eastAsia"/>
          <w:b/>
          <w:sz w:val="28"/>
          <w:szCs w:val="28"/>
        </w:rPr>
        <w:t>。</w:t>
      </w:r>
    </w:p>
    <w:p>
      <w:pPr>
        <w:numPr>
          <w:ilvl w:val="0"/>
          <w:numId w:val="15"/>
        </w:numPr>
        <w:tabs>
          <w:tab w:val="left" w:pos="993"/>
        </w:tabs>
        <w:spacing w:line="360" w:lineRule="auto"/>
        <w:ind w:left="0" w:firstLine="542" w:firstLineChars="200"/>
        <w:rPr>
          <w:rFonts w:hint="eastAsia"/>
          <w:b/>
          <w:sz w:val="28"/>
          <w:szCs w:val="28"/>
        </w:rPr>
      </w:pPr>
      <w:r>
        <w:rPr>
          <w:rFonts w:hint="eastAsia"/>
          <w:b/>
          <w:sz w:val="28"/>
          <w:szCs w:val="28"/>
        </w:rPr>
        <w:t>进一步校核项目生产工艺及产排污节点，明确有无除油和清洗工艺。</w:t>
      </w:r>
    </w:p>
    <w:p>
      <w:pPr>
        <w:numPr>
          <w:ilvl w:val="0"/>
          <w:numId w:val="15"/>
        </w:numPr>
        <w:tabs>
          <w:tab w:val="left" w:pos="993"/>
        </w:tabs>
        <w:spacing w:line="360" w:lineRule="auto"/>
        <w:ind w:left="0" w:firstLine="542" w:firstLineChars="200"/>
        <w:rPr>
          <w:b/>
          <w:sz w:val="28"/>
          <w:szCs w:val="28"/>
        </w:rPr>
      </w:pPr>
      <w:r>
        <w:rPr>
          <w:rFonts w:hint="eastAsia"/>
          <w:b/>
          <w:sz w:val="28"/>
          <w:szCs w:val="28"/>
        </w:rPr>
        <w:t>结合改扩建后项目平面布置情况，进一步核实项目喷漆、喷粉等废气污染源，校核各部分废气收集效率及废气风量和废气排放方式，强化改扩建后利用现有喷漆废气处理设施的可行性和可靠性分析。</w:t>
      </w:r>
    </w:p>
    <w:p>
      <w:pPr>
        <w:numPr>
          <w:ilvl w:val="0"/>
          <w:numId w:val="15"/>
        </w:numPr>
        <w:tabs>
          <w:tab w:val="left" w:pos="993"/>
        </w:tabs>
        <w:spacing w:line="360" w:lineRule="auto"/>
        <w:ind w:left="0" w:firstLine="542" w:firstLineChars="200"/>
        <w:rPr>
          <w:rFonts w:hint="eastAsia"/>
          <w:b/>
          <w:sz w:val="28"/>
          <w:szCs w:val="28"/>
        </w:rPr>
      </w:pPr>
      <w:r>
        <w:rPr>
          <w:rFonts w:hint="eastAsia"/>
          <w:b/>
          <w:sz w:val="28"/>
          <w:szCs w:val="28"/>
        </w:rPr>
        <w:t>校核磷化废液、废活性炭、漆渣等各类固废的数量、属性、贮存量及处理处置要求，完善危险废物暂存间建设要求；强化变压器油、磷化废液泄漏等环境风险防范措施。</w:t>
      </w:r>
    </w:p>
    <w:p>
      <w:pPr>
        <w:numPr>
          <w:ilvl w:val="0"/>
          <w:numId w:val="15"/>
        </w:numPr>
        <w:tabs>
          <w:tab w:val="left" w:pos="993"/>
        </w:tabs>
        <w:spacing w:line="360" w:lineRule="auto"/>
        <w:ind w:left="0" w:firstLine="542" w:firstLineChars="200"/>
        <w:rPr>
          <w:b/>
          <w:sz w:val="28"/>
          <w:szCs w:val="28"/>
        </w:rPr>
      </w:pPr>
      <w:r>
        <w:rPr>
          <w:rFonts w:hint="eastAsia"/>
          <w:b/>
          <w:sz w:val="28"/>
          <w:szCs w:val="28"/>
        </w:rPr>
        <w:t>校核改扩建前后“三本账”，完善项目竣工环保验收一览表及改扩建前后的平面布置图。</w:t>
      </w:r>
    </w:p>
    <w:p>
      <w:pPr>
        <w:spacing w:line="360" w:lineRule="auto"/>
        <w:ind w:firstLine="453" w:firstLineChars="196"/>
        <w:rPr>
          <w:b/>
          <w:sz w:val="24"/>
        </w:rPr>
      </w:pPr>
    </w:p>
    <w:p>
      <w:pPr>
        <w:spacing w:line="360" w:lineRule="auto"/>
        <w:ind w:firstLine="453" w:firstLineChars="196"/>
        <w:rPr>
          <w:b/>
          <w:sz w:val="24"/>
        </w:rPr>
      </w:pPr>
    </w:p>
    <w:p>
      <w:pPr>
        <w:pStyle w:val="197"/>
        <w:snapToGrid w:val="0"/>
        <w:spacing w:before="0" w:line="360" w:lineRule="auto"/>
        <w:ind w:firstLine="0"/>
        <w:jc w:val="right"/>
        <w:rPr>
          <w:sz w:val="28"/>
          <w:szCs w:val="28"/>
        </w:rPr>
      </w:pPr>
      <w:r>
        <w:rPr>
          <w:sz w:val="28"/>
          <w:szCs w:val="28"/>
        </w:rPr>
        <w:t>评审专家：</w:t>
      </w:r>
      <w:r>
        <w:rPr>
          <w:rFonts w:hint="eastAsia"/>
          <w:sz w:val="28"/>
          <w:szCs w:val="28"/>
        </w:rPr>
        <w:t>钟亚军</w:t>
      </w:r>
      <w:r>
        <w:rPr>
          <w:sz w:val="28"/>
          <w:szCs w:val="28"/>
        </w:rPr>
        <w:t>（组长）、</w:t>
      </w:r>
      <w:r>
        <w:rPr>
          <w:rFonts w:hint="eastAsia"/>
          <w:sz w:val="28"/>
          <w:szCs w:val="28"/>
        </w:rPr>
        <w:t>黄献良</w:t>
      </w:r>
      <w:r>
        <w:rPr>
          <w:sz w:val="28"/>
          <w:szCs w:val="28"/>
        </w:rPr>
        <w:t>、周易鸣（执笔）</w:t>
      </w:r>
    </w:p>
    <w:p>
      <w:pPr>
        <w:pStyle w:val="197"/>
        <w:snapToGrid w:val="0"/>
        <w:spacing w:before="0" w:line="360" w:lineRule="auto"/>
        <w:ind w:firstLine="5886" w:firstLineChars="2172"/>
        <w:rPr>
          <w:sz w:val="28"/>
          <w:szCs w:val="28"/>
        </w:rPr>
      </w:pPr>
      <w:r>
        <w:rPr>
          <w:rFonts w:hint="eastAsia"/>
          <w:sz w:val="28"/>
          <w:szCs w:val="28"/>
        </w:rPr>
        <w:t>2019年12月5日</w:t>
      </w:r>
    </w:p>
    <w:p>
      <w:pPr>
        <w:pStyle w:val="39"/>
        <w:ind w:left="0" w:leftChars="0" w:firstLine="0" w:firstLineChars="0"/>
        <w:rPr>
          <w:rFonts w:hint="eastAsia"/>
          <w:color w:val="auto"/>
          <w:u w:val="none" w:color="auto"/>
          <w:lang w:val="en-US" w:eastAsia="zh-CN"/>
        </w:rPr>
      </w:pPr>
    </w:p>
    <w:p>
      <w:pPr>
        <w:pStyle w:val="39"/>
        <w:ind w:left="0" w:leftChars="0" w:firstLine="0" w:firstLineChars="0"/>
        <w:rPr>
          <w:rFonts w:hint="eastAsia"/>
          <w:color w:val="auto"/>
          <w:u w:val="none" w:color="auto"/>
          <w:lang w:val="en-US" w:eastAsia="zh-CN"/>
        </w:rPr>
      </w:pPr>
    </w:p>
    <w:p>
      <w:pPr>
        <w:pStyle w:val="39"/>
        <w:ind w:left="0" w:leftChars="0" w:firstLine="0" w:firstLineChars="0"/>
        <w:jc w:val="both"/>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p>
    <w:p>
      <w:pPr>
        <w:pStyle w:val="39"/>
        <w:jc w:val="center"/>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869987840" behindDoc="0" locked="0" layoutInCell="1" allowOverlap="1">
            <wp:simplePos x="0" y="0"/>
            <wp:positionH relativeFrom="column">
              <wp:posOffset>110490</wp:posOffset>
            </wp:positionH>
            <wp:positionV relativeFrom="paragraph">
              <wp:posOffset>86995</wp:posOffset>
            </wp:positionV>
            <wp:extent cx="5730875" cy="8886190"/>
            <wp:effectExtent l="0" t="0" r="3175" b="10160"/>
            <wp:wrapNone/>
            <wp:docPr id="11" name="图片 11" descr="2b16481d688b9871423fb3afabcc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b16481d688b9871423fb3afabcc257"/>
                    <pic:cNvPicPr>
                      <a:picLocks noChangeAspect="1"/>
                    </pic:cNvPicPr>
                  </pic:nvPicPr>
                  <pic:blipFill>
                    <a:blip r:embed="rId39"/>
                    <a:stretch>
                      <a:fillRect/>
                    </a:stretch>
                  </pic:blipFill>
                  <pic:spPr>
                    <a:xfrm rot="10800000">
                      <a:off x="0" y="0"/>
                      <a:ext cx="5730875" cy="8886190"/>
                    </a:xfrm>
                    <a:prstGeom prst="rect">
                      <a:avLst/>
                    </a:prstGeom>
                  </pic:spPr>
                </pic:pic>
              </a:graphicData>
            </a:graphic>
          </wp:anchor>
        </w:drawing>
      </w:r>
    </w:p>
    <w:p>
      <w:pPr>
        <w:pStyle w:val="39"/>
        <w:jc w:val="center"/>
        <w:rPr>
          <w:rFonts w:hint="default"/>
          <w:color w:val="auto"/>
          <w:u w:val="none" w:color="auto"/>
          <w:lang w:val="en-US" w:eastAsia="zh-CN"/>
        </w:rPr>
        <w:sectPr>
          <w:footerReference r:id="rId8" w:type="default"/>
          <w:pgSz w:w="11906" w:h="16838"/>
          <w:pgMar w:top="1418" w:right="1134" w:bottom="1418" w:left="1474" w:header="851" w:footer="992" w:gutter="0"/>
          <w:pgBorders>
            <w:top w:val="none" w:sz="0" w:space="0"/>
            <w:left w:val="none" w:sz="0" w:space="0"/>
            <w:bottom w:val="none" w:sz="0" w:space="0"/>
            <w:right w:val="none" w:sz="0" w:space="0"/>
          </w:pgBorders>
          <w:cols w:space="720" w:num="1"/>
          <w:docGrid w:type="linesAndChars" w:linePitch="324" w:charSpace="-2001"/>
        </w:sectPr>
      </w:pPr>
    </w:p>
    <w:p>
      <w:pPr>
        <w:pStyle w:val="8"/>
        <w:bidi w:val="0"/>
        <w:rPr>
          <w:rFonts w:hint="default"/>
          <w:color w:val="auto"/>
          <w:u w:val="none" w:color="auto"/>
          <w:lang w:val="en-US" w:eastAsia="zh-CN"/>
        </w:rPr>
      </w:pPr>
      <w:r>
        <w:rPr>
          <w:rFonts w:hint="default"/>
          <w:color w:val="auto"/>
          <w:u w:val="none" w:color="auto"/>
          <w:lang w:val="en-US" w:eastAsia="zh-CN"/>
        </w:rPr>
        <w:drawing>
          <wp:anchor distT="0" distB="0" distL="114300" distR="114300" simplePos="0" relativeHeight="1709976576" behindDoc="0" locked="0" layoutInCell="1" allowOverlap="1">
            <wp:simplePos x="0" y="0"/>
            <wp:positionH relativeFrom="column">
              <wp:posOffset>-53975</wp:posOffset>
            </wp:positionH>
            <wp:positionV relativeFrom="paragraph">
              <wp:posOffset>434975</wp:posOffset>
            </wp:positionV>
            <wp:extent cx="8879840" cy="5252720"/>
            <wp:effectExtent l="0" t="0" r="16510" b="5080"/>
            <wp:wrapNone/>
            <wp:docPr id="117" name="图片 117" descr="微信截图_2019112519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微信截图_20191125194819"/>
                    <pic:cNvPicPr>
                      <a:picLocks noChangeAspect="1"/>
                    </pic:cNvPicPr>
                  </pic:nvPicPr>
                  <pic:blipFill>
                    <a:blip r:embed="rId40"/>
                    <a:stretch>
                      <a:fillRect/>
                    </a:stretch>
                  </pic:blipFill>
                  <pic:spPr>
                    <a:xfrm>
                      <a:off x="0" y="0"/>
                      <a:ext cx="8879840" cy="5252720"/>
                    </a:xfrm>
                    <a:prstGeom prst="rect">
                      <a:avLst/>
                    </a:prstGeom>
                  </pic:spPr>
                </pic:pic>
              </a:graphicData>
            </a:graphic>
          </wp:anchor>
        </w:drawing>
      </w:r>
      <w:r>
        <w:rPr>
          <w:rFonts w:hint="eastAsia"/>
          <w:color w:val="auto"/>
          <w:u w:val="none" w:color="auto"/>
          <w:lang w:val="en-US" w:eastAsia="zh-CN"/>
        </w:rPr>
        <w:t>附图1 项目地理位置图</w:t>
      </w: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39"/>
        <w:rPr>
          <w:rFonts w:hint="default"/>
          <w:color w:val="auto"/>
          <w:u w:val="none" w:color="auto"/>
          <w:lang w:val="en-US" w:eastAsia="zh-CN"/>
        </w:rPr>
      </w:pPr>
    </w:p>
    <w:p>
      <w:pPr>
        <w:pStyle w:val="8"/>
        <w:bidi w:val="0"/>
        <w:rPr>
          <w:rFonts w:hint="eastAsia"/>
          <w:color w:val="auto"/>
          <w:u w:val="none" w:color="auto"/>
          <w:lang w:val="en-US" w:eastAsia="zh-CN"/>
        </w:rPr>
      </w:pPr>
      <w:r>
        <w:rPr>
          <w:rFonts w:hint="eastAsia"/>
          <w:color w:val="auto"/>
          <w:u w:val="none" w:color="auto"/>
          <w:lang w:val="en-US" w:eastAsia="zh-CN"/>
        </w:rPr>
        <w:t>附图2-1 扩建前平面布置图</w:t>
      </w:r>
    </w:p>
    <w:p>
      <w:pPr>
        <w:bidi w:val="0"/>
        <w:rPr>
          <w:rFonts w:hint="eastAsia"/>
          <w:lang w:val="en-US" w:eastAsia="zh-CN"/>
        </w:rPr>
      </w:pPr>
      <w:r>
        <w:rPr>
          <w:sz w:val="21"/>
        </w:rPr>
        <mc:AlternateContent>
          <mc:Choice Requires="wps">
            <w:drawing>
              <wp:anchor distT="0" distB="0" distL="114300" distR="114300" simplePos="0" relativeHeight="3328312320" behindDoc="0" locked="0" layoutInCell="1" allowOverlap="1">
                <wp:simplePos x="0" y="0"/>
                <wp:positionH relativeFrom="column">
                  <wp:posOffset>292735</wp:posOffset>
                </wp:positionH>
                <wp:positionV relativeFrom="paragraph">
                  <wp:posOffset>152400</wp:posOffset>
                </wp:positionV>
                <wp:extent cx="8058150" cy="4781550"/>
                <wp:effectExtent l="6985" t="7620" r="12065" b="11430"/>
                <wp:wrapNone/>
                <wp:docPr id="18" name="任意多边形 18"/>
                <wp:cNvGraphicFramePr/>
                <a:graphic xmlns:a="http://schemas.openxmlformats.org/drawingml/2006/main">
                  <a:graphicData uri="http://schemas.microsoft.com/office/word/2010/wordprocessingShape">
                    <wps:wsp>
                      <wps:cNvSpPr/>
                      <wps:spPr>
                        <a:xfrm>
                          <a:off x="1193165" y="1633220"/>
                          <a:ext cx="8058150" cy="4781550"/>
                        </a:xfrm>
                        <a:custGeom>
                          <a:avLst/>
                          <a:gdLst>
                            <a:gd name="connisteX0" fmla="*/ 5819775 w 8058150"/>
                            <a:gd name="connsiteY0" fmla="*/ 76200 h 4781550"/>
                            <a:gd name="connisteX1" fmla="*/ 8058150 w 8058150"/>
                            <a:gd name="connsiteY1" fmla="*/ 3733800 h 4781550"/>
                            <a:gd name="connisteX2" fmla="*/ 457200 w 8058150"/>
                            <a:gd name="connsiteY2" fmla="*/ 4781550 h 4781550"/>
                            <a:gd name="connisteX3" fmla="*/ 0 w 8058150"/>
                            <a:gd name="connsiteY3" fmla="*/ 2181225 h 4781550"/>
                            <a:gd name="connisteX4" fmla="*/ 1524000 w 8058150"/>
                            <a:gd name="connsiteY4" fmla="*/ 1666875 h 4781550"/>
                            <a:gd name="connisteX5" fmla="*/ 1362075 w 8058150"/>
                            <a:gd name="connsiteY5" fmla="*/ 1238250 h 4781550"/>
                            <a:gd name="connisteX6" fmla="*/ 5819775 w 8058150"/>
                            <a:gd name="connsiteY6" fmla="*/ 0 h 4781550"/>
                            <a:gd name="connisteX7" fmla="*/ 5867400 w 8058150"/>
                            <a:gd name="connsiteY7" fmla="*/ 133350 h 47815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058150" h="4781550">
                              <a:moveTo>
                                <a:pt x="5819775" y="76200"/>
                              </a:moveTo>
                              <a:lnTo>
                                <a:pt x="8058150" y="3733800"/>
                              </a:lnTo>
                              <a:lnTo>
                                <a:pt x="457200" y="4781550"/>
                              </a:lnTo>
                              <a:lnTo>
                                <a:pt x="0" y="2181225"/>
                              </a:lnTo>
                              <a:lnTo>
                                <a:pt x="1524000" y="1666875"/>
                              </a:lnTo>
                              <a:lnTo>
                                <a:pt x="1362075" y="1238250"/>
                              </a:lnTo>
                              <a:lnTo>
                                <a:pt x="5819775" y="0"/>
                              </a:lnTo>
                              <a:lnTo>
                                <a:pt x="5867400" y="13335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05pt;margin-top:12pt;height:376.5pt;width:634.5pt;z-index:-966654976;mso-width-relative:page;mso-height-relative:page;" filled="f" stroked="t" coordsize="8058150,4781550" o:gfxdata="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" path="m5819775,76200l8058150,3733800,457200,4781550,0,2181225,1524000,1666875,1362075,1238250,5819775,0,5867400,133350e">
                <v:path o:connectlocs="5819775,76200;8058150,3733800;457200,4781550;0,2181225;1524000,1666875;1362075,1238250;5819775,0;5867400,133350" o:connectangles="0,0,0,0,0,0,0,0"/>
                <v:fill on="f" focussize="0,0"/>
                <v:stroke weight="1pt" color="#41719C [3204]" miterlimit="8" joinstyle="miter"/>
                <v:imagedata o:title=""/>
                <o:lock v:ext="edit" aspectratio="f"/>
              </v:shape>
            </w:pict>
          </mc:Fallback>
        </mc:AlternateContent>
      </w:r>
    </w:p>
    <w:p>
      <w:pPr>
        <w:bidi w:val="0"/>
        <w:rPr>
          <w:rFonts w:hint="eastAsia"/>
          <w:lang w:val="en-US" w:eastAsia="zh-CN"/>
        </w:rPr>
      </w:pPr>
    </w:p>
    <w:p>
      <w:pPr>
        <w:bidi w:val="0"/>
        <w:rPr>
          <w:rFonts w:hint="eastAsia"/>
          <w:lang w:val="en-US" w:eastAsia="zh-CN"/>
        </w:rPr>
      </w:pPr>
      <w:r>
        <w:rPr>
          <w:sz w:val="21"/>
        </w:rPr>
        <mc:AlternateContent>
          <mc:Choice Requires="wps">
            <w:drawing>
              <wp:anchor distT="0" distB="0" distL="114300" distR="114300" simplePos="0" relativeHeight="3328313344" behindDoc="0" locked="0" layoutInCell="1" allowOverlap="1">
                <wp:simplePos x="0" y="0"/>
                <wp:positionH relativeFrom="column">
                  <wp:posOffset>3778885</wp:posOffset>
                </wp:positionH>
                <wp:positionV relativeFrom="paragraph">
                  <wp:posOffset>176530</wp:posOffset>
                </wp:positionV>
                <wp:extent cx="2571750" cy="952500"/>
                <wp:effectExtent l="86360" t="340995" r="104140" b="344805"/>
                <wp:wrapNone/>
                <wp:docPr id="19" name="文本框 19"/>
                <wp:cNvGraphicFramePr/>
                <a:graphic xmlns:a="http://schemas.openxmlformats.org/drawingml/2006/main">
                  <a:graphicData uri="http://schemas.microsoft.com/office/word/2010/wordprocessingShape">
                    <wps:wsp>
                      <wps:cNvSpPr txBox="1"/>
                      <wps:spPr>
                        <a:xfrm rot="20640000">
                          <a:off x="4869815" y="2269490"/>
                          <a:ext cx="2571750" cy="952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color w:val="0000FF"/>
                                <w:sz w:val="28"/>
                                <w:szCs w:val="24"/>
                                <w:lang w:eastAsia="zh-CN"/>
                              </w:rPr>
                            </w:pPr>
                          </w:p>
                          <w:p>
                            <w:pPr>
                              <w:jc w:val="center"/>
                              <w:rPr>
                                <w:rFonts w:hint="eastAsia" w:eastAsia="宋体"/>
                                <w:color w:val="0000FF"/>
                                <w:sz w:val="28"/>
                                <w:szCs w:val="24"/>
                                <w:lang w:eastAsia="zh-CN"/>
                              </w:rPr>
                            </w:pPr>
                            <w:r>
                              <w:rPr>
                                <w:rFonts w:hint="eastAsia"/>
                                <w:color w:val="0000FF"/>
                                <w:sz w:val="28"/>
                                <w:szCs w:val="24"/>
                                <w:lang w:eastAsia="zh-CN"/>
                              </w:rPr>
                              <w:t>喷漆房（厂房三）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7.55pt;margin-top:13.9pt;height:75pt;width:202.5pt;rotation:-1048576f;z-index:-966653952;mso-width-relative:page;mso-height-relative:page;" fillcolor="#FFFFFF [3201]" filled="t" stroked="t" coordsize="21600,21600" o:gfxdata="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R5SKNYAAAALAQAADwAA&#10;AAAAAAABACAAAAAiAAAAZHJzL2Rvd25yZXYueG1sUEsBAhQAFAAAAAgAh07iQDWZvoZRAgAAhgQA&#10;AA4AAAAAAAAAAQAgAAAAJQEAAGRycy9lMm9Eb2MueG1sUEsFBgAAAAAGAAYAWQEAAOgFAAAAAA==&#10;">
                <v:fill on="t" focussize="0,0"/>
                <v:stroke weight="0.5pt" color="#000000 [3204]" joinstyle="round"/>
                <v:imagedata o:title=""/>
                <o:lock v:ext="edit" aspectratio="f"/>
                <v:textbox>
                  <w:txbxContent>
                    <w:p>
                      <w:pPr>
                        <w:jc w:val="center"/>
                        <w:rPr>
                          <w:rFonts w:hint="eastAsia"/>
                          <w:color w:val="0000FF"/>
                          <w:sz w:val="28"/>
                          <w:szCs w:val="24"/>
                          <w:lang w:eastAsia="zh-CN"/>
                        </w:rPr>
                      </w:pPr>
                    </w:p>
                    <w:p>
                      <w:pPr>
                        <w:jc w:val="center"/>
                        <w:rPr>
                          <w:rFonts w:hint="eastAsia" w:eastAsia="宋体"/>
                          <w:color w:val="0000FF"/>
                          <w:sz w:val="28"/>
                          <w:szCs w:val="24"/>
                          <w:lang w:eastAsia="zh-CN"/>
                        </w:rPr>
                      </w:pPr>
                      <w:r>
                        <w:rPr>
                          <w:rFonts w:hint="eastAsia"/>
                          <w:color w:val="0000FF"/>
                          <w:sz w:val="28"/>
                          <w:szCs w:val="24"/>
                          <w:lang w:eastAsia="zh-CN"/>
                        </w:rPr>
                        <w:t>喷漆房（厂房三）</w:t>
                      </w:r>
                    </w:p>
                  </w:txbxContent>
                </v:textbox>
              </v:shape>
            </w:pict>
          </mc:Fallback>
        </mc:AlternateContent>
      </w:r>
    </w:p>
    <w:p>
      <w:pPr>
        <w:bidi w:val="0"/>
        <w:rPr>
          <w:rFonts w:hint="eastAsia"/>
          <w:lang w:val="en-US" w:eastAsia="zh-CN"/>
        </w:rPr>
      </w:pPr>
    </w:p>
    <w:p>
      <w:pPr>
        <w:bidi w:val="0"/>
        <w:rPr>
          <w:rFonts w:hint="eastAsia"/>
          <w:lang w:val="en-US" w:eastAsia="zh-CN"/>
        </w:rPr>
      </w:pPr>
    </w:p>
    <w:p>
      <w:pPr>
        <w:bidi w:val="0"/>
        <w:rPr>
          <w:rFonts w:hint="eastAsia"/>
          <w:lang w:val="en-US" w:eastAsia="zh-CN"/>
        </w:rPr>
      </w:pPr>
      <w:r>
        <w:rPr>
          <w:sz w:val="21"/>
        </w:rPr>
        <mc:AlternateContent>
          <mc:Choice Requires="wps">
            <w:drawing>
              <wp:anchor distT="0" distB="0" distL="114300" distR="114300" simplePos="0" relativeHeight="3328314368" behindDoc="0" locked="0" layoutInCell="1" allowOverlap="1">
                <wp:simplePos x="0" y="0"/>
                <wp:positionH relativeFrom="column">
                  <wp:posOffset>1950085</wp:posOffset>
                </wp:positionH>
                <wp:positionV relativeFrom="paragraph">
                  <wp:posOffset>201295</wp:posOffset>
                </wp:positionV>
                <wp:extent cx="1209675" cy="495300"/>
                <wp:effectExtent l="50800" t="170815" r="53975" b="172085"/>
                <wp:wrapNone/>
                <wp:docPr id="20" name="文本框 20"/>
                <wp:cNvGraphicFramePr/>
                <a:graphic xmlns:a="http://schemas.openxmlformats.org/drawingml/2006/main">
                  <a:graphicData uri="http://schemas.microsoft.com/office/word/2010/wordprocessingShape">
                    <wps:wsp>
                      <wps:cNvSpPr txBox="1"/>
                      <wps:spPr>
                        <a:xfrm rot="20580000">
                          <a:off x="3107690" y="3460115"/>
                          <a:ext cx="1209675" cy="4953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8"/>
                                <w:szCs w:val="24"/>
                                <w:lang w:eastAsia="zh-CN"/>
                              </w:rPr>
                            </w:pPr>
                            <w:r>
                              <w:rPr>
                                <w:rFonts w:hint="eastAsia"/>
                                <w:sz w:val="28"/>
                                <w:szCs w:val="24"/>
                                <w:lang w:eastAsia="zh-CN"/>
                              </w:rPr>
                              <w:t>污水处理区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55pt;margin-top:15.85pt;height:39pt;width:95.25pt;rotation:-1114112f;z-index:-966652928;mso-width-relative:page;mso-height-relative:page;" fillcolor="#FFFFFF [3201]" filled="t" stroked="t" coordsize="21600,21600" o:gfxdata="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udzeXbAAAA&#10;CgEAAA8AAAAAAAAAAQAgAAAAIgAAAGRycy9kb3ducmV2LnhtbFBLAQIUABQAAAAIAIdO4kBAa8vG&#10;UwIAAIYEAAAOAAAAAAAAAAEAIAAAACoBAABkcnMvZTJvRG9jLnhtbFBLBQYAAAAABgAGAFkBAADv&#10;BQAAAAA=&#10;">
                <v:fill on="t" focussize="0,0"/>
                <v:stroke weight="0.5pt" color="#000000 [3204]" joinstyle="round"/>
                <v:imagedata o:title=""/>
                <o:lock v:ext="edit" aspectratio="f"/>
                <v:textbox>
                  <w:txbxContent>
                    <w:p>
                      <w:pPr>
                        <w:rPr>
                          <w:rFonts w:hint="eastAsia" w:eastAsia="宋体"/>
                          <w:sz w:val="28"/>
                          <w:szCs w:val="24"/>
                          <w:lang w:eastAsia="zh-CN"/>
                        </w:rPr>
                      </w:pPr>
                      <w:r>
                        <w:rPr>
                          <w:rFonts w:hint="eastAsia"/>
                          <w:sz w:val="28"/>
                          <w:szCs w:val="24"/>
                          <w:lang w:eastAsia="zh-CN"/>
                        </w:rPr>
                        <w:t>污水处理区</w:t>
                      </w:r>
                    </w:p>
                  </w:txbxContent>
                </v:textbox>
              </v:shape>
            </w:pict>
          </mc:Fallback>
        </mc:AlternateContent>
      </w:r>
    </w:p>
    <w:p>
      <w:pPr>
        <w:bidi w:val="0"/>
        <w:rPr>
          <w:rFonts w:hint="eastAsia"/>
          <w:lang w:val="en-US" w:eastAsia="zh-CN"/>
        </w:rPr>
      </w:pPr>
    </w:p>
    <w:p>
      <w:pPr>
        <w:bidi w:val="0"/>
        <w:rPr>
          <w:rFonts w:hint="eastAsia"/>
          <w:lang w:val="en-US" w:eastAsia="zh-CN"/>
        </w:rPr>
      </w:pPr>
      <w:r>
        <w:rPr>
          <w:sz w:val="21"/>
        </w:rPr>
        <mc:AlternateContent>
          <mc:Choice Requires="wps">
            <w:drawing>
              <wp:anchor distT="0" distB="0" distL="114300" distR="114300" simplePos="0" relativeHeight="3328315392" behindDoc="0" locked="0" layoutInCell="1" allowOverlap="1">
                <wp:simplePos x="0" y="0"/>
                <wp:positionH relativeFrom="column">
                  <wp:posOffset>3521710</wp:posOffset>
                </wp:positionH>
                <wp:positionV relativeFrom="paragraph">
                  <wp:posOffset>198755</wp:posOffset>
                </wp:positionV>
                <wp:extent cx="3381375" cy="1095375"/>
                <wp:effectExtent l="90805" t="474980" r="109220" b="487045"/>
                <wp:wrapNone/>
                <wp:docPr id="21" name="文本框 21"/>
                <wp:cNvGraphicFramePr/>
                <a:graphic xmlns:a="http://schemas.openxmlformats.org/drawingml/2006/main">
                  <a:graphicData uri="http://schemas.microsoft.com/office/word/2010/wordprocessingShape">
                    <wps:wsp>
                      <wps:cNvSpPr txBox="1"/>
                      <wps:spPr>
                        <a:xfrm rot="20580000">
                          <a:off x="4536440" y="3736340"/>
                          <a:ext cx="3381375" cy="10953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color w:val="0000FF"/>
                                <w:sz w:val="28"/>
                                <w:szCs w:val="24"/>
                                <w:lang w:eastAsia="zh-CN"/>
                              </w:rPr>
                            </w:pPr>
                          </w:p>
                          <w:p>
                            <w:pPr>
                              <w:jc w:val="center"/>
                              <w:rPr>
                                <w:rFonts w:hint="eastAsia" w:eastAsia="宋体"/>
                                <w:color w:val="0000FF"/>
                                <w:sz w:val="28"/>
                                <w:szCs w:val="24"/>
                                <w:lang w:eastAsia="zh-CN"/>
                              </w:rPr>
                            </w:pPr>
                            <w:r>
                              <w:rPr>
                                <w:rFonts w:hint="eastAsia"/>
                                <w:color w:val="0000FF"/>
                                <w:sz w:val="28"/>
                                <w:szCs w:val="24"/>
                                <w:lang w:eastAsia="zh-CN"/>
                              </w:rPr>
                              <w:t>变压器生产车间（厂房二）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3pt;margin-top:15.65pt;height:86.25pt;width:266.25pt;rotation:-1114112f;z-index:-966651904;mso-width-relative:page;mso-height-relative:page;" fillcolor="#FFFFFF [3201]" filled="t" stroked="t" coordsize="21600,21600" o:gfxdata="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rTsxD3AAA&#10;AAsBAAAPAAAAAAAAAAEAIAAAACIAAABkcnMvZG93bnJldi54bWxQSwECFAAUAAAACACHTuJAMKiR&#10;MVMCAACHBAAADgAAAAAAAAABACAAAAArAQAAZHJzL2Uyb0RvYy54bWxQSwUGAAAAAAYABgBZAQAA&#10;8AUAAAAA&#10;">
                <v:fill on="t" focussize="0,0"/>
                <v:stroke weight="0.5pt" color="#000000 [3204]" joinstyle="round"/>
                <v:imagedata o:title=""/>
                <o:lock v:ext="edit" aspectratio="f"/>
                <v:textbox>
                  <w:txbxContent>
                    <w:p>
                      <w:pPr>
                        <w:jc w:val="center"/>
                        <w:rPr>
                          <w:rFonts w:hint="eastAsia"/>
                          <w:color w:val="0000FF"/>
                          <w:sz w:val="28"/>
                          <w:szCs w:val="24"/>
                          <w:lang w:eastAsia="zh-CN"/>
                        </w:rPr>
                      </w:pPr>
                    </w:p>
                    <w:p>
                      <w:pPr>
                        <w:jc w:val="center"/>
                        <w:rPr>
                          <w:rFonts w:hint="eastAsia" w:eastAsia="宋体"/>
                          <w:color w:val="0000FF"/>
                          <w:sz w:val="28"/>
                          <w:szCs w:val="24"/>
                          <w:lang w:eastAsia="zh-CN"/>
                        </w:rPr>
                      </w:pPr>
                      <w:r>
                        <w:rPr>
                          <w:rFonts w:hint="eastAsia"/>
                          <w:color w:val="0000FF"/>
                          <w:sz w:val="28"/>
                          <w:szCs w:val="24"/>
                          <w:lang w:eastAsia="zh-CN"/>
                        </w:rPr>
                        <w:t>变压器生产车间（厂房二）</w:t>
                      </w:r>
                    </w:p>
                  </w:txbxContent>
                </v:textbox>
              </v:shape>
            </w:pict>
          </mc:Fallback>
        </mc:AlternateConten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sz w:val="21"/>
        </w:rPr>
        <mc:AlternateContent>
          <mc:Choice Requires="wps">
            <w:drawing>
              <wp:anchor distT="0" distB="0" distL="114300" distR="114300" simplePos="0" relativeHeight="3328317440" behindDoc="0" locked="0" layoutInCell="1" allowOverlap="1">
                <wp:simplePos x="0" y="0"/>
                <wp:positionH relativeFrom="column">
                  <wp:posOffset>1525905</wp:posOffset>
                </wp:positionH>
                <wp:positionV relativeFrom="paragraph">
                  <wp:posOffset>160655</wp:posOffset>
                </wp:positionV>
                <wp:extent cx="1802765" cy="1723390"/>
                <wp:effectExtent l="217170" t="230505" r="227965" b="236855"/>
                <wp:wrapNone/>
                <wp:docPr id="23" name="文本框 23"/>
                <wp:cNvGraphicFramePr/>
                <a:graphic xmlns:a="http://schemas.openxmlformats.org/drawingml/2006/main">
                  <a:graphicData uri="http://schemas.microsoft.com/office/word/2010/wordprocessingShape">
                    <wps:wsp>
                      <wps:cNvSpPr txBox="1"/>
                      <wps:spPr>
                        <a:xfrm rot="20580000">
                          <a:off x="1659890" y="4313555"/>
                          <a:ext cx="1802765" cy="17233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color w:val="0000FF"/>
                                <w:sz w:val="28"/>
                                <w:szCs w:val="24"/>
                                <w:lang w:eastAsia="zh-CN"/>
                              </w:rPr>
                            </w:pPr>
                          </w:p>
                          <w:p>
                            <w:pPr>
                              <w:jc w:val="center"/>
                              <w:rPr>
                                <w:rFonts w:hint="eastAsia"/>
                                <w:color w:val="0000FF"/>
                                <w:sz w:val="28"/>
                                <w:szCs w:val="24"/>
                                <w:lang w:eastAsia="zh-CN"/>
                              </w:rPr>
                            </w:pPr>
                          </w:p>
                          <w:p>
                            <w:pPr>
                              <w:jc w:val="center"/>
                              <w:rPr>
                                <w:rFonts w:hint="eastAsia"/>
                                <w:color w:val="0000FF"/>
                                <w:sz w:val="28"/>
                                <w:szCs w:val="24"/>
                                <w:lang w:eastAsia="zh-CN"/>
                              </w:rPr>
                            </w:pPr>
                          </w:p>
                          <w:p>
                            <w:pPr>
                              <w:jc w:val="center"/>
                              <w:rPr>
                                <w:rFonts w:hint="eastAsia" w:eastAsia="宋体"/>
                                <w:color w:val="0000FF"/>
                                <w:sz w:val="28"/>
                                <w:szCs w:val="24"/>
                                <w:lang w:eastAsia="zh-CN"/>
                              </w:rPr>
                            </w:pPr>
                            <w:r>
                              <w:rPr>
                                <w:rFonts w:hint="eastAsia"/>
                                <w:color w:val="0000FF"/>
                                <w:sz w:val="28"/>
                                <w:szCs w:val="24"/>
                                <w:lang w:eastAsia="zh-CN"/>
                              </w:rPr>
                              <w:t>空地（拟建厂房四）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15pt;margin-top:12.65pt;height:135.7pt;width:141.95pt;rotation:-1114112f;z-index:-966649856;mso-width-relative:page;mso-height-relative:page;" fillcolor="#FFFFFF [3201]" filled="t" stroked="t" coordsize="21600,21600" o:gfxdata="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53Pzy9oAAAAK&#10;AQAADwAAAAAAAAABACAAAAAiAAAAZHJzL2Rvd25yZXYueG1sUEsBAhQAFAAAAAgAh07iQK7lVmRT&#10;AgAAhwQAAA4AAAAAAAAAAQAgAAAAKQEAAGRycy9lMm9Eb2MueG1sUEsFBgAAAAAGAAYAWQEAAO4F&#10;AAAAAA==&#10;">
                <v:fill on="t" focussize="0,0"/>
                <v:stroke weight="0.5pt" color="#000000 [3204]" joinstyle="round"/>
                <v:imagedata o:title=""/>
                <o:lock v:ext="edit" aspectratio="f"/>
                <v:textbox>
                  <w:txbxContent>
                    <w:p>
                      <w:pPr>
                        <w:jc w:val="center"/>
                        <w:rPr>
                          <w:rFonts w:hint="eastAsia"/>
                          <w:color w:val="0000FF"/>
                          <w:sz w:val="28"/>
                          <w:szCs w:val="24"/>
                          <w:lang w:eastAsia="zh-CN"/>
                        </w:rPr>
                      </w:pPr>
                    </w:p>
                    <w:p>
                      <w:pPr>
                        <w:jc w:val="center"/>
                        <w:rPr>
                          <w:rFonts w:hint="eastAsia"/>
                          <w:color w:val="0000FF"/>
                          <w:sz w:val="28"/>
                          <w:szCs w:val="24"/>
                          <w:lang w:eastAsia="zh-CN"/>
                        </w:rPr>
                      </w:pPr>
                    </w:p>
                    <w:p>
                      <w:pPr>
                        <w:jc w:val="center"/>
                        <w:rPr>
                          <w:rFonts w:hint="eastAsia"/>
                          <w:color w:val="0000FF"/>
                          <w:sz w:val="28"/>
                          <w:szCs w:val="24"/>
                          <w:lang w:eastAsia="zh-CN"/>
                        </w:rPr>
                      </w:pPr>
                    </w:p>
                    <w:p>
                      <w:pPr>
                        <w:jc w:val="center"/>
                        <w:rPr>
                          <w:rFonts w:hint="eastAsia" w:eastAsia="宋体"/>
                          <w:color w:val="0000FF"/>
                          <w:sz w:val="28"/>
                          <w:szCs w:val="24"/>
                          <w:lang w:eastAsia="zh-CN"/>
                        </w:rPr>
                      </w:pPr>
                      <w:r>
                        <w:rPr>
                          <w:rFonts w:hint="eastAsia"/>
                          <w:color w:val="0000FF"/>
                          <w:sz w:val="28"/>
                          <w:szCs w:val="24"/>
                          <w:lang w:eastAsia="zh-CN"/>
                        </w:rPr>
                        <w:t>空地（拟建厂房四）</w:t>
                      </w:r>
                    </w:p>
                  </w:txbxContent>
                </v:textbox>
              </v:shape>
            </w:pict>
          </mc:Fallback>
        </mc:AlternateContent>
      </w:r>
    </w:p>
    <w:p>
      <w:pPr>
        <w:bidi w:val="0"/>
        <w:rPr>
          <w:rFonts w:hint="eastAsia"/>
          <w:lang w:val="en-US" w:eastAsia="zh-CN"/>
        </w:rPr>
      </w:pPr>
      <w:r>
        <w:rPr>
          <w:sz w:val="21"/>
        </w:rPr>
        <mc:AlternateContent>
          <mc:Choice Requires="wps">
            <w:drawing>
              <wp:anchor distT="0" distB="0" distL="114300" distR="114300" simplePos="0" relativeHeight="3328311296" behindDoc="0" locked="0" layoutInCell="1" allowOverlap="1">
                <wp:simplePos x="0" y="0"/>
                <wp:positionH relativeFrom="column">
                  <wp:posOffset>5883910</wp:posOffset>
                </wp:positionH>
                <wp:positionV relativeFrom="paragraph">
                  <wp:posOffset>174625</wp:posOffset>
                </wp:positionV>
                <wp:extent cx="1181100" cy="285750"/>
                <wp:effectExtent l="0" t="0" r="0" b="0"/>
                <wp:wrapNone/>
                <wp:docPr id="15" name="文本框 15"/>
                <wp:cNvGraphicFramePr/>
                <a:graphic xmlns:a="http://schemas.openxmlformats.org/drawingml/2006/main">
                  <a:graphicData uri="http://schemas.microsoft.com/office/word/2010/wordprocessingShape">
                    <wps:wsp>
                      <wps:cNvSpPr txBox="1"/>
                      <wps:spPr>
                        <a:xfrm>
                          <a:off x="6784340" y="4261485"/>
                          <a:ext cx="118110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3.3pt;margin-top:13.75pt;height:22.5pt;width:93pt;z-index:-966656000;mso-width-relative:page;mso-height-relative:page;" fillcolor="#FFFFFF [3201]" filled="t" stroked="f" coordsize="21600,21600" o:gfxdata="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&#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k3JsLVAAAACgEAAA8AAAAAAAAAAQAgAAAAIgAAAGRy&#10;cy9kb3ducmV2LnhtbFBLAQIUABQAAAAIAIdO4kCcBBcnQQIAAE8EAAAOAAAAAAAAAAEAIAAAACQB&#10;AABkcnMvZTJvRG9jLnhtbFBLBQYAAAAABgAGAFkBAADXBQAAAAA=&#10;">
                <v:fill on="t" focussize="0,0"/>
                <v:stroke on="f" weight="0.5pt"/>
                <v:imagedata o:title=""/>
                <o:lock v:ext="edit" aspectratio="f"/>
                <v:textbox>
                  <w:txbxContent>
                    <w:p/>
                  </w:txbxContent>
                </v:textbox>
              </v:shape>
            </w:pict>
          </mc:Fallback>
        </mc:AlternateContent>
      </w:r>
    </w:p>
    <w:p>
      <w:pPr>
        <w:bidi w:val="0"/>
        <w:rPr>
          <w:rFonts w:hint="eastAsia"/>
          <w:lang w:val="en-US" w:eastAsia="zh-CN"/>
        </w:rPr>
      </w:pPr>
      <w:r>
        <w:rPr>
          <w:sz w:val="21"/>
        </w:rPr>
        <mc:AlternateContent>
          <mc:Choice Requires="wps">
            <w:drawing>
              <wp:anchor distT="0" distB="0" distL="114300" distR="114300" simplePos="0" relativeHeight="3328318464" behindDoc="0" locked="0" layoutInCell="1" allowOverlap="1">
                <wp:simplePos x="0" y="0"/>
                <wp:positionH relativeFrom="column">
                  <wp:posOffset>567690</wp:posOffset>
                </wp:positionH>
                <wp:positionV relativeFrom="paragraph">
                  <wp:posOffset>19685</wp:posOffset>
                </wp:positionV>
                <wp:extent cx="834390" cy="1638300"/>
                <wp:effectExtent l="178435" t="77470" r="187325" b="93980"/>
                <wp:wrapNone/>
                <wp:docPr id="24" name="文本框 24"/>
                <wp:cNvGraphicFramePr/>
                <a:graphic xmlns:a="http://schemas.openxmlformats.org/drawingml/2006/main">
                  <a:graphicData uri="http://schemas.microsoft.com/office/word/2010/wordprocessingShape">
                    <wps:wsp>
                      <wps:cNvSpPr txBox="1"/>
                      <wps:spPr>
                        <a:xfrm rot="20820000">
                          <a:off x="1650365" y="4437380"/>
                          <a:ext cx="834390" cy="16383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FF"/>
                                <w:sz w:val="24"/>
                                <w:szCs w:val="24"/>
                                <w:lang w:eastAsia="zh-CN"/>
                              </w:rPr>
                            </w:pPr>
                            <w:r>
                              <w:rPr>
                                <w:rFonts w:hint="eastAsia"/>
                                <w:color w:val="0000FF"/>
                                <w:sz w:val="28"/>
                                <w:szCs w:val="28"/>
                                <w:lang w:eastAsia="zh-CN"/>
                              </w:rPr>
                              <w:t>空地（拟建办公楼）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pt;margin-top:1.55pt;height:129pt;width:65.7pt;rotation:-851968f;z-index:-966648832;mso-width-relative:page;mso-height-relative:page;" fillcolor="#FFFFFF [3201]" filled="t" stroked="t" coordsize="21600,21600" o:gfxdata="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7klOxtoAAAAI&#10;AQAADwAAAAAAAAABACAAAAAiAAAAZHJzL2Rvd25yZXYueG1sUEsBAhQAFAAAAAgAh07iQG4f5ONT&#10;AgAAhgQAAA4AAAAAAAAAAQAgAAAAKQEAAGRycy9lMm9Eb2MueG1sUEsFBgAAAAAGAAYAWQEAAO4F&#10;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0000FF"/>
                          <w:sz w:val="24"/>
                          <w:szCs w:val="24"/>
                          <w:lang w:eastAsia="zh-CN"/>
                        </w:rPr>
                      </w:pPr>
                      <w:r>
                        <w:rPr>
                          <w:rFonts w:hint="eastAsia"/>
                          <w:color w:val="0000FF"/>
                          <w:sz w:val="28"/>
                          <w:szCs w:val="28"/>
                          <w:lang w:eastAsia="zh-CN"/>
                        </w:rPr>
                        <w:t>空地（拟建办公楼）</w:t>
                      </w:r>
                    </w:p>
                  </w:txbxContent>
                </v:textbox>
              </v:shape>
            </w:pict>
          </mc:Fallback>
        </mc:AlternateContent>
      </w:r>
      <w:r>
        <w:rPr>
          <w:sz w:val="21"/>
        </w:rPr>
        <mc:AlternateContent>
          <mc:Choice Requires="wps">
            <w:drawing>
              <wp:anchor distT="0" distB="0" distL="114300" distR="114300" simplePos="0" relativeHeight="3328316416" behindDoc="0" locked="0" layoutInCell="1" allowOverlap="1">
                <wp:simplePos x="0" y="0"/>
                <wp:positionH relativeFrom="column">
                  <wp:posOffset>3997960</wp:posOffset>
                </wp:positionH>
                <wp:positionV relativeFrom="paragraph">
                  <wp:posOffset>86360</wp:posOffset>
                </wp:positionV>
                <wp:extent cx="3533775" cy="762000"/>
                <wp:effectExtent l="36195" t="532130" r="49530" b="534670"/>
                <wp:wrapNone/>
                <wp:docPr id="22" name="文本框 22"/>
                <wp:cNvGraphicFramePr/>
                <a:graphic xmlns:a="http://schemas.openxmlformats.org/drawingml/2006/main">
                  <a:graphicData uri="http://schemas.microsoft.com/office/word/2010/wordprocessingShape">
                    <wps:wsp>
                      <wps:cNvSpPr txBox="1"/>
                      <wps:spPr>
                        <a:xfrm rot="20520000">
                          <a:off x="4660265" y="4898390"/>
                          <a:ext cx="3533775" cy="762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0000FF"/>
                                <w:sz w:val="28"/>
                                <w:szCs w:val="24"/>
                                <w:lang w:eastAsia="zh-CN"/>
                              </w:rPr>
                            </w:pPr>
                            <w:r>
                              <w:rPr>
                                <w:rFonts w:hint="eastAsia"/>
                                <w:color w:val="0000FF"/>
                                <w:sz w:val="28"/>
                                <w:szCs w:val="24"/>
                                <w:lang w:eastAsia="zh-CN"/>
                              </w:rPr>
                              <w:t>原有办公区（拟建厂房一）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8pt;margin-top:6.8pt;height:60pt;width:278.25pt;rotation:-1179648f;z-index:-966650880;mso-width-relative:page;mso-height-relative:page;" fillcolor="#FFFFFF [3201]" filled="t" stroked="t" coordsize="21600,21600" o:gfxdata="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te9JDVAAAACwEAAA8AAAAA&#10;AAAAAQAgAAAAIgAAAGRycy9kb3ducmV2LnhtbFBLAQIUABQAAAAIAIdO4kDR6d2+UAIAAIYEAAAO&#10;AAAAAAAAAAEAIAAAACQBAABkcnMvZTJvRG9jLnhtbFBLBQYAAAAABgAGAFkBAADmBQAAAAA=&#10;">
                <v:fill on="t" focussize="0,0"/>
                <v:stroke weight="0.5pt" color="#000000 [3204]" joinstyle="round"/>
                <v:imagedata o:title=""/>
                <o:lock v:ext="edit" aspectratio="f"/>
                <v:textbox>
                  <w:txbxContent>
                    <w:p>
                      <w:pPr>
                        <w:jc w:val="center"/>
                        <w:rPr>
                          <w:rFonts w:hint="eastAsia" w:eastAsia="宋体"/>
                          <w:color w:val="0000FF"/>
                          <w:sz w:val="28"/>
                          <w:szCs w:val="24"/>
                          <w:lang w:eastAsia="zh-CN"/>
                        </w:rPr>
                      </w:pPr>
                      <w:r>
                        <w:rPr>
                          <w:rFonts w:hint="eastAsia"/>
                          <w:color w:val="0000FF"/>
                          <w:sz w:val="28"/>
                          <w:szCs w:val="24"/>
                          <w:lang w:eastAsia="zh-CN"/>
                        </w:rPr>
                        <w:t>原有办公区（拟建厂房一）</w:t>
                      </w:r>
                    </w:p>
                  </w:txbxContent>
                </v:textbox>
              </v:shape>
            </w:pict>
          </mc:Fallback>
        </mc:AlternateConten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8"/>
        <w:bidi w:val="0"/>
        <w:rPr>
          <w:rFonts w:hint="default"/>
          <w:lang w:val="en-US" w:eastAsia="zh-CN"/>
        </w:rPr>
      </w:pPr>
      <w:r>
        <w:rPr>
          <w:rFonts w:hint="eastAsia" w:eastAsia="宋体"/>
          <w:color w:val="auto"/>
          <w:u w:val="none" w:color="auto"/>
          <w:lang w:eastAsia="zh-CN"/>
        </w:rPr>
        <w:drawing>
          <wp:anchor distT="0" distB="0" distL="114300" distR="114300" simplePos="0" relativeHeight="1709977600" behindDoc="0" locked="0" layoutInCell="1" allowOverlap="1">
            <wp:simplePos x="0" y="0"/>
            <wp:positionH relativeFrom="column">
              <wp:posOffset>-73025</wp:posOffset>
            </wp:positionH>
            <wp:positionV relativeFrom="paragraph">
              <wp:posOffset>240665</wp:posOffset>
            </wp:positionV>
            <wp:extent cx="8472170" cy="5304790"/>
            <wp:effectExtent l="0" t="0" r="5080" b="10160"/>
            <wp:wrapNone/>
            <wp:docPr id="118" name="图片 118" descr="微信图片_2019111509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微信图片_20191115094807"/>
                    <pic:cNvPicPr>
                      <a:picLocks noChangeAspect="1"/>
                    </pic:cNvPicPr>
                  </pic:nvPicPr>
                  <pic:blipFill>
                    <a:blip r:embed="rId41"/>
                    <a:stretch>
                      <a:fillRect/>
                    </a:stretch>
                  </pic:blipFill>
                  <pic:spPr>
                    <a:xfrm>
                      <a:off x="0" y="0"/>
                      <a:ext cx="8472170" cy="5304790"/>
                    </a:xfrm>
                    <a:prstGeom prst="rect">
                      <a:avLst/>
                    </a:prstGeom>
                  </pic:spPr>
                </pic:pic>
              </a:graphicData>
            </a:graphic>
          </wp:anchor>
        </w:drawing>
      </w:r>
      <w:r>
        <w:rPr>
          <w:rFonts w:hint="eastAsia"/>
          <w:lang w:val="en-US" w:eastAsia="zh-CN"/>
        </w:rPr>
        <w:t>附图2-2 扩建后平面布置图</w:t>
      </w:r>
    </w:p>
    <w:p>
      <w:pPr>
        <w:bidi w:val="0"/>
        <w:rPr>
          <w:rFonts w:hint="default"/>
          <w:lang w:val="en-US" w:eastAsia="zh-CN"/>
        </w:rPr>
      </w:pPr>
    </w:p>
    <w:p>
      <w:pPr>
        <w:pStyle w:val="39"/>
        <w:rPr>
          <w:color w:val="auto"/>
          <w:u w:val="none" w:color="auto"/>
        </w:rPr>
      </w:pPr>
    </w:p>
    <w:p>
      <w:pPr>
        <w:pStyle w:val="39"/>
        <w:rPr>
          <w:rFonts w:hint="eastAsia" w:eastAsia="宋体"/>
          <w:color w:val="auto"/>
          <w:u w:val="none" w:color="auto"/>
          <w:lang w:eastAsia="zh-CN"/>
        </w:rPr>
      </w:pPr>
      <w:r>
        <w:rPr>
          <w:sz w:val="21"/>
        </w:rPr>
        <mc:AlternateContent>
          <mc:Choice Requires="wps">
            <w:drawing>
              <wp:anchor distT="0" distB="0" distL="114300" distR="114300" simplePos="0" relativeHeight="1869993984" behindDoc="0" locked="0" layoutInCell="1" allowOverlap="1">
                <wp:simplePos x="0" y="0"/>
                <wp:positionH relativeFrom="column">
                  <wp:posOffset>5893435</wp:posOffset>
                </wp:positionH>
                <wp:positionV relativeFrom="paragraph">
                  <wp:posOffset>140335</wp:posOffset>
                </wp:positionV>
                <wp:extent cx="990600" cy="304800"/>
                <wp:effectExtent l="0" t="0" r="0" b="0"/>
                <wp:wrapNone/>
                <wp:docPr id="25" name="文本框 25"/>
                <wp:cNvGraphicFramePr/>
                <a:graphic xmlns:a="http://schemas.openxmlformats.org/drawingml/2006/main">
                  <a:graphicData uri="http://schemas.microsoft.com/office/word/2010/wordprocessingShape">
                    <wps:wsp>
                      <wps:cNvSpPr txBox="1"/>
                      <wps:spPr>
                        <a:xfrm>
                          <a:off x="3602990" y="1633220"/>
                          <a:ext cx="990600" cy="304800"/>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18"/>
                                <w:szCs w:val="16"/>
                                <w:lang w:eastAsia="zh-CN"/>
                              </w:rPr>
                            </w:pPr>
                            <w:r>
                              <w:rPr>
                                <w:rFonts w:hint="eastAsia"/>
                                <w:b/>
                                <w:bCs/>
                                <w:sz w:val="18"/>
                                <w:szCs w:val="16"/>
                                <w:lang w:eastAsia="zh-CN"/>
                              </w:rPr>
                              <w:t>喷塑后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4.05pt;margin-top:11.05pt;height:24pt;width:78pt;z-index:1869993984;mso-width-relative:page;mso-height-relative:page;" filled="f" stroked="f" coordsize="21600,21600" o:gfxdata="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h&#10;NWSt2gAAAAoBAAAPAAAAAAAAAAEAIAAAACIAAABkcnMvZG93bnJldi54bWxQSwECFAAUAAAACACH&#10;TuJAQmTBopQCAAANBQAADgAAAAAAAAABACAAAAApAQAAZHJzL2Uyb0RvYy54bWxQSwUGAAAAAAYA&#10;BgBZAQAALwYAAAAA&#10;">
                <v:fill on="f" focussize="0,0"/>
                <v:stroke on="f" weight="0.5pt"/>
                <v:imagedata o:title=""/>
                <o:lock v:ext="edit" aspectratio="f"/>
                <v:textbox>
                  <w:txbxContent>
                    <w:p>
                      <w:pPr>
                        <w:rPr>
                          <w:rFonts w:hint="eastAsia" w:eastAsia="宋体"/>
                          <w:b/>
                          <w:bCs/>
                          <w:sz w:val="18"/>
                          <w:szCs w:val="16"/>
                          <w:lang w:eastAsia="zh-CN"/>
                        </w:rPr>
                      </w:pPr>
                      <w:r>
                        <w:rPr>
                          <w:rFonts w:hint="eastAsia"/>
                          <w:b/>
                          <w:bCs/>
                          <w:sz w:val="18"/>
                          <w:szCs w:val="16"/>
                          <w:lang w:eastAsia="zh-CN"/>
                        </w:rPr>
                        <w:t>喷塑后</w:t>
                      </w:r>
                    </w:p>
                  </w:txbxContent>
                </v:textbox>
              </v:shape>
            </w:pict>
          </mc:Fallback>
        </mc:AlternateContent>
      </w:r>
    </w:p>
    <w:p>
      <w:pPr>
        <w:pStyle w:val="39"/>
        <w:rPr>
          <w:color w:val="auto"/>
          <w:u w:val="none" w:color="auto"/>
        </w:rPr>
      </w:pPr>
    </w:p>
    <w:p>
      <w:pPr>
        <w:pStyle w:val="39"/>
        <w:rPr>
          <w:color w:val="auto"/>
          <w:u w:val="none" w:color="auto"/>
        </w:rPr>
      </w:pPr>
      <w:r>
        <w:rPr>
          <w:sz w:val="21"/>
        </w:rPr>
        <mc:AlternateContent>
          <mc:Choice Requires="wps">
            <w:drawing>
              <wp:anchor distT="0" distB="0" distL="114300" distR="114300" simplePos="0" relativeHeight="1869990912" behindDoc="0" locked="0" layoutInCell="1" allowOverlap="1">
                <wp:simplePos x="0" y="0"/>
                <wp:positionH relativeFrom="column">
                  <wp:posOffset>6369685</wp:posOffset>
                </wp:positionH>
                <wp:positionV relativeFrom="paragraph">
                  <wp:posOffset>97790</wp:posOffset>
                </wp:positionV>
                <wp:extent cx="733425" cy="219075"/>
                <wp:effectExtent l="0" t="0" r="9525" b="9525"/>
                <wp:wrapNone/>
                <wp:docPr id="13" name="文本框 13"/>
                <wp:cNvGraphicFramePr/>
                <a:graphic xmlns:a="http://schemas.openxmlformats.org/drawingml/2006/main">
                  <a:graphicData uri="http://schemas.microsoft.com/office/word/2010/wordprocessingShape">
                    <wps:wsp>
                      <wps:cNvSpPr txBox="1"/>
                      <wps:spPr>
                        <a:xfrm>
                          <a:off x="7270115" y="2650490"/>
                          <a:ext cx="733425" cy="219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1.55pt;margin-top:7.7pt;height:17.25pt;width:57.75pt;z-index:1869990912;mso-width-relative:page;mso-height-relative:page;" fillcolor="#FFFFFF [3201]" filled="t" stroked="f" coordsize="21600,21600" o:gfxdata="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bmwknVAAAACwEAAA8AAAAAAAAAAQAgAAAAIgAAAGRycy9k&#10;b3ducmV2LnhtbFBLAQIUABQAAAAIAIdO4kCSn75pPgIAAE4EAAAOAAAAAAAAAAEAIAAAACQBAABk&#10;cnMvZTJvRG9jLnhtbFBLBQYAAAAABgAGAFkBAADUBQAAAAA=&#10;">
                <v:fill on="t" focussize="0,0"/>
                <v:stroke on="f" weight="0.5pt"/>
                <v:imagedata o:title=""/>
                <o:lock v:ext="edit" aspectratio="f"/>
                <v:textbox>
                  <w:txbxContent>
                    <w:p/>
                  </w:txbxContent>
                </v:textbox>
              </v:shape>
            </w:pict>
          </mc:Fallback>
        </mc:AlternateContent>
      </w:r>
    </w:p>
    <w:p>
      <w:pPr>
        <w:pStyle w:val="39"/>
        <w:rPr>
          <w:color w:val="auto"/>
          <w:u w:val="none" w:color="auto"/>
        </w:rPr>
      </w:pPr>
    </w:p>
    <w:p>
      <w:pPr>
        <w:pStyle w:val="39"/>
        <w:rPr>
          <w:color w:val="auto"/>
          <w:u w:val="none" w:color="auto"/>
        </w:rPr>
      </w:pPr>
    </w:p>
    <w:p>
      <w:pPr>
        <w:pStyle w:val="39"/>
        <w:rPr>
          <w:rFonts w:hint="eastAsia" w:eastAsia="宋体"/>
          <w:color w:val="auto"/>
          <w:u w:val="none" w:color="auto"/>
          <w:lang w:eastAsia="zh-CN"/>
        </w:rPr>
      </w:pPr>
    </w:p>
    <w:p>
      <w:pPr>
        <w:pStyle w:val="39"/>
        <w:rPr>
          <w:color w:val="auto"/>
          <w:u w:val="none" w:color="auto"/>
        </w:rPr>
      </w:pPr>
    </w:p>
    <w:p>
      <w:pPr>
        <w:pStyle w:val="39"/>
        <w:rPr>
          <w:color w:val="auto"/>
          <w:u w:val="none" w:color="auto"/>
        </w:rPr>
      </w:pPr>
    </w:p>
    <w:p>
      <w:pPr>
        <w:pStyle w:val="39"/>
        <w:rPr>
          <w:color w:val="auto"/>
          <w:u w:val="none" w:color="auto"/>
        </w:rPr>
      </w:pPr>
      <w:r>
        <w:rPr>
          <w:sz w:val="21"/>
        </w:rPr>
        <mc:AlternateContent>
          <mc:Choice Requires="wps">
            <w:drawing>
              <wp:anchor distT="0" distB="0" distL="114300" distR="114300" simplePos="0" relativeHeight="1869991936" behindDoc="0" locked="0" layoutInCell="1" allowOverlap="1">
                <wp:simplePos x="0" y="0"/>
                <wp:positionH relativeFrom="column">
                  <wp:posOffset>2569210</wp:posOffset>
                </wp:positionH>
                <wp:positionV relativeFrom="paragraph">
                  <wp:posOffset>2540</wp:posOffset>
                </wp:positionV>
                <wp:extent cx="1343025" cy="494665"/>
                <wp:effectExtent l="37465" t="286385" r="48260" b="304800"/>
                <wp:wrapNone/>
                <wp:docPr id="16" name="文本框 16"/>
                <wp:cNvGraphicFramePr/>
                <a:graphic xmlns:a="http://schemas.openxmlformats.org/drawingml/2006/main">
                  <a:graphicData uri="http://schemas.microsoft.com/office/word/2010/wordprocessingShape">
                    <wps:wsp>
                      <wps:cNvSpPr txBox="1"/>
                      <wps:spPr>
                        <a:xfrm rot="19920000">
                          <a:off x="3745865" y="4705985"/>
                          <a:ext cx="1343025" cy="4946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textAlignment w:val="auto"/>
                              <w:rPr>
                                <w:rFonts w:hint="eastAsia" w:eastAsia="宋体"/>
                                <w:sz w:val="20"/>
                                <w:szCs w:val="18"/>
                                <w:lang w:eastAsia="zh-CN"/>
                              </w:rPr>
                            </w:pPr>
                            <w:r>
                              <w:rPr>
                                <w:rFonts w:hint="eastAsia"/>
                                <w:sz w:val="20"/>
                                <w:szCs w:val="18"/>
                                <w:lang w:eastAsia="zh-CN"/>
                              </w:rPr>
                              <w:t>变压器内部水分烘干房（电烘干）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3pt;margin-top:0.2pt;height:38.95pt;width:105.75pt;rotation:-1835008f;z-index:1869991936;mso-width-relative:page;mso-height-relative:page;" fillcolor="#FFFFFF [3201]" filled="t" stroked="f" coordsize="21600,21600" o:gfxdata="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k3bJHVAAAABwEAAA8AAAAAAAAAAQAgAAAA&#10;IgAAAGRycy9kb3ducmV2LnhtbFBLAQIUABQAAAAIAIdO4kAyCNw5RwIAAF4EAAAOAAAAAAAAAAEA&#10;IAAAACQBAABkcnMvZTJvRG9jLnhtbFBLBQYAAAAABgAGAFkBAADdBQ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eastAsia" w:eastAsia="宋体"/>
                          <w:sz w:val="20"/>
                          <w:szCs w:val="18"/>
                          <w:lang w:eastAsia="zh-CN"/>
                        </w:rPr>
                      </w:pPr>
                      <w:r>
                        <w:rPr>
                          <w:rFonts w:hint="eastAsia"/>
                          <w:sz w:val="20"/>
                          <w:szCs w:val="18"/>
                          <w:lang w:eastAsia="zh-CN"/>
                        </w:rPr>
                        <w:t>变压器内部水分烘干房（电烘干）</w:t>
                      </w:r>
                    </w:p>
                  </w:txbxContent>
                </v:textbox>
              </v:shape>
            </w:pict>
          </mc:Fallback>
        </mc:AlternateContent>
      </w: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39"/>
        <w:rPr>
          <w:color w:val="auto"/>
          <w:u w:val="none" w:color="auto"/>
        </w:rPr>
      </w:pPr>
    </w:p>
    <w:p>
      <w:pPr>
        <w:pStyle w:val="8"/>
        <w:bidi w:val="0"/>
        <w:rPr>
          <w:rFonts w:hint="default"/>
          <w:color w:val="auto"/>
          <w:u w:val="none" w:color="auto"/>
        </w:rPr>
      </w:pPr>
      <w:r>
        <w:drawing>
          <wp:anchor distT="0" distB="0" distL="114300" distR="114300" simplePos="0" relativeHeight="1709978624" behindDoc="1" locked="0" layoutInCell="1" allowOverlap="1">
            <wp:simplePos x="0" y="0"/>
            <wp:positionH relativeFrom="column">
              <wp:posOffset>-63500</wp:posOffset>
            </wp:positionH>
            <wp:positionV relativeFrom="paragraph">
              <wp:posOffset>281940</wp:posOffset>
            </wp:positionV>
            <wp:extent cx="9070975" cy="5107940"/>
            <wp:effectExtent l="0" t="0" r="15875" b="16510"/>
            <wp:wrapNone/>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42"/>
                    <a:stretch>
                      <a:fillRect/>
                    </a:stretch>
                  </pic:blipFill>
                  <pic:spPr>
                    <a:xfrm>
                      <a:off x="0" y="0"/>
                      <a:ext cx="9070975" cy="5107940"/>
                    </a:xfrm>
                    <a:prstGeom prst="rect">
                      <a:avLst/>
                    </a:prstGeom>
                    <a:noFill/>
                    <a:ln>
                      <a:noFill/>
                    </a:ln>
                  </pic:spPr>
                </pic:pic>
              </a:graphicData>
            </a:graphic>
          </wp:anchor>
        </w:drawing>
      </w:r>
      <w:r>
        <w:rPr>
          <w:rFonts w:hint="default"/>
          <w:color w:val="auto"/>
          <w:u w:val="none" w:color="auto"/>
        </w:rPr>
        <w:t>附图3  声环境</w:t>
      </w:r>
      <w:r>
        <w:rPr>
          <w:rFonts w:hint="eastAsia"/>
          <w:color w:val="auto"/>
          <w:u w:val="none" w:color="auto"/>
          <w:lang w:eastAsia="zh-CN"/>
        </w:rPr>
        <w:t>、废气、废水</w:t>
      </w:r>
      <w:r>
        <w:rPr>
          <w:rFonts w:hint="default"/>
          <w:color w:val="auto"/>
          <w:u w:val="none" w:color="auto"/>
        </w:rPr>
        <w:t>现状监测点位图</w: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3168304128" behindDoc="0" locked="0" layoutInCell="1" allowOverlap="1">
                <wp:simplePos x="0" y="0"/>
                <wp:positionH relativeFrom="column">
                  <wp:posOffset>4236085</wp:posOffset>
                </wp:positionH>
                <wp:positionV relativeFrom="paragraph">
                  <wp:posOffset>252095</wp:posOffset>
                </wp:positionV>
                <wp:extent cx="525145" cy="36322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55pt;margin-top:19.85pt;height:28.6pt;width:41.35pt;z-index:-1126663168;mso-width-relative:page;mso-height-relative:page;" filled="f" stroked="f" coordsize="21600,21600" o:gfxdata="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D&#10;1nf42wAAAAkBAAAPAAAAAAAAAAEAIAAAACIAAABkcnMvZG93bnJldi54bWxQSwECFAAUAAAACACH&#10;TuJAHbwAJCECAAAbBAAADgAAAAAAAAABACAAAAAqAQAAZHJzL2Uyb0RvYy54bWxQSwUGAAAAAAYA&#10;BgBZAQAAvQ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4</w:t>
                      </w:r>
                    </w:p>
                  </w:txbxContent>
                </v:textbox>
              </v:shape>
            </w:pict>
          </mc:Fallback>
        </mc:AlternateContent>
      </w:r>
      <w:r>
        <w:rPr>
          <w:sz w:val="21"/>
        </w:rPr>
        <mc:AlternateContent>
          <mc:Choice Requires="wps">
            <w:drawing>
              <wp:anchor distT="0" distB="0" distL="114300" distR="114300" simplePos="0" relativeHeight="1709979648" behindDoc="0" locked="0" layoutInCell="1" allowOverlap="1">
                <wp:simplePos x="0" y="0"/>
                <wp:positionH relativeFrom="column">
                  <wp:posOffset>2978785</wp:posOffset>
                </wp:positionH>
                <wp:positionV relativeFrom="paragraph">
                  <wp:posOffset>166370</wp:posOffset>
                </wp:positionV>
                <wp:extent cx="2990850" cy="2876550"/>
                <wp:effectExtent l="19685" t="19685" r="37465" b="37465"/>
                <wp:wrapNone/>
                <wp:docPr id="120" name="任意多边形 120"/>
                <wp:cNvGraphicFramePr/>
                <a:graphic xmlns:a="http://schemas.openxmlformats.org/drawingml/2006/main">
                  <a:graphicData uri="http://schemas.microsoft.com/office/word/2010/wordprocessingShape">
                    <wps:wsp>
                      <wps:cNvSpPr/>
                      <wps:spPr>
                        <a:xfrm>
                          <a:off x="3888740" y="2517775"/>
                          <a:ext cx="2990850" cy="2876550"/>
                        </a:xfrm>
                        <a:custGeom>
                          <a:avLst/>
                          <a:gdLst>
                            <a:gd name="connisteX0" fmla="*/ 2105025 w 2990850"/>
                            <a:gd name="connsiteY0" fmla="*/ 0 h 2876550"/>
                            <a:gd name="connisteX1" fmla="*/ 1285875 w 2990850"/>
                            <a:gd name="connsiteY1" fmla="*/ 552450 h 2876550"/>
                            <a:gd name="connisteX2" fmla="*/ 1409700 w 2990850"/>
                            <a:gd name="connsiteY2" fmla="*/ 781050 h 2876550"/>
                            <a:gd name="connisteX3" fmla="*/ 0 w 2990850"/>
                            <a:gd name="connsiteY3" fmla="*/ 1638300 h 2876550"/>
                            <a:gd name="connisteX4" fmla="*/ 752475 w 2990850"/>
                            <a:gd name="connsiteY4" fmla="*/ 2876550 h 2876550"/>
                            <a:gd name="connisteX5" fmla="*/ 2990850 w 2990850"/>
                            <a:gd name="connsiteY5" fmla="*/ 1343025 h 2876550"/>
                            <a:gd name="connisteX6" fmla="*/ 2105025 w 2990850"/>
                            <a:gd name="connsiteY6" fmla="*/ 0 h 28765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990850" h="2876550">
                              <a:moveTo>
                                <a:pt x="2105025" y="0"/>
                              </a:moveTo>
                              <a:lnTo>
                                <a:pt x="1285875" y="552450"/>
                              </a:lnTo>
                              <a:lnTo>
                                <a:pt x="1409700" y="781050"/>
                              </a:lnTo>
                              <a:lnTo>
                                <a:pt x="0" y="1638300"/>
                              </a:lnTo>
                              <a:lnTo>
                                <a:pt x="752475" y="2876550"/>
                              </a:lnTo>
                              <a:lnTo>
                                <a:pt x="2990850" y="1343025"/>
                              </a:lnTo>
                              <a:lnTo>
                                <a:pt x="2105025" y="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4.55pt;margin-top:13.1pt;height:226.5pt;width:235.5pt;z-index:1709979648;mso-width-relative:page;mso-height-relative:page;" filled="f" stroked="t" coordsize="2990850,2876550" o:gfxdata="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CGlKH7XAAAACgEAAA8AAAAAAAAAAQAgAAAAIgAAAGRycy9kb3ducmV2Lnht&#10;bFBLAQIUABQAAAAIAIdO4kD9LnTKUAMAAMYJAAAOAAAAAAAAAAEAIAAAACYBAABkcnMvZTJvRG9j&#10;LnhtbFBLBQYAAAAABgAGAFkBAADoBgAAAAA=&#10;" path="m2105025,0l1285875,552450,1409700,781050,0,1638300,752475,2876550,2990850,1343025,2105025,0xe">
                <v:path o:connectlocs="2105025,0;1285875,552450;1409700,781050;0,1638300;752475,2876550;2990850,1343025;2105025,0" o:connectangles="0,0,0,0,0,0,0"/>
                <v:fill on="f" focussize="0,0"/>
                <v:stroke weight="2.25pt" color="#FF0000 [3204]" miterlimit="8" joinstyle="miter"/>
                <v:imagedata o:title=""/>
                <o:lock v:ext="edit" aspectratio="f"/>
              </v:shape>
            </w:pict>
          </mc:Fallback>
        </mc:AlternateContent>
      </w: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491666432" behindDoc="0" locked="0" layoutInCell="1" allowOverlap="1">
                <wp:simplePos x="0" y="0"/>
                <wp:positionH relativeFrom="column">
                  <wp:posOffset>4169410</wp:posOffset>
                </wp:positionH>
                <wp:positionV relativeFrom="paragraph">
                  <wp:posOffset>260350</wp:posOffset>
                </wp:positionV>
                <wp:extent cx="525145" cy="53403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525145" cy="534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val="en-US" w:eastAsia="zh-CN"/>
                              </w:rPr>
                            </w:pPr>
                            <w:r>
                              <w:rPr>
                                <w:rFonts w:hint="eastAsia" w:ascii="微软雅黑" w:hAnsi="微软雅黑" w:eastAsia="微软雅黑" w:cs="微软雅黑"/>
                                <w:color w:val="FF0000"/>
                                <w:sz w:val="28"/>
                                <w:szCs w:val="24"/>
                              </w:rPr>
                              <w:t>★</w:t>
                            </w:r>
                            <w:r>
                              <w:rPr>
                                <w:rFonts w:hint="eastAsia" w:eastAsia="宋体"/>
                                <w:color w:val="FF0000"/>
                                <w:sz w:val="28"/>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3pt;margin-top:20.5pt;height:42.05pt;width:41.35pt;z-index:491666432;mso-width-relative:page;mso-height-relative:page;" filled="f" stroked="f" coordsize="21600,21600" o:gfxdata="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z5&#10;TD3bAAAACgEAAA8AAAAAAAAAAQAgAAAAIgAAAGRycy9kb3ducmV2LnhtbFBLAQIUABQAAAAIAIdO&#10;4kCeqdb9IAIAABsEAAAOAAAAAAAAAAEAIAAAACoBAABkcnMvZTJvRG9jLnhtbFBLBQYAAAAABgAG&#10;AFkBAAC8BQAAAAA=&#10;">
                <v:fill on="f" focussize="0,0"/>
                <v:stroke on="f" weight="0.5pt"/>
                <v:imagedata o:title=""/>
                <o:lock v:ext="edit" aspectratio="f"/>
                <v:textbox>
                  <w:txbxContent>
                    <w:p>
                      <w:pPr>
                        <w:rPr>
                          <w:rFonts w:hint="eastAsia" w:eastAsia="宋体"/>
                          <w:color w:val="FF0000"/>
                          <w:sz w:val="28"/>
                          <w:szCs w:val="24"/>
                          <w:lang w:val="en-US" w:eastAsia="zh-CN"/>
                        </w:rPr>
                      </w:pPr>
                      <w:r>
                        <w:rPr>
                          <w:rFonts w:hint="eastAsia" w:ascii="微软雅黑" w:hAnsi="微软雅黑" w:eastAsia="微软雅黑" w:cs="微软雅黑"/>
                          <w:color w:val="FF0000"/>
                          <w:sz w:val="28"/>
                          <w:szCs w:val="24"/>
                        </w:rPr>
                        <w:t>★</w:t>
                      </w:r>
                      <w:r>
                        <w:rPr>
                          <w:rFonts w:hint="eastAsia" w:eastAsia="宋体"/>
                          <w:color w:val="FF0000"/>
                          <w:sz w:val="28"/>
                          <w:szCs w:val="24"/>
                          <w:lang w:val="en-US" w:eastAsia="zh-CN"/>
                        </w:rPr>
                        <w:t>1</w:t>
                      </w:r>
                    </w:p>
                  </w:txbxContent>
                </v:textbox>
              </v:shape>
            </w:pict>
          </mc:Fallback>
        </mc:AlternateContent>
      </w:r>
      <w:r>
        <w:rPr>
          <w:sz w:val="21"/>
        </w:rPr>
        <mc:AlternateContent>
          <mc:Choice Requires="wps">
            <w:drawing>
              <wp:anchor distT="0" distB="0" distL="114300" distR="114300" simplePos="0" relativeHeight="3248307200" behindDoc="0" locked="0" layoutInCell="1" allowOverlap="1">
                <wp:simplePos x="0" y="0"/>
                <wp:positionH relativeFrom="column">
                  <wp:posOffset>4931410</wp:posOffset>
                </wp:positionH>
                <wp:positionV relativeFrom="paragraph">
                  <wp:posOffset>22225</wp:posOffset>
                </wp:positionV>
                <wp:extent cx="525145" cy="36322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lang w:val="en-US" w:eastAsia="zh-CN"/>
                              </w:rPr>
                              <w:t>◎</w:t>
                            </w:r>
                            <w:r>
                              <w:rPr>
                                <w:rFonts w:hint="eastAsia" w:eastAsia="宋体"/>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3pt;margin-top:1.75pt;height:28.6pt;width:41.35pt;z-index:-1046660096;mso-width-relative:page;mso-height-relative:page;" filled="f" stroked="f" coordsize="21600,21600" o:gfxdata="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p6&#10;bhnaAAAACAEAAA8AAAAAAAAAAQAgAAAAIgAAAGRycy9kb3ducmV2LnhtbFBLAQIUABQAAAAIAIdO&#10;4kC+kkimIQIAABsEAAAOAAAAAAAAAAEAIAAAACkBAABkcnMvZTJvRG9jLnhtbFBLBQYAAAAABgAG&#10;AFkBAAC8BQ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lang w:val="en-US" w:eastAsia="zh-CN"/>
                        </w:rPr>
                        <w:t>◎</w:t>
                      </w:r>
                      <w:r>
                        <w:rPr>
                          <w:rFonts w:hint="eastAsia" w:eastAsia="宋体"/>
                          <w:color w:val="FF0000"/>
                          <w:sz w:val="24"/>
                          <w:szCs w:val="22"/>
                          <w:lang w:val="en-US" w:eastAsia="zh-CN"/>
                        </w:rPr>
                        <w:t>1</w:t>
                      </w:r>
                    </w:p>
                  </w:txbxContent>
                </v:textbox>
              </v:shape>
            </w:pict>
          </mc:Fallback>
        </mc:AlternateContent>
      </w:r>
      <w:r>
        <w:rPr>
          <w:sz w:val="21"/>
        </w:rPr>
        <mc:AlternateContent>
          <mc:Choice Requires="wps">
            <w:drawing>
              <wp:anchor distT="0" distB="0" distL="114300" distR="114300" simplePos="0" relativeHeight="1709980672" behindDoc="0" locked="0" layoutInCell="1" allowOverlap="1">
                <wp:simplePos x="0" y="0"/>
                <wp:positionH relativeFrom="column">
                  <wp:posOffset>5388610</wp:posOffset>
                </wp:positionH>
                <wp:positionV relativeFrom="paragraph">
                  <wp:posOffset>231775</wp:posOffset>
                </wp:positionV>
                <wp:extent cx="525145" cy="363220"/>
                <wp:effectExtent l="0" t="0" r="0" b="0"/>
                <wp:wrapNone/>
                <wp:docPr id="121" name="文本框 121"/>
                <wp:cNvGraphicFramePr/>
                <a:graphic xmlns:a="http://schemas.openxmlformats.org/drawingml/2006/main">
                  <a:graphicData uri="http://schemas.microsoft.com/office/word/2010/wordprocessingShape">
                    <wps:wsp>
                      <wps:cNvSpPr txBox="1"/>
                      <wps:spPr>
                        <a:xfrm>
                          <a:off x="3117215" y="1698625"/>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4.3pt;margin-top:18.25pt;height:28.6pt;width:41.35pt;z-index:1709980672;mso-width-relative:page;mso-height-relative:page;" filled="f" stroked="f" coordsize="21600,21600" o:gfxdata="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RRY/Z2wAAAAkBAAAPAAAAAAAAAAEAIAAAACIAAABkcnMvZG93bnJldi54bWxQ&#10;SwECFAAUAAAACACHTuJAjn0dCy0CAAAnBAAADgAAAAAAAAABACAAAAAqAQAAZHJzL2Uyb0RvYy54&#10;bWxQSwUGAAAAAAYABgBZAQAAyQ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v:textbox>
              </v:shape>
            </w:pict>
          </mc:Fallback>
        </mc:AlternateConten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3328310272" behindDoc="0" locked="0" layoutInCell="1" allowOverlap="1">
                <wp:simplePos x="0" y="0"/>
                <wp:positionH relativeFrom="column">
                  <wp:posOffset>3293110</wp:posOffset>
                </wp:positionH>
                <wp:positionV relativeFrom="paragraph">
                  <wp:posOffset>172085</wp:posOffset>
                </wp:positionV>
                <wp:extent cx="525145" cy="36322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3pt;margin-top:13.55pt;height:28.6pt;width:41.35pt;z-index:-966657024;mso-width-relative:page;mso-height-relative:page;" filled="f" stroked="f" coordsize="21600,21600" o:gfxdata="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F&#10;h1Xi2wAAAAkBAAAPAAAAAAAAAAEAIAAAACIAAABkcnMvZG93bnJldi54bWxQSwECFAAUAAAACACH&#10;TuJALtmBIyECAAAbBAAADgAAAAAAAAABACAAAAAqAQAAZHJzL2Uyb0RvYy54bWxQSwUGAAAAAAYA&#10;BgBZAQAAvQ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eastAsia="宋体"/>
                          <w:color w:val="FF0000"/>
                          <w:sz w:val="24"/>
                          <w:szCs w:val="22"/>
                          <w:lang w:val="en-US" w:eastAsia="zh-CN"/>
                        </w:rPr>
                        <w:t>1</w:t>
                      </w:r>
                    </w:p>
                  </w:txbxContent>
                </v:textbox>
              </v:shape>
            </w:pict>
          </mc:Fallback>
        </mc:AlternateConten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411663360" behindDoc="0" locked="0" layoutInCell="1" allowOverlap="1">
                <wp:simplePos x="0" y="0"/>
                <wp:positionH relativeFrom="column">
                  <wp:posOffset>5550535</wp:posOffset>
                </wp:positionH>
                <wp:positionV relativeFrom="paragraph">
                  <wp:posOffset>160020</wp:posOffset>
                </wp:positionV>
                <wp:extent cx="525145" cy="36322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color w:val="FF0000"/>
                                <w:sz w:val="24"/>
                                <w:szCs w:val="22"/>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05pt;margin-top:12.6pt;height:28.6pt;width:41.35pt;z-index:411663360;mso-width-relative:page;mso-height-relative:page;" filled="f" stroked="f" coordsize="21600,21600" o:gfxdata="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e9&#10;7EbaAAAACQEAAA8AAAAAAAAAAQAgAAAAIgAAAGRycy9kb3ducmV2LnhtbFBLAQIUABQAAAAIAIdO&#10;4kApgmD8IQIAABsEAAAOAAAAAAAAAAEAIAAAACkBAABkcnMvZTJvRG9jLnhtbFBLBQYAAAAABgAG&#10;AFkBAAC8BQ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color w:val="FF0000"/>
                          <w:sz w:val="24"/>
                          <w:szCs w:val="22"/>
                          <w:lang w:val="en-US" w:eastAsia="zh-CN"/>
                        </w:rPr>
                        <w:t>3</w:t>
                      </w:r>
                    </w:p>
                  </w:txbxContent>
                </v:textbox>
              </v:shape>
            </w:pict>
          </mc:Fallback>
        </mc:AlternateConten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1789983744" behindDoc="0" locked="0" layoutInCell="1" allowOverlap="1">
                <wp:simplePos x="0" y="0"/>
                <wp:positionH relativeFrom="column">
                  <wp:posOffset>4902835</wp:posOffset>
                </wp:positionH>
                <wp:positionV relativeFrom="paragraph">
                  <wp:posOffset>43180</wp:posOffset>
                </wp:positionV>
                <wp:extent cx="525145" cy="36322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05pt;margin-top:3.4pt;height:28.6pt;width:41.35pt;z-index:1789983744;mso-width-relative:page;mso-height-relative:page;" filled="f" stroked="f" coordsize="21600,21600" o:gfxdata="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NFvv&#10;89kAAAAIAQAADwAAAAAAAAABACAAAAAiAAAAZHJzL2Rvd25yZXYueG1sUEsBAhQAFAAAAAgAh07i&#10;QDOdUJAhAgAAGwQAAA4AAAAAAAAAAQAgAAAAKAEAAGRycy9lMm9Eb2MueG1sUEsFBgAAAAAGAAYA&#10;WQEAALsFA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2</w:t>
                      </w:r>
                    </w:p>
                  </w:txbxContent>
                </v:textbox>
              </v:shape>
            </w:pict>
          </mc:Fallback>
        </mc:AlternateContent>
      </w:r>
      <w:r>
        <w:rPr>
          <w:sz w:val="21"/>
        </w:rPr>
        <mc:AlternateContent>
          <mc:Choice Requires="wps">
            <w:drawing>
              <wp:anchor distT="0" distB="0" distL="114300" distR="114300" simplePos="0" relativeHeight="331660288" behindDoc="0" locked="0" layoutInCell="1" allowOverlap="1">
                <wp:simplePos x="0" y="0"/>
                <wp:positionH relativeFrom="column">
                  <wp:posOffset>2912110</wp:posOffset>
                </wp:positionH>
                <wp:positionV relativeFrom="paragraph">
                  <wp:posOffset>214630</wp:posOffset>
                </wp:positionV>
                <wp:extent cx="525145" cy="363220"/>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3pt;margin-top:16.9pt;height:28.6pt;width:41.35pt;z-index:331660288;mso-width-relative:page;mso-height-relative:page;" filled="f" stroked="f" coordsize="21600,21600" o:gfxdata="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q&#10;uLmt2wAAAAkBAAAPAAAAAAAAAAEAIAAAACIAAABkcnMvZG93bnJldi54bWxQSwECFAAUAAAACACH&#10;TuJAkLMYEiECAAAbBAAADgAAAAAAAAABACAAAAAqAQAAZHJzL2Uyb0RvYy54bWxQSwUGAAAAAAYA&#10;BgBZAQAAvQ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cs="宋体"/>
                          <w:color w:val="FF0000"/>
                          <w:sz w:val="24"/>
                          <w:szCs w:val="22"/>
                          <w:lang w:val="en-US" w:eastAsia="zh-CN"/>
                        </w:rPr>
                        <w:t>3</w:t>
                      </w:r>
                    </w:p>
                  </w:txbxContent>
                </v:textbox>
              </v:shape>
            </w:pict>
          </mc:Fallback>
        </mc:AlternateContent>
      </w: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1869986816" behindDoc="0" locked="0" layoutInCell="1" allowOverlap="1">
                <wp:simplePos x="0" y="0"/>
                <wp:positionH relativeFrom="column">
                  <wp:posOffset>4464685</wp:posOffset>
                </wp:positionH>
                <wp:positionV relativeFrom="paragraph">
                  <wp:posOffset>32385</wp:posOffset>
                </wp:positionV>
                <wp:extent cx="525145" cy="36322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525145" cy="3632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55pt;margin-top:2.55pt;height:28.6pt;width:41.35pt;z-index:1869986816;mso-width-relative:page;mso-height-relative:page;" filled="f" stroked="f" coordsize="21600,21600" o:gfxdata="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k&#10;w1eL2gAAAAgBAAAPAAAAAAAAAAEAIAAAACIAAABkcnMvZG93bnJldi54bWxQSwECFAAUAAAACACH&#10;TuJApI14yiICAAAbBAAADgAAAAAAAAABACAAAAApAQAAZHJzL2Uyb0RvYy54bWxQSwUGAAAAAAYA&#10;BgBZAQAAvQUAAAAA&#10;">
                <v:fill on="f" focussize="0,0"/>
                <v:stroke on="f" weight="0.5pt"/>
                <v:imagedata o:title=""/>
                <o:lock v:ext="edit" aspectratio="f"/>
                <v:textbox>
                  <w:txbxContent>
                    <w:p>
                      <w:pPr>
                        <w:rPr>
                          <w:rFonts w:hint="eastAsia" w:eastAsia="宋体"/>
                          <w:color w:val="FF0000"/>
                          <w:sz w:val="24"/>
                          <w:szCs w:val="22"/>
                          <w:lang w:val="en-US" w:eastAsia="zh-CN"/>
                        </w:rPr>
                      </w:pPr>
                      <w:r>
                        <w:rPr>
                          <w:rFonts w:hint="eastAsia" w:ascii="宋体" w:hAnsi="宋体" w:eastAsia="宋体" w:cs="宋体"/>
                          <w:color w:val="FF0000"/>
                          <w:sz w:val="24"/>
                          <w:szCs w:val="22"/>
                        </w:rPr>
                        <w:t>○</w:t>
                      </w:r>
                      <w:r>
                        <w:rPr>
                          <w:rFonts w:hint="eastAsia" w:ascii="宋体" w:hAnsi="宋体" w:eastAsia="宋体" w:cs="宋体"/>
                          <w:color w:val="FF0000"/>
                          <w:sz w:val="24"/>
                          <w:szCs w:val="22"/>
                          <w:lang w:val="en-US" w:eastAsia="zh-CN"/>
                        </w:rPr>
                        <w:t>2</w:t>
                      </w:r>
                    </w:p>
                  </w:txbxContent>
                </v:textbox>
              </v:shape>
            </w:pict>
          </mc:Fallback>
        </mc:AlternateContent>
      </w:r>
    </w:p>
    <w:p>
      <w:pPr>
        <w:pStyle w:val="39"/>
        <w:rPr>
          <w:rFonts w:hint="default" w:eastAsia="宋体"/>
          <w:color w:val="auto"/>
          <w:u w:val="none" w:color="auto"/>
          <w:lang w:val="en-US" w:eastAsia="zh-CN"/>
        </w:rPr>
      </w:pPr>
      <w:r>
        <w:rPr>
          <w:sz w:val="21"/>
        </w:rPr>
        <mc:AlternateContent>
          <mc:Choice Requires="wps">
            <w:drawing>
              <wp:anchor distT="0" distB="0" distL="114300" distR="114300" simplePos="0" relativeHeight="491667456" behindDoc="0" locked="0" layoutInCell="1" allowOverlap="1">
                <wp:simplePos x="0" y="0"/>
                <wp:positionH relativeFrom="column">
                  <wp:posOffset>7350125</wp:posOffset>
                </wp:positionH>
                <wp:positionV relativeFrom="paragraph">
                  <wp:posOffset>116205</wp:posOffset>
                </wp:positionV>
                <wp:extent cx="1648460" cy="1296035"/>
                <wp:effectExtent l="4445" t="4445" r="23495" b="13970"/>
                <wp:wrapNone/>
                <wp:docPr id="130" name="文本框 130"/>
                <wp:cNvGraphicFramePr/>
                <a:graphic xmlns:a="http://schemas.openxmlformats.org/drawingml/2006/main">
                  <a:graphicData uri="http://schemas.microsoft.com/office/word/2010/wordprocessingShape">
                    <wps:wsp>
                      <wps:cNvSpPr txBox="1"/>
                      <wps:spPr>
                        <a:xfrm>
                          <a:off x="7384415" y="4613275"/>
                          <a:ext cx="1648460" cy="12960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rPr>
                              <w:t>★</w:t>
                            </w:r>
                            <w:r>
                              <w:rPr>
                                <w:rFonts w:hint="eastAsia" w:ascii="宋体" w:hAnsi="宋体" w:eastAsia="宋体" w:cs="宋体"/>
                                <w:sz w:val="24"/>
                                <w:szCs w:val="22"/>
                                <w:lang w:eastAsia="zh-CN"/>
                              </w:rPr>
                              <w:t>：废水采样点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lang w:eastAsia="zh-CN"/>
                              </w:rPr>
                              <w:t>◎：有组织废气采样点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lang w:eastAsia="zh-CN"/>
                              </w:rPr>
                              <w:t>○：无组织废气采样点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lang w:eastAsia="zh-CN"/>
                              </w:rPr>
                              <w:t>▲：噪声采样点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75pt;margin-top:9.15pt;height:102.05pt;width:129.8pt;z-index:491667456;mso-width-relative:page;mso-height-relative:page;" fillcolor="#FFFFFF [3201]" filled="t" stroked="t" coordsize="21600,21600" o:gfxdata="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Vr1kLYAAAADAEAAA8AAAAA&#10;AAAAAQAgAAAAIgAAAGRycy9kb3ducmV2LnhtbFBLAQIUABQAAAAIAIdO4kDMiGI3TQIAAHoEAAAO&#10;AAAAAAAAAAEAIAAAACcBAABkcnMvZTJvRG9jLnhtbFBLBQYAAAAABgAGAFkBAADmBQ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rPr>
                        <w:t>★</w:t>
                      </w:r>
                      <w:r>
                        <w:rPr>
                          <w:rFonts w:hint="eastAsia" w:ascii="宋体" w:hAnsi="宋体" w:eastAsia="宋体" w:cs="宋体"/>
                          <w:sz w:val="24"/>
                          <w:szCs w:val="22"/>
                          <w:lang w:eastAsia="zh-CN"/>
                        </w:rPr>
                        <w:t>：废水采样点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lang w:eastAsia="zh-CN"/>
                        </w:rPr>
                        <w:t>◎：有组织废气采样点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lang w:eastAsia="zh-CN"/>
                        </w:rPr>
                        <w:t>○：无组织废气采样点</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2"/>
                          <w:lang w:eastAsia="zh-CN"/>
                        </w:rPr>
                      </w:pPr>
                      <w:r>
                        <w:rPr>
                          <w:rFonts w:hint="eastAsia" w:ascii="宋体" w:hAnsi="宋体" w:eastAsia="宋体" w:cs="宋体"/>
                          <w:sz w:val="24"/>
                          <w:szCs w:val="22"/>
                          <w:lang w:eastAsia="zh-CN"/>
                        </w:rPr>
                        <w:t>▲：噪声采样点</w:t>
                      </w:r>
                    </w:p>
                  </w:txbxContent>
                </v:textbox>
              </v:shape>
            </w:pict>
          </mc:Fallback>
        </mc:AlternateContent>
      </w: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39"/>
        <w:rPr>
          <w:rFonts w:hint="default" w:eastAsia="宋体"/>
          <w:color w:val="auto"/>
          <w:u w:val="none" w:color="auto"/>
          <w:lang w:val="en-US" w:eastAsia="zh-CN"/>
        </w:rPr>
      </w:pPr>
    </w:p>
    <w:p>
      <w:pPr>
        <w:pStyle w:val="8"/>
        <w:bidi w:val="0"/>
        <w:rPr>
          <w:rFonts w:hint="default"/>
          <w:color w:val="auto"/>
          <w:u w:val="none" w:color="auto"/>
        </w:rPr>
      </w:pPr>
      <w:r>
        <w:rPr>
          <w:sz w:val="24"/>
        </w:rPr>
        <mc:AlternateContent>
          <mc:Choice Requires="wps">
            <w:drawing>
              <wp:anchor distT="0" distB="0" distL="114300" distR="114300" simplePos="0" relativeHeight="491670528" behindDoc="0" locked="0" layoutInCell="1" allowOverlap="1">
                <wp:simplePos x="0" y="0"/>
                <wp:positionH relativeFrom="column">
                  <wp:posOffset>178435</wp:posOffset>
                </wp:positionH>
                <wp:positionV relativeFrom="paragraph">
                  <wp:posOffset>356870</wp:posOffset>
                </wp:positionV>
                <wp:extent cx="2000250" cy="2028825"/>
                <wp:effectExtent l="12700" t="13970" r="25400" b="14605"/>
                <wp:wrapNone/>
                <wp:docPr id="133" name="任意多边形 133"/>
                <wp:cNvGraphicFramePr/>
                <a:graphic xmlns:a="http://schemas.openxmlformats.org/drawingml/2006/main">
                  <a:graphicData uri="http://schemas.microsoft.com/office/word/2010/wordprocessingShape">
                    <wps:wsp>
                      <wps:cNvSpPr/>
                      <wps:spPr>
                        <a:xfrm>
                          <a:off x="1078865" y="1292860"/>
                          <a:ext cx="2000250" cy="2028825"/>
                        </a:xfrm>
                        <a:custGeom>
                          <a:avLst/>
                          <a:gdLst>
                            <a:gd name="connisteX0" fmla="*/ 1628775 w 2000250"/>
                            <a:gd name="connsiteY0" fmla="*/ 76200 h 2028825"/>
                            <a:gd name="connisteX1" fmla="*/ 1266825 w 2000250"/>
                            <a:gd name="connsiteY1" fmla="*/ 523875 h 2028825"/>
                            <a:gd name="connisteX2" fmla="*/ 1295400 w 2000250"/>
                            <a:gd name="connsiteY2" fmla="*/ 609600 h 2028825"/>
                            <a:gd name="connisteX3" fmla="*/ 1257300 w 2000250"/>
                            <a:gd name="connsiteY3" fmla="*/ 962025 h 2028825"/>
                            <a:gd name="connisteX4" fmla="*/ 981075 w 2000250"/>
                            <a:gd name="connsiteY4" fmla="*/ 1143000 h 2028825"/>
                            <a:gd name="connisteX5" fmla="*/ 952500 w 2000250"/>
                            <a:gd name="connsiteY5" fmla="*/ 1228725 h 2028825"/>
                            <a:gd name="connisteX6" fmla="*/ 800100 w 2000250"/>
                            <a:gd name="connsiteY6" fmla="*/ 1485900 h 2028825"/>
                            <a:gd name="connisteX7" fmla="*/ 742950 w 2000250"/>
                            <a:gd name="connsiteY7" fmla="*/ 1409700 h 2028825"/>
                            <a:gd name="connisteX8" fmla="*/ 552450 w 2000250"/>
                            <a:gd name="connsiteY8" fmla="*/ 895350 h 2028825"/>
                            <a:gd name="connisteX9" fmla="*/ 476250 w 2000250"/>
                            <a:gd name="connsiteY9" fmla="*/ 952500 h 2028825"/>
                            <a:gd name="connisteX10" fmla="*/ 0 w 2000250"/>
                            <a:gd name="connsiteY10" fmla="*/ 1314450 h 2028825"/>
                            <a:gd name="connisteX11" fmla="*/ 47625 w 2000250"/>
                            <a:gd name="connsiteY11" fmla="*/ 1390650 h 2028825"/>
                            <a:gd name="connisteX12" fmla="*/ 123825 w 2000250"/>
                            <a:gd name="connsiteY12" fmla="*/ 1447800 h 2028825"/>
                            <a:gd name="connisteX13" fmla="*/ 609600 w 2000250"/>
                            <a:gd name="connsiteY13" fmla="*/ 1724025 h 2028825"/>
                            <a:gd name="connisteX14" fmla="*/ 781050 w 2000250"/>
                            <a:gd name="connsiteY14" fmla="*/ 2028825 h 2028825"/>
                            <a:gd name="connisteX15" fmla="*/ 1162050 w 2000250"/>
                            <a:gd name="connsiteY15" fmla="*/ 1971675 h 2028825"/>
                            <a:gd name="connisteX16" fmla="*/ 1657350 w 2000250"/>
                            <a:gd name="connsiteY16" fmla="*/ 1781175 h 2028825"/>
                            <a:gd name="connisteX17" fmla="*/ 1733550 w 2000250"/>
                            <a:gd name="connsiteY17" fmla="*/ 1733550 h 2028825"/>
                            <a:gd name="connisteX18" fmla="*/ 2000250 w 2000250"/>
                            <a:gd name="connsiteY18" fmla="*/ 1257300 h 2028825"/>
                            <a:gd name="connisteX19" fmla="*/ 1990725 w 2000250"/>
                            <a:gd name="connsiteY19" fmla="*/ 1181100 h 2028825"/>
                            <a:gd name="connisteX20" fmla="*/ 1962150 w 2000250"/>
                            <a:gd name="connsiteY20" fmla="*/ 733425 h 2028825"/>
                            <a:gd name="connisteX21" fmla="*/ 1971675 w 2000250"/>
                            <a:gd name="connsiteY21" fmla="*/ 180975 h 2028825"/>
                            <a:gd name="connisteX22" fmla="*/ 1819275 w 2000250"/>
                            <a:gd name="connsiteY22" fmla="*/ 0 h 2028825"/>
                            <a:gd name="connisteX23" fmla="*/ 1495425 w 2000250"/>
                            <a:gd name="connsiteY23" fmla="*/ 314325 h 20288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Lst>
                          <a:rect l="l" t="t" r="r" b="b"/>
                          <a:pathLst>
                            <a:path w="2000250" h="2028825">
                              <a:moveTo>
                                <a:pt x="1628775" y="76200"/>
                              </a:moveTo>
                              <a:lnTo>
                                <a:pt x="1266825" y="523875"/>
                              </a:lnTo>
                              <a:lnTo>
                                <a:pt x="1295400" y="609600"/>
                              </a:lnTo>
                              <a:lnTo>
                                <a:pt x="1257300" y="962025"/>
                              </a:lnTo>
                              <a:lnTo>
                                <a:pt x="981075" y="1143000"/>
                              </a:lnTo>
                              <a:lnTo>
                                <a:pt x="952500" y="1228725"/>
                              </a:lnTo>
                              <a:lnTo>
                                <a:pt x="800100" y="1485900"/>
                              </a:lnTo>
                              <a:lnTo>
                                <a:pt x="742950" y="1409700"/>
                              </a:lnTo>
                              <a:lnTo>
                                <a:pt x="552450" y="895350"/>
                              </a:lnTo>
                              <a:lnTo>
                                <a:pt x="476250" y="952500"/>
                              </a:lnTo>
                              <a:lnTo>
                                <a:pt x="0" y="1314450"/>
                              </a:lnTo>
                              <a:lnTo>
                                <a:pt x="47625" y="1390650"/>
                              </a:lnTo>
                              <a:lnTo>
                                <a:pt x="123825" y="1447800"/>
                              </a:lnTo>
                              <a:lnTo>
                                <a:pt x="609600" y="1724025"/>
                              </a:lnTo>
                              <a:lnTo>
                                <a:pt x="781050" y="2028825"/>
                              </a:lnTo>
                              <a:lnTo>
                                <a:pt x="1162050" y="1971675"/>
                              </a:lnTo>
                              <a:lnTo>
                                <a:pt x="1657350" y="1781175"/>
                              </a:lnTo>
                              <a:lnTo>
                                <a:pt x="1733550" y="1733550"/>
                              </a:lnTo>
                              <a:lnTo>
                                <a:pt x="2000250" y="1257300"/>
                              </a:lnTo>
                              <a:lnTo>
                                <a:pt x="1990725" y="1181100"/>
                              </a:lnTo>
                              <a:lnTo>
                                <a:pt x="1962150" y="733425"/>
                              </a:lnTo>
                              <a:lnTo>
                                <a:pt x="1971675" y="180975"/>
                              </a:lnTo>
                              <a:lnTo>
                                <a:pt x="1819275" y="0"/>
                              </a:lnTo>
                              <a:lnTo>
                                <a:pt x="1495425" y="314325"/>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4.05pt;margin-top:28.1pt;height:159.75pt;width:157.5pt;z-index:491670528;mso-width-relative:page;mso-height-relative:page;" filled="f" stroked="t" coordsize="2000250,2028825" o:gfxdata="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" path="m1628775,76200l1266825,523875,1295400,609600,1257300,962025,981075,1143000,952500,1228725,800100,1485900,742950,1409700,552450,895350,476250,952500,0,1314450,47625,1390650,123825,1447800,609600,1724025,781050,2028825,1162050,1971675,1657350,1781175,1733550,1733550,2000250,1257300,1990725,1181100,1962150,733425,1971675,180975,1819275,0,1495425,314325e">
                <v:path o:connectlocs="1628775,76200;1266825,523875;1295400,609600;1257300,962025;981075,1143000;952500,1228725;800100,1485900;742950,1409700;552450,895350;476250,952500;0,1314450;47625,1390650;123825,1447800;609600,1724025;781050,2028825;1162050,1971675;1657350,1781175;1733550,1733550;2000250,1257300;1990725,1181100;1962150,733425;1971675,180975;1819275,0;1495425,314325" o:connectangles="0,0,0,0,0,0,0,0,0,0,0,0,0,0,0,0,0,0,0,0,0,0,0,0"/>
                <v:fill on="f" focussize="0,0"/>
                <v:stroke weight="1.5pt" color="#FF0000 [3204]" miterlimit="8" joinstyle="miter"/>
                <v:imagedata o:title=""/>
                <o:lock v:ext="edit" aspectratio="f"/>
              </v:shape>
            </w:pict>
          </mc:Fallback>
        </mc:AlternateContent>
      </w:r>
      <w:r>
        <w:rPr>
          <w:rFonts w:hint="default" w:ascii="Times New Roman" w:hAnsi="Times New Roman" w:cs="Times New Roman"/>
          <w:color w:val="auto"/>
          <w:sz w:val="24"/>
          <w:szCs w:val="24"/>
          <w:u w:val="none" w:color="auto"/>
          <w:lang w:val="en-US" w:eastAsia="zh-CN"/>
        </w:rPr>
        <w:drawing>
          <wp:anchor distT="0" distB="0" distL="114300" distR="114300" simplePos="0" relativeHeight="491668480" behindDoc="0" locked="0" layoutInCell="1" allowOverlap="1">
            <wp:simplePos x="0" y="0"/>
            <wp:positionH relativeFrom="column">
              <wp:posOffset>50800</wp:posOffset>
            </wp:positionH>
            <wp:positionV relativeFrom="paragraph">
              <wp:posOffset>283845</wp:posOffset>
            </wp:positionV>
            <wp:extent cx="8886825" cy="5322570"/>
            <wp:effectExtent l="0" t="0" r="9525" b="11430"/>
            <wp:wrapNone/>
            <wp:docPr id="131" name="图片 131" descr="微信截图_2019112519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微信截图_20191125194503"/>
                    <pic:cNvPicPr>
                      <a:picLocks noChangeAspect="1"/>
                    </pic:cNvPicPr>
                  </pic:nvPicPr>
                  <pic:blipFill>
                    <a:blip r:embed="rId43"/>
                    <a:stretch>
                      <a:fillRect/>
                    </a:stretch>
                  </pic:blipFill>
                  <pic:spPr>
                    <a:xfrm>
                      <a:off x="0" y="0"/>
                      <a:ext cx="8886825" cy="5322570"/>
                    </a:xfrm>
                    <a:prstGeom prst="rect">
                      <a:avLst/>
                    </a:prstGeom>
                  </pic:spPr>
                </pic:pic>
              </a:graphicData>
            </a:graphic>
          </wp:anchor>
        </w:drawing>
      </w:r>
      <w:r>
        <w:rPr>
          <w:rFonts w:hint="default"/>
          <w:color w:val="auto"/>
          <w:u w:val="none" w:color="auto"/>
        </w:rPr>
        <w:t>附图</w:t>
      </w:r>
      <w:r>
        <w:rPr>
          <w:rFonts w:hint="eastAsia"/>
          <w:color w:val="auto"/>
          <w:u w:val="none" w:color="auto"/>
          <w:lang w:val="en-US" w:eastAsia="zh-CN"/>
        </w:rPr>
        <w:t>4</w:t>
      </w:r>
      <w:r>
        <w:rPr>
          <w:rFonts w:hint="default"/>
          <w:color w:val="auto"/>
          <w:u w:val="none" w:color="auto"/>
        </w:rPr>
        <w:t xml:space="preserve">  本项目周边环保目标分布图</w: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491674624" behindDoc="0" locked="0" layoutInCell="1" allowOverlap="1">
                <wp:simplePos x="0" y="0"/>
                <wp:positionH relativeFrom="column">
                  <wp:posOffset>4112260</wp:posOffset>
                </wp:positionH>
                <wp:positionV relativeFrom="paragraph">
                  <wp:posOffset>202565</wp:posOffset>
                </wp:positionV>
                <wp:extent cx="838200" cy="523875"/>
                <wp:effectExtent l="0" t="0" r="0" b="0"/>
                <wp:wrapNone/>
                <wp:docPr id="137" name="文本框 137"/>
                <wp:cNvGraphicFramePr/>
                <a:graphic xmlns:a="http://schemas.openxmlformats.org/drawingml/2006/main">
                  <a:graphicData uri="http://schemas.microsoft.com/office/word/2010/wordprocessingShape">
                    <wps:wsp>
                      <wps:cNvSpPr txBox="1"/>
                      <wps:spPr>
                        <a:xfrm>
                          <a:off x="4079240" y="1911985"/>
                          <a:ext cx="838200"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eastAsia="zh-CN"/>
                              </w:rPr>
                            </w:pPr>
                            <w:r>
                              <w:rPr>
                                <w:rFonts w:hint="eastAsia"/>
                                <w:color w:val="FF0000"/>
                                <w:sz w:val="28"/>
                                <w:szCs w:val="24"/>
                                <w:lang w:eastAsia="zh-CN"/>
                              </w:rPr>
                              <w:t>波里屋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3.8pt;margin-top:15.95pt;height:41.25pt;width:66pt;z-index:491674624;mso-width-relative:page;mso-height-relative:page;" filled="f" stroked="f" coordsize="21600,21600" o:gfxdata="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NWdpPbAAAACgEAAA8AAAAAAAAAAQAgAAAAIgAAAGRycy9kb3ducmV2LnhtbFBL&#10;AQIUABQAAAAIAIdO4kAXFKRyLAIAACcEAAAOAAAAAAAAAAEAIAAAACoBAABkcnMvZTJvRG9jLnht&#10;bFBLBQYAAAAABgAGAFkBAADIBQAAAAA=&#10;">
                <v:fill on="f" focussize="0,0"/>
                <v:stroke on="f" weight="0.5pt"/>
                <v:imagedata o:title=""/>
                <o:lock v:ext="edit" aspectratio="f"/>
                <v:textbox>
                  <w:txbxContent>
                    <w:p>
                      <w:pPr>
                        <w:rPr>
                          <w:rFonts w:hint="eastAsia" w:eastAsia="宋体"/>
                          <w:color w:val="FF0000"/>
                          <w:sz w:val="28"/>
                          <w:szCs w:val="24"/>
                          <w:lang w:eastAsia="zh-CN"/>
                        </w:rPr>
                      </w:pPr>
                      <w:r>
                        <w:rPr>
                          <w:rFonts w:hint="eastAsia"/>
                          <w:color w:val="FF0000"/>
                          <w:sz w:val="28"/>
                          <w:szCs w:val="24"/>
                          <w:lang w:eastAsia="zh-CN"/>
                        </w:rPr>
                        <w:t>波里屋</w:t>
                      </w:r>
                    </w:p>
                  </w:txbxContent>
                </v:textbox>
              </v:shape>
            </w:pict>
          </mc:Fallback>
        </mc:AlternateContent>
      </w:r>
      <w:r>
        <w:rPr>
          <w:sz w:val="24"/>
        </w:rPr>
        <mc:AlternateContent>
          <mc:Choice Requires="wps">
            <w:drawing>
              <wp:anchor distT="0" distB="0" distL="114300" distR="114300" simplePos="0" relativeHeight="1691762688" behindDoc="0" locked="0" layoutInCell="1" allowOverlap="1">
                <wp:simplePos x="0" y="0"/>
                <wp:positionH relativeFrom="column">
                  <wp:posOffset>3988435</wp:posOffset>
                </wp:positionH>
                <wp:positionV relativeFrom="paragraph">
                  <wp:posOffset>31115</wp:posOffset>
                </wp:positionV>
                <wp:extent cx="981075" cy="838200"/>
                <wp:effectExtent l="13970" t="11430" r="14605" b="26670"/>
                <wp:wrapNone/>
                <wp:docPr id="143" name="任意多边形 143"/>
                <wp:cNvGraphicFramePr/>
                <a:graphic xmlns:a="http://schemas.openxmlformats.org/drawingml/2006/main">
                  <a:graphicData uri="http://schemas.microsoft.com/office/word/2010/wordprocessingShape">
                    <wps:wsp>
                      <wps:cNvSpPr/>
                      <wps:spPr>
                        <a:xfrm>
                          <a:off x="4888865" y="1511935"/>
                          <a:ext cx="981075" cy="838200"/>
                        </a:xfrm>
                        <a:custGeom>
                          <a:avLst/>
                          <a:gdLst>
                            <a:gd name="connisteX0" fmla="*/ 0 w 981075"/>
                            <a:gd name="connsiteY0" fmla="*/ 200025 h 838200"/>
                            <a:gd name="connisteX1" fmla="*/ 381000 w 981075"/>
                            <a:gd name="connsiteY1" fmla="*/ 819150 h 838200"/>
                            <a:gd name="connisteX2" fmla="*/ 800100 w 981075"/>
                            <a:gd name="connsiteY2" fmla="*/ 838200 h 838200"/>
                            <a:gd name="connisteX3" fmla="*/ 981075 w 981075"/>
                            <a:gd name="connsiteY3" fmla="*/ 638175 h 838200"/>
                            <a:gd name="connisteX4" fmla="*/ 552450 w 981075"/>
                            <a:gd name="connsiteY4" fmla="*/ 0 h 838200"/>
                            <a:gd name="connisteX5" fmla="*/ 0 w 981075"/>
                            <a:gd name="connsiteY5" fmla="*/ 200025 h 838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981075" h="838200">
                              <a:moveTo>
                                <a:pt x="0" y="200025"/>
                              </a:moveTo>
                              <a:lnTo>
                                <a:pt x="381000" y="819150"/>
                              </a:lnTo>
                              <a:lnTo>
                                <a:pt x="800100" y="838200"/>
                              </a:lnTo>
                              <a:lnTo>
                                <a:pt x="981075" y="638175"/>
                              </a:lnTo>
                              <a:lnTo>
                                <a:pt x="552450" y="0"/>
                              </a:lnTo>
                              <a:lnTo>
                                <a:pt x="0" y="2000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4.05pt;margin-top:2.45pt;height:66pt;width:77.25pt;z-index:1691762688;mso-width-relative:page;mso-height-relative:page;" filled="f" stroked="t" coordsize="981075,838200" o:gfxdata="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PFbfcbYAAAACQEAAA8AAAAAAAAAAQAg&#10;AAAAIgAAAGRycy9kb3ducmV2LnhtbFBLAQIUABQAAAAIAIdO4kBDbOg0KwMAANMIAAAOAAAAAAAA&#10;AAEAIAAAACcBAABkcnMvZTJvRG9jLnhtbFBLBQYAAAAABgAGAFkBAADEBgAAAAA=&#10;" path="m0,200025l381000,819150,800100,838200,981075,638175,552450,0,0,200025xe">
                <v:path o:connectlocs="0,200025;381000,819150;800100,838200;981075,638175;552450,0;0,200025" o:connectangles="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691761664" behindDoc="0" locked="0" layoutInCell="1" allowOverlap="1">
                <wp:simplePos x="0" y="0"/>
                <wp:positionH relativeFrom="column">
                  <wp:posOffset>1130935</wp:posOffset>
                </wp:positionH>
                <wp:positionV relativeFrom="paragraph">
                  <wp:posOffset>205105</wp:posOffset>
                </wp:positionV>
                <wp:extent cx="838200" cy="523875"/>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838200"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eastAsia="zh-CN"/>
                              </w:rPr>
                            </w:pPr>
                            <w:r>
                              <w:rPr>
                                <w:rFonts w:hint="eastAsia"/>
                                <w:color w:val="FF0000"/>
                                <w:sz w:val="28"/>
                                <w:szCs w:val="24"/>
                                <w:lang w:eastAsia="zh-CN"/>
                              </w:rPr>
                              <w:t>茉莉堆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05pt;margin-top:16.15pt;height:41.25pt;width:66pt;z-index:1691761664;mso-width-relative:page;mso-height-relative:page;" filled="f" stroked="f" coordsize="21600,21600" o:gfxdata="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yfUnjZ&#10;AAAACgEAAA8AAAAAAAAAAQAgAAAAIgAAAGRycy9kb3ducmV2LnhtbFBLAQIUABQAAAAIAIdO4kCA&#10;TQ/bHwIAABsEAAAOAAAAAAAAAAEAIAAAACgBAABkcnMvZTJvRG9jLnhtbFBLBQYAAAAABgAGAFkB&#10;AAC5BQAAAAA=&#10;">
                <v:fill on="f" focussize="0,0"/>
                <v:stroke on="f" weight="0.5pt"/>
                <v:imagedata o:title=""/>
                <o:lock v:ext="edit" aspectratio="f"/>
                <v:textbox>
                  <w:txbxContent>
                    <w:p>
                      <w:pPr>
                        <w:rPr>
                          <w:rFonts w:hint="eastAsia" w:eastAsia="宋体"/>
                          <w:color w:val="FF0000"/>
                          <w:sz w:val="28"/>
                          <w:szCs w:val="24"/>
                          <w:lang w:eastAsia="zh-CN"/>
                        </w:rPr>
                      </w:pPr>
                      <w:r>
                        <w:rPr>
                          <w:rFonts w:hint="eastAsia"/>
                          <w:color w:val="FF0000"/>
                          <w:sz w:val="28"/>
                          <w:szCs w:val="24"/>
                          <w:lang w:eastAsia="zh-CN"/>
                        </w:rPr>
                        <w:t>茉莉堆</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491671552" behindDoc="0" locked="0" layoutInCell="1" allowOverlap="1">
                <wp:simplePos x="0" y="0"/>
                <wp:positionH relativeFrom="column">
                  <wp:posOffset>6674485</wp:posOffset>
                </wp:positionH>
                <wp:positionV relativeFrom="paragraph">
                  <wp:posOffset>73660</wp:posOffset>
                </wp:positionV>
                <wp:extent cx="2257425" cy="2457450"/>
                <wp:effectExtent l="9525" t="12065" r="19050" b="26035"/>
                <wp:wrapNone/>
                <wp:docPr id="134" name="任意多边形 134"/>
                <wp:cNvGraphicFramePr/>
                <a:graphic xmlns:a="http://schemas.openxmlformats.org/drawingml/2006/main">
                  <a:graphicData uri="http://schemas.microsoft.com/office/word/2010/wordprocessingShape">
                    <wps:wsp>
                      <wps:cNvSpPr/>
                      <wps:spPr>
                        <a:xfrm>
                          <a:off x="7574915" y="2788285"/>
                          <a:ext cx="2257425" cy="2457450"/>
                        </a:xfrm>
                        <a:custGeom>
                          <a:avLst/>
                          <a:gdLst>
                            <a:gd name="connisteX0" fmla="*/ 1771650 w 2257425"/>
                            <a:gd name="connsiteY0" fmla="*/ 238125 h 2457450"/>
                            <a:gd name="connisteX1" fmla="*/ 1219200 w 2257425"/>
                            <a:gd name="connsiteY1" fmla="*/ 857250 h 2457450"/>
                            <a:gd name="connisteX2" fmla="*/ 800100 w 2257425"/>
                            <a:gd name="connsiteY2" fmla="*/ 942975 h 2457450"/>
                            <a:gd name="connisteX3" fmla="*/ 352425 w 2257425"/>
                            <a:gd name="connsiteY3" fmla="*/ 1009650 h 2457450"/>
                            <a:gd name="connisteX4" fmla="*/ 9525 w 2257425"/>
                            <a:gd name="connsiteY4" fmla="*/ 1200150 h 2457450"/>
                            <a:gd name="connisteX5" fmla="*/ 9525 w 2257425"/>
                            <a:gd name="connsiteY5" fmla="*/ 1314450 h 2457450"/>
                            <a:gd name="connisteX6" fmla="*/ 0 w 2257425"/>
                            <a:gd name="connsiteY6" fmla="*/ 1781175 h 2457450"/>
                            <a:gd name="connisteX7" fmla="*/ 133350 w 2257425"/>
                            <a:gd name="connsiteY7" fmla="*/ 2295525 h 2457450"/>
                            <a:gd name="connisteX8" fmla="*/ 533400 w 2257425"/>
                            <a:gd name="connsiteY8" fmla="*/ 2457450 h 2457450"/>
                            <a:gd name="connisteX9" fmla="*/ 752475 w 2257425"/>
                            <a:gd name="connsiteY9" fmla="*/ 2200275 h 2457450"/>
                            <a:gd name="connisteX10" fmla="*/ 781050 w 2257425"/>
                            <a:gd name="connsiteY10" fmla="*/ 2114550 h 2457450"/>
                            <a:gd name="connisteX11" fmla="*/ 1114425 w 2257425"/>
                            <a:gd name="connsiteY11" fmla="*/ 1647825 h 2457450"/>
                            <a:gd name="connisteX12" fmla="*/ 1600200 w 2257425"/>
                            <a:gd name="connsiteY12" fmla="*/ 1304925 h 2457450"/>
                            <a:gd name="connisteX13" fmla="*/ 1943100 w 2257425"/>
                            <a:gd name="connsiteY13" fmla="*/ 1085850 h 2457450"/>
                            <a:gd name="connisteX14" fmla="*/ 1990725 w 2257425"/>
                            <a:gd name="connsiteY14" fmla="*/ 1000125 h 2457450"/>
                            <a:gd name="connisteX15" fmla="*/ 2247900 w 2257425"/>
                            <a:gd name="connsiteY15" fmla="*/ 457200 h 2457450"/>
                            <a:gd name="connisteX16" fmla="*/ 2257425 w 2257425"/>
                            <a:gd name="connsiteY16" fmla="*/ 390525 h 2457450"/>
                            <a:gd name="connisteX17" fmla="*/ 2257425 w 2257425"/>
                            <a:gd name="connsiteY17" fmla="*/ 133350 h 2457450"/>
                            <a:gd name="connisteX18" fmla="*/ 2114550 w 2257425"/>
                            <a:gd name="connsiteY18" fmla="*/ 0 h 2457450"/>
                            <a:gd name="connisteX19" fmla="*/ 1828800 w 2257425"/>
                            <a:gd name="connsiteY19" fmla="*/ 180975 h 2457450"/>
                            <a:gd name="connisteX20" fmla="*/ 1771650 w 2257425"/>
                            <a:gd name="connsiteY20" fmla="*/ 247650 h 2457450"/>
                            <a:gd name="connisteX21" fmla="*/ 1771650 w 2257425"/>
                            <a:gd name="connsiteY21" fmla="*/ 238125 h 2457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2257425" h="2457450">
                              <a:moveTo>
                                <a:pt x="1771650" y="238125"/>
                              </a:moveTo>
                              <a:lnTo>
                                <a:pt x="1219200" y="857250"/>
                              </a:lnTo>
                              <a:lnTo>
                                <a:pt x="800100" y="942975"/>
                              </a:lnTo>
                              <a:lnTo>
                                <a:pt x="352425" y="1009650"/>
                              </a:lnTo>
                              <a:lnTo>
                                <a:pt x="9525" y="1200150"/>
                              </a:lnTo>
                              <a:lnTo>
                                <a:pt x="9525" y="1314450"/>
                              </a:lnTo>
                              <a:lnTo>
                                <a:pt x="0" y="1781175"/>
                              </a:lnTo>
                              <a:lnTo>
                                <a:pt x="133350" y="2295525"/>
                              </a:lnTo>
                              <a:lnTo>
                                <a:pt x="533400" y="2457450"/>
                              </a:lnTo>
                              <a:lnTo>
                                <a:pt x="752475" y="2200275"/>
                              </a:lnTo>
                              <a:lnTo>
                                <a:pt x="781050" y="2114550"/>
                              </a:lnTo>
                              <a:lnTo>
                                <a:pt x="1114425" y="1647825"/>
                              </a:lnTo>
                              <a:lnTo>
                                <a:pt x="1600200" y="1304925"/>
                              </a:lnTo>
                              <a:lnTo>
                                <a:pt x="1943100" y="1085850"/>
                              </a:lnTo>
                              <a:lnTo>
                                <a:pt x="1990725" y="1000125"/>
                              </a:lnTo>
                              <a:lnTo>
                                <a:pt x="2247900" y="457200"/>
                              </a:lnTo>
                              <a:lnTo>
                                <a:pt x="2257425" y="390525"/>
                              </a:lnTo>
                              <a:lnTo>
                                <a:pt x="2257425" y="133350"/>
                              </a:lnTo>
                              <a:lnTo>
                                <a:pt x="2114550" y="0"/>
                              </a:lnTo>
                              <a:lnTo>
                                <a:pt x="1828800" y="180975"/>
                              </a:lnTo>
                              <a:lnTo>
                                <a:pt x="1771650" y="247650"/>
                              </a:lnTo>
                              <a:lnTo>
                                <a:pt x="1771650" y="2381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25.55pt;margin-top:5.8pt;height:193.5pt;width:177.75pt;z-index:491671552;mso-width-relative:page;mso-height-relative:page;" filled="f" stroked="t" coordsize="2257425,2457450" o:gfxdata="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" path="m1771650,238125l1219200,857250,800100,942975,352425,1009650,9525,1200150,9525,1314450,0,1781175,133350,2295525,533400,2457450,752475,2200275,781050,2114550,1114425,1647825,1600200,1304925,1943100,1085850,1990725,1000125,2247900,457200,2257425,390525,2257425,133350,2114550,0,1828800,180975,1771650,247650,1771650,238125xe">
                <v:path o:connectlocs="1771650,238125;1219200,857250;800100,942975;352425,1009650;9525,1200150;9525,1314450;0,1781175;133350,2295525;533400,2457450;752475,2200275;781050,2114550;1114425,1647825;1600200,1304925;1943100,1085850;1990725,1000125;2247900,457200;2257425,390525;2257425,133350;2114550,0;1828800,180975;1771650,247650;1771650,238125" o:connectangles="0,0,0,0,0,0,0,0,0,0,0,0,0,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491669504" behindDoc="0" locked="0" layoutInCell="1" allowOverlap="1">
                <wp:simplePos x="0" y="0"/>
                <wp:positionH relativeFrom="column">
                  <wp:posOffset>854710</wp:posOffset>
                </wp:positionH>
                <wp:positionV relativeFrom="paragraph">
                  <wp:posOffset>41910</wp:posOffset>
                </wp:positionV>
                <wp:extent cx="2514600" cy="1781175"/>
                <wp:effectExtent l="9525" t="9525" r="28575" b="19050"/>
                <wp:wrapNone/>
                <wp:docPr id="132" name="任意多边形 132"/>
                <wp:cNvGraphicFramePr/>
                <a:graphic xmlns:a="http://schemas.openxmlformats.org/drawingml/2006/main">
                  <a:graphicData uri="http://schemas.microsoft.com/office/word/2010/wordprocessingShape">
                    <wps:wsp>
                      <wps:cNvSpPr/>
                      <wps:spPr>
                        <a:xfrm>
                          <a:off x="1755140" y="3064510"/>
                          <a:ext cx="2514600" cy="1781175"/>
                        </a:xfrm>
                        <a:custGeom>
                          <a:avLst/>
                          <a:gdLst>
                            <a:gd name="connisteX0" fmla="*/ 1733550 w 2514600"/>
                            <a:gd name="connsiteY0" fmla="*/ 57150 h 1781175"/>
                            <a:gd name="connisteX1" fmla="*/ 1143000 w 2514600"/>
                            <a:gd name="connsiteY1" fmla="*/ 257175 h 1781175"/>
                            <a:gd name="connisteX2" fmla="*/ 1133475 w 2514600"/>
                            <a:gd name="connsiteY2" fmla="*/ 342900 h 1781175"/>
                            <a:gd name="connisteX3" fmla="*/ 1314450 w 2514600"/>
                            <a:gd name="connsiteY3" fmla="*/ 1085850 h 1781175"/>
                            <a:gd name="connisteX4" fmla="*/ 1304925 w 2514600"/>
                            <a:gd name="connsiteY4" fmla="*/ 1381125 h 1781175"/>
                            <a:gd name="connisteX5" fmla="*/ 571500 w 2514600"/>
                            <a:gd name="connsiteY5" fmla="*/ 914400 h 1781175"/>
                            <a:gd name="connisteX6" fmla="*/ 0 w 2514600"/>
                            <a:gd name="connsiteY6" fmla="*/ 1323975 h 1781175"/>
                            <a:gd name="connisteX7" fmla="*/ 0 w 2514600"/>
                            <a:gd name="connsiteY7" fmla="*/ 1390650 h 1781175"/>
                            <a:gd name="connisteX8" fmla="*/ 66675 w 2514600"/>
                            <a:gd name="connsiteY8" fmla="*/ 1666875 h 1781175"/>
                            <a:gd name="connisteX9" fmla="*/ 171450 w 2514600"/>
                            <a:gd name="connsiteY9" fmla="*/ 1666875 h 1781175"/>
                            <a:gd name="connisteX10" fmla="*/ 666750 w 2514600"/>
                            <a:gd name="connsiteY10" fmla="*/ 1781175 h 1781175"/>
                            <a:gd name="connisteX11" fmla="*/ 733425 w 2514600"/>
                            <a:gd name="connsiteY11" fmla="*/ 1781175 h 1781175"/>
                            <a:gd name="connisteX12" fmla="*/ 1581150 w 2514600"/>
                            <a:gd name="connsiteY12" fmla="*/ 1504950 h 1781175"/>
                            <a:gd name="connisteX13" fmla="*/ 1800225 w 2514600"/>
                            <a:gd name="connsiteY13" fmla="*/ 1038225 h 1781175"/>
                            <a:gd name="connisteX14" fmla="*/ 2200275 w 2514600"/>
                            <a:gd name="connsiteY14" fmla="*/ 790575 h 1781175"/>
                            <a:gd name="connisteX15" fmla="*/ 2514600 w 2514600"/>
                            <a:gd name="connsiteY15" fmla="*/ 428625 h 1781175"/>
                            <a:gd name="connisteX16" fmla="*/ 2381250 w 2514600"/>
                            <a:gd name="connsiteY16" fmla="*/ 85725 h 1781175"/>
                            <a:gd name="connisteX17" fmla="*/ 1943100 w 2514600"/>
                            <a:gd name="connsiteY17" fmla="*/ 0 h 1781175"/>
                            <a:gd name="connisteX18" fmla="*/ 1638300 w 2514600"/>
                            <a:gd name="connsiteY18" fmla="*/ 95250 h 17811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Lst>
                          <a:rect l="l" t="t" r="r" b="b"/>
                          <a:pathLst>
                            <a:path w="2514600" h="1781175">
                              <a:moveTo>
                                <a:pt x="1733550" y="57150"/>
                              </a:moveTo>
                              <a:lnTo>
                                <a:pt x="1143000" y="257175"/>
                              </a:lnTo>
                              <a:lnTo>
                                <a:pt x="1133475" y="342900"/>
                              </a:lnTo>
                              <a:lnTo>
                                <a:pt x="1314450" y="1085850"/>
                              </a:lnTo>
                              <a:lnTo>
                                <a:pt x="1304925" y="1381125"/>
                              </a:lnTo>
                              <a:lnTo>
                                <a:pt x="571500" y="914400"/>
                              </a:lnTo>
                              <a:lnTo>
                                <a:pt x="0" y="1323975"/>
                              </a:lnTo>
                              <a:lnTo>
                                <a:pt x="0" y="1390650"/>
                              </a:lnTo>
                              <a:lnTo>
                                <a:pt x="66675" y="1666875"/>
                              </a:lnTo>
                              <a:lnTo>
                                <a:pt x="171450" y="1666875"/>
                              </a:lnTo>
                              <a:lnTo>
                                <a:pt x="666750" y="1781175"/>
                              </a:lnTo>
                              <a:lnTo>
                                <a:pt x="733425" y="1781175"/>
                              </a:lnTo>
                              <a:lnTo>
                                <a:pt x="1581150" y="1504950"/>
                              </a:lnTo>
                              <a:lnTo>
                                <a:pt x="1800225" y="1038225"/>
                              </a:lnTo>
                              <a:lnTo>
                                <a:pt x="2200275" y="790575"/>
                              </a:lnTo>
                              <a:lnTo>
                                <a:pt x="2514600" y="428625"/>
                              </a:lnTo>
                              <a:lnTo>
                                <a:pt x="2381250" y="85725"/>
                              </a:lnTo>
                              <a:lnTo>
                                <a:pt x="1943100" y="0"/>
                              </a:lnTo>
                              <a:lnTo>
                                <a:pt x="1638300" y="95250"/>
                              </a:lnTo>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67.3pt;margin-top:3.3pt;height:140.25pt;width:198pt;z-index:491669504;mso-width-relative:page;mso-height-relative:page;" filled="f" stroked="t" coordsize="2514600,1781175" o:gfxdata="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" path="m1733550,57150l1143000,257175,1133475,342900,1314450,1085850,1304925,1381125,571500,914400,0,1323975,0,1390650,66675,1666875,171450,1666875,666750,1781175,733425,1781175,1581150,1504950,1800225,1038225,2200275,790575,2514600,428625,2381250,85725,1943100,0,1638300,95250e">
                <v:path o:connectlocs="1733550,57150;1143000,257175;1133475,342900;1314450,1085850;1304925,1381125;571500,914400;0,1323975;0,1390650;66675,1666875;171450,1666875;666750,1781175;733425,1781175;1581150,1504950;1800225,1038225;2200275,790575;2514600,428625;2381250,85725;1943100,0;1638300,95250" o:connectangles="0,0,0,0,0,0,0,0,0,0,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451744256" behindDoc="0" locked="0" layoutInCell="1" allowOverlap="1">
                <wp:simplePos x="0" y="0"/>
                <wp:positionH relativeFrom="column">
                  <wp:posOffset>2188210</wp:posOffset>
                </wp:positionH>
                <wp:positionV relativeFrom="paragraph">
                  <wp:posOffset>95250</wp:posOffset>
                </wp:positionV>
                <wp:extent cx="838200" cy="523875"/>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838200"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eastAsia="zh-CN"/>
                              </w:rPr>
                            </w:pPr>
                            <w:r>
                              <w:rPr>
                                <w:rFonts w:hint="eastAsia"/>
                                <w:color w:val="FF0000"/>
                                <w:sz w:val="28"/>
                                <w:szCs w:val="24"/>
                                <w:lang w:eastAsia="zh-CN"/>
                              </w:rPr>
                              <w:t>戴家垄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3pt;margin-top:7.5pt;height:41.25pt;width:66pt;z-index:1451744256;mso-width-relative:page;mso-height-relative:page;" filled="f" stroked="f" coordsize="21600,21600" o:gfxdata="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oMZE&#10;xNoAAAAJAQAADwAAAAAAAAABACAAAAAiAAAAZHJzL2Rvd25yZXYueG1sUEsBAhQAFAAAAAgAh07i&#10;QBddJ4EgAgAAGwQAAA4AAAAAAAAAAQAgAAAAKQEAAGRycy9lMm9Eb2MueG1sUEsFBgAAAAAGAAYA&#10;WQEAALsFAAAAAA==&#10;">
                <v:fill on="f" focussize="0,0"/>
                <v:stroke on="f" weight="0.5pt"/>
                <v:imagedata o:title=""/>
                <o:lock v:ext="edit" aspectratio="f"/>
                <v:textbox>
                  <w:txbxContent>
                    <w:p>
                      <w:pPr>
                        <w:rPr>
                          <w:rFonts w:hint="eastAsia" w:eastAsia="宋体"/>
                          <w:color w:val="FF0000"/>
                          <w:sz w:val="28"/>
                          <w:szCs w:val="24"/>
                          <w:lang w:eastAsia="zh-CN"/>
                        </w:rPr>
                      </w:pPr>
                      <w:r>
                        <w:rPr>
                          <w:rFonts w:hint="eastAsia"/>
                          <w:color w:val="FF0000"/>
                          <w:sz w:val="28"/>
                          <w:szCs w:val="24"/>
                          <w:lang w:eastAsia="zh-CN"/>
                        </w:rPr>
                        <w:t>戴家垄</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971709440" behindDoc="0" locked="0" layoutInCell="1" allowOverlap="1">
                <wp:simplePos x="0" y="0"/>
                <wp:positionH relativeFrom="column">
                  <wp:posOffset>6884670</wp:posOffset>
                </wp:positionH>
                <wp:positionV relativeFrom="paragraph">
                  <wp:posOffset>158750</wp:posOffset>
                </wp:positionV>
                <wp:extent cx="1104265" cy="523875"/>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104265"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eastAsia="zh-CN"/>
                              </w:rPr>
                            </w:pPr>
                            <w:r>
                              <w:rPr>
                                <w:rFonts w:hint="eastAsia"/>
                                <w:color w:val="FF0000"/>
                                <w:sz w:val="28"/>
                                <w:szCs w:val="24"/>
                                <w:lang w:eastAsia="zh-CN"/>
                              </w:rPr>
                              <w:t>许家大屋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2.1pt;margin-top:12.5pt;height:41.25pt;width:86.95pt;z-index:971709440;mso-width-relative:page;mso-height-relative:page;" filled="f" stroked="f" coordsize="21600,21600" o:gfxdata="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9i&#10;YYfaAAAADAEAAA8AAAAAAAAAAQAgAAAAIgAAAGRycy9kb3ducmV2LnhtbFBLAQIUABQAAAAIAIdO&#10;4kBTgPikIQIAABwEAAAOAAAAAAAAAAEAIAAAACkBAABkcnMvZTJvRG9jLnhtbFBLBQYAAAAABgAG&#10;AFkBAAC8BQAAAAA=&#10;">
                <v:fill on="f" focussize="0,0"/>
                <v:stroke on="f" weight="0.5pt"/>
                <v:imagedata o:title=""/>
                <o:lock v:ext="edit" aspectratio="f"/>
                <v:textbox>
                  <w:txbxContent>
                    <w:p>
                      <w:pPr>
                        <w:rPr>
                          <w:rFonts w:hint="eastAsia" w:eastAsia="宋体"/>
                          <w:color w:val="FF0000"/>
                          <w:sz w:val="28"/>
                          <w:szCs w:val="24"/>
                          <w:lang w:eastAsia="zh-CN"/>
                        </w:rPr>
                      </w:pPr>
                      <w:r>
                        <w:rPr>
                          <w:rFonts w:hint="eastAsia"/>
                          <w:color w:val="FF0000"/>
                          <w:sz w:val="28"/>
                          <w:szCs w:val="24"/>
                          <w:lang w:eastAsia="zh-CN"/>
                        </w:rPr>
                        <w:t>许家大屋</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731692032" behindDoc="0" locked="0" layoutInCell="1" allowOverlap="1">
                <wp:simplePos x="0" y="0"/>
                <wp:positionH relativeFrom="column">
                  <wp:posOffset>4979035</wp:posOffset>
                </wp:positionH>
                <wp:positionV relativeFrom="paragraph">
                  <wp:posOffset>293370</wp:posOffset>
                </wp:positionV>
                <wp:extent cx="1019175" cy="523875"/>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1019175"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eastAsia="zh-CN"/>
                              </w:rPr>
                            </w:pPr>
                            <w:r>
                              <w:rPr>
                                <w:rFonts w:hint="eastAsia"/>
                                <w:color w:val="FF0000"/>
                                <w:sz w:val="28"/>
                                <w:szCs w:val="24"/>
                                <w:lang w:eastAsia="zh-CN"/>
                              </w:rPr>
                              <w:t>戴家大屋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2.05pt;margin-top:23.1pt;height:41.25pt;width:80.25pt;z-index:731692032;mso-width-relative:page;mso-height-relative:page;" filled="f" stroked="f" coordsize="21600,21600" o:gfxdata="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y&#10;dlfbAAAACgEAAA8AAAAAAAAAAQAgAAAAIgAAAGRycy9kb3ducmV2LnhtbFBLAQIUABQAAAAIAIdO&#10;4kA39EnyIAIAABwEAAAOAAAAAAAAAAEAIAAAACoBAABkcnMvZTJvRG9jLnhtbFBLBQYAAAAABgAG&#10;AFkBAAC8BQAAAAA=&#10;">
                <v:fill on="f" focussize="0,0"/>
                <v:stroke on="f" weight="0.5pt"/>
                <v:imagedata o:title=""/>
                <o:lock v:ext="edit" aspectratio="f"/>
                <v:textbox>
                  <w:txbxContent>
                    <w:p>
                      <w:pPr>
                        <w:rPr>
                          <w:rFonts w:hint="eastAsia" w:eastAsia="宋体"/>
                          <w:color w:val="FF0000"/>
                          <w:sz w:val="28"/>
                          <w:szCs w:val="24"/>
                          <w:lang w:eastAsia="zh-CN"/>
                        </w:rPr>
                      </w:pPr>
                      <w:r>
                        <w:rPr>
                          <w:rFonts w:hint="eastAsia"/>
                          <w:color w:val="FF0000"/>
                          <w:sz w:val="28"/>
                          <w:szCs w:val="24"/>
                          <w:lang w:eastAsia="zh-CN"/>
                        </w:rPr>
                        <w:t>戴家大屋</w:t>
                      </w:r>
                    </w:p>
                  </w:txbxContent>
                </v:textbox>
              </v:shape>
            </w:pict>
          </mc:Fallback>
        </mc:AlternateContent>
      </w:r>
      <w:r>
        <w:rPr>
          <w:sz w:val="24"/>
        </w:rPr>
        <mc:AlternateContent>
          <mc:Choice Requires="wps">
            <w:drawing>
              <wp:anchor distT="0" distB="0" distL="114300" distR="114300" simplePos="0" relativeHeight="491673600" behindDoc="0" locked="0" layoutInCell="1" allowOverlap="1">
                <wp:simplePos x="0" y="0"/>
                <wp:positionH relativeFrom="column">
                  <wp:posOffset>4912360</wp:posOffset>
                </wp:positionH>
                <wp:positionV relativeFrom="paragraph">
                  <wp:posOffset>121920</wp:posOffset>
                </wp:positionV>
                <wp:extent cx="1219200" cy="828675"/>
                <wp:effectExtent l="13970" t="10795" r="24130" b="17780"/>
                <wp:wrapNone/>
                <wp:docPr id="136" name="任意多边形 136"/>
                <wp:cNvGraphicFramePr/>
                <a:graphic xmlns:a="http://schemas.openxmlformats.org/drawingml/2006/main">
                  <a:graphicData uri="http://schemas.microsoft.com/office/word/2010/wordprocessingShape">
                    <wps:wsp>
                      <wps:cNvSpPr/>
                      <wps:spPr>
                        <a:xfrm>
                          <a:off x="5812790" y="5302885"/>
                          <a:ext cx="1219200" cy="828675"/>
                        </a:xfrm>
                        <a:custGeom>
                          <a:avLst/>
                          <a:gdLst>
                            <a:gd name="connisteX0" fmla="*/ 1028700 w 1219200"/>
                            <a:gd name="connsiteY0" fmla="*/ 0 h 828675"/>
                            <a:gd name="connisteX1" fmla="*/ 0 w 1219200"/>
                            <a:gd name="connsiteY1" fmla="*/ 361950 h 828675"/>
                            <a:gd name="connisteX2" fmla="*/ 266700 w 1219200"/>
                            <a:gd name="connsiteY2" fmla="*/ 828675 h 828675"/>
                            <a:gd name="connisteX3" fmla="*/ 828675 w 1219200"/>
                            <a:gd name="connsiteY3" fmla="*/ 609600 h 828675"/>
                            <a:gd name="connisteX4" fmla="*/ 1219200 w 1219200"/>
                            <a:gd name="connsiteY4" fmla="*/ 352425 h 828675"/>
                            <a:gd name="connisteX5" fmla="*/ 1143000 w 1219200"/>
                            <a:gd name="connsiteY5" fmla="*/ 95250 h 828675"/>
                            <a:gd name="connisteX6" fmla="*/ 1028700 w 1219200"/>
                            <a:gd name="connsiteY6" fmla="*/ 0 h 8286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19200" h="828675">
                              <a:moveTo>
                                <a:pt x="1028700" y="0"/>
                              </a:moveTo>
                              <a:lnTo>
                                <a:pt x="0" y="361950"/>
                              </a:lnTo>
                              <a:lnTo>
                                <a:pt x="266700" y="828675"/>
                              </a:lnTo>
                              <a:lnTo>
                                <a:pt x="828675" y="609600"/>
                              </a:lnTo>
                              <a:lnTo>
                                <a:pt x="1219200" y="352425"/>
                              </a:lnTo>
                              <a:lnTo>
                                <a:pt x="1143000" y="95250"/>
                              </a:lnTo>
                              <a:lnTo>
                                <a:pt x="1028700"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86.8pt;margin-top:9.6pt;height:65.25pt;width:96pt;z-index:491673600;mso-width-relative:page;mso-height-relative:page;" filled="f" stroked="t" coordsize="1219200,828675" o:gfxdata="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" path="m1028700,0l0,361950,266700,828675,828675,609600,1219200,352425,1143000,95250,1028700,0xe">
                <v:path o:connectlocs="1028700,0;0,361950;266700,828675;828675,609600;1219200,352425;1143000,95250;1028700,0" o:connectangles="0,0,0,0,0,0,0"/>
                <v:fill on="f" focussize="0,0"/>
                <v:stroke weight="1.5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491672576" behindDoc="0" locked="0" layoutInCell="1" allowOverlap="1">
                <wp:simplePos x="0" y="0"/>
                <wp:positionH relativeFrom="column">
                  <wp:posOffset>1226185</wp:posOffset>
                </wp:positionH>
                <wp:positionV relativeFrom="paragraph">
                  <wp:posOffset>121920</wp:posOffset>
                </wp:positionV>
                <wp:extent cx="2343150" cy="1076325"/>
                <wp:effectExtent l="9525" t="9525" r="28575" b="19050"/>
                <wp:wrapNone/>
                <wp:docPr id="135" name="任意多边形 135"/>
                <wp:cNvGraphicFramePr/>
                <a:graphic xmlns:a="http://schemas.openxmlformats.org/drawingml/2006/main">
                  <a:graphicData uri="http://schemas.microsoft.com/office/word/2010/wordprocessingShape">
                    <wps:wsp>
                      <wps:cNvSpPr/>
                      <wps:spPr>
                        <a:xfrm>
                          <a:off x="2126615" y="5302885"/>
                          <a:ext cx="2343150" cy="1076325"/>
                        </a:xfrm>
                        <a:custGeom>
                          <a:avLst/>
                          <a:gdLst>
                            <a:gd name="connisteX0" fmla="*/ 1990725 w 2343150"/>
                            <a:gd name="connsiteY0" fmla="*/ 0 h 1076325"/>
                            <a:gd name="connisteX1" fmla="*/ 1866900 w 2343150"/>
                            <a:gd name="connsiteY1" fmla="*/ 47625 h 1076325"/>
                            <a:gd name="connisteX2" fmla="*/ 0 w 2343150"/>
                            <a:gd name="connsiteY2" fmla="*/ 333375 h 1076325"/>
                            <a:gd name="connisteX3" fmla="*/ 9525 w 2343150"/>
                            <a:gd name="connsiteY3" fmla="*/ 609600 h 1076325"/>
                            <a:gd name="connisteX4" fmla="*/ 85725 w 2343150"/>
                            <a:gd name="connsiteY4" fmla="*/ 695325 h 1076325"/>
                            <a:gd name="connisteX5" fmla="*/ 504825 w 2343150"/>
                            <a:gd name="connsiteY5" fmla="*/ 942975 h 1076325"/>
                            <a:gd name="connisteX6" fmla="*/ 1276350 w 2343150"/>
                            <a:gd name="connsiteY6" fmla="*/ 1076325 h 1076325"/>
                            <a:gd name="connisteX7" fmla="*/ 1676400 w 2343150"/>
                            <a:gd name="connsiteY7" fmla="*/ 1057275 h 1076325"/>
                            <a:gd name="connisteX8" fmla="*/ 1743075 w 2343150"/>
                            <a:gd name="connsiteY8" fmla="*/ 1019175 h 1076325"/>
                            <a:gd name="connisteX9" fmla="*/ 1828800 w 2343150"/>
                            <a:gd name="connsiteY9" fmla="*/ 952500 h 1076325"/>
                            <a:gd name="connisteX10" fmla="*/ 2124075 w 2343150"/>
                            <a:gd name="connsiteY10" fmla="*/ 647700 h 1076325"/>
                            <a:gd name="connisteX11" fmla="*/ 2171700 w 2343150"/>
                            <a:gd name="connsiteY11" fmla="*/ 571500 h 1076325"/>
                            <a:gd name="connisteX12" fmla="*/ 2343150 w 2343150"/>
                            <a:gd name="connsiteY12" fmla="*/ 266700 h 1076325"/>
                            <a:gd name="connisteX13" fmla="*/ 2238375 w 2343150"/>
                            <a:gd name="connsiteY13" fmla="*/ 0 h 1076325"/>
                            <a:gd name="connisteX14" fmla="*/ 1990725 w 2343150"/>
                            <a:gd name="connsiteY14" fmla="*/ 0 h 10763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2343150" h="1076325">
                              <a:moveTo>
                                <a:pt x="1990725" y="0"/>
                              </a:moveTo>
                              <a:lnTo>
                                <a:pt x="1866900" y="47625"/>
                              </a:lnTo>
                              <a:lnTo>
                                <a:pt x="0" y="333375"/>
                              </a:lnTo>
                              <a:lnTo>
                                <a:pt x="9525" y="609600"/>
                              </a:lnTo>
                              <a:lnTo>
                                <a:pt x="85725" y="695325"/>
                              </a:lnTo>
                              <a:lnTo>
                                <a:pt x="504825" y="942975"/>
                              </a:lnTo>
                              <a:lnTo>
                                <a:pt x="1276350" y="1076325"/>
                              </a:lnTo>
                              <a:lnTo>
                                <a:pt x="1676400" y="1057275"/>
                              </a:lnTo>
                              <a:lnTo>
                                <a:pt x="1743075" y="1019175"/>
                              </a:lnTo>
                              <a:lnTo>
                                <a:pt x="1828800" y="952500"/>
                              </a:lnTo>
                              <a:lnTo>
                                <a:pt x="2124075" y="647700"/>
                              </a:lnTo>
                              <a:lnTo>
                                <a:pt x="2171700" y="571500"/>
                              </a:lnTo>
                              <a:lnTo>
                                <a:pt x="2343150" y="266700"/>
                              </a:lnTo>
                              <a:lnTo>
                                <a:pt x="2238375" y="0"/>
                              </a:lnTo>
                              <a:lnTo>
                                <a:pt x="1990725" y="0"/>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6.55pt;margin-top:9.6pt;height:84.75pt;width:184.5pt;z-index:491672576;mso-width-relative:page;mso-height-relative:page;" filled="f" stroked="t" coordsize="2343150,1076325" o:gfxdata="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" path="m1990725,0l1866900,47625,0,333375,9525,609600,85725,695325,504825,942975,1276350,1076325,1676400,1057275,1743075,1019175,1828800,952500,2124075,647700,2171700,571500,2343150,266700,2238375,0,1990725,0xe">
                <v:path o:connectlocs="1990725,0;1866900,47625;0,333375;9525,609600;85725,695325;504825,942975;1276350,1076325;1676400,1057275;1743075,1019175;1828800,952500;2124075,647700;2171700,571500;2343150,266700;2238375,0;1990725,0" o:connectangles="0,0,0,0,0,0,0,0,0,0,0,0,0,0,0"/>
                <v:fill on="f" focussize="0,0"/>
                <v:stroke weight="1.5pt" color="#FF0000 [3204]"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r>
        <w:rPr>
          <w:sz w:val="24"/>
        </w:rPr>
        <mc:AlternateContent>
          <mc:Choice Requires="wps">
            <w:drawing>
              <wp:anchor distT="0" distB="0" distL="114300" distR="114300" simplePos="0" relativeHeight="1211726848" behindDoc="0" locked="0" layoutInCell="1" allowOverlap="1">
                <wp:simplePos x="0" y="0"/>
                <wp:positionH relativeFrom="column">
                  <wp:posOffset>2331085</wp:posOffset>
                </wp:positionH>
                <wp:positionV relativeFrom="paragraph">
                  <wp:posOffset>51435</wp:posOffset>
                </wp:positionV>
                <wp:extent cx="838200" cy="523875"/>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838200" cy="523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sz w:val="28"/>
                                <w:szCs w:val="24"/>
                                <w:lang w:eastAsia="zh-CN"/>
                              </w:rPr>
                            </w:pPr>
                            <w:r>
                              <w:rPr>
                                <w:rFonts w:hint="eastAsia"/>
                                <w:color w:val="FF0000"/>
                                <w:sz w:val="28"/>
                                <w:szCs w:val="24"/>
                                <w:lang w:eastAsia="zh-CN"/>
                              </w:rPr>
                              <w:t>孙家坪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55pt;margin-top:4.05pt;height:41.25pt;width:66pt;z-index:1211726848;mso-width-relative:page;mso-height-relative:page;" filled="f" stroked="f" coordsize="21600,21600" o:gfxdata="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YCsnLa&#10;AAAACAEAAA8AAAAAAAAAAQAgAAAAIgAAAGRycy9kb3ducmV2LnhtbFBLAQIUABQAAAAIAIdO4kCa&#10;Uj+3HgIAABsEAAAOAAAAAAAAAAEAIAAAACkBAABkcnMvZTJvRG9jLnhtbFBLBQYAAAAABgAGAFkB&#10;AAC5BQAAAAA=&#10;">
                <v:fill on="f" focussize="0,0"/>
                <v:stroke on="f" weight="0.5pt"/>
                <v:imagedata o:title=""/>
                <o:lock v:ext="edit" aspectratio="f"/>
                <v:textbox>
                  <w:txbxContent>
                    <w:p>
                      <w:pPr>
                        <w:rPr>
                          <w:rFonts w:hint="eastAsia" w:eastAsia="宋体"/>
                          <w:color w:val="FF0000"/>
                          <w:sz w:val="28"/>
                          <w:szCs w:val="24"/>
                          <w:lang w:eastAsia="zh-CN"/>
                        </w:rPr>
                      </w:pPr>
                      <w:r>
                        <w:rPr>
                          <w:rFonts w:hint="eastAsia"/>
                          <w:color w:val="FF0000"/>
                          <w:sz w:val="28"/>
                          <w:szCs w:val="24"/>
                          <w:lang w:eastAsia="zh-CN"/>
                        </w:rPr>
                        <w:t>孙家坪</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keepNext w:val="0"/>
        <w:keepLines w:val="0"/>
        <w:pageBreakBefore w:val="0"/>
        <w:widowControl w:val="0"/>
        <w:kinsoku/>
        <w:wordWrap/>
        <w:overflowPunct/>
        <w:topLinePunct w:val="0"/>
        <w:autoSpaceDE/>
        <w:autoSpaceDN/>
        <w:bidi w:val="0"/>
        <w:adjustRightInd/>
        <w:snapToGrid/>
        <w:spacing w:line="351" w:lineRule="auto"/>
        <w:ind w:firstLine="560"/>
        <w:textAlignment w:val="auto"/>
        <w:rPr>
          <w:rFonts w:hint="default" w:ascii="Times New Roman" w:hAnsi="Times New Roman" w:cs="Times New Roman"/>
          <w:color w:val="auto"/>
          <w:sz w:val="24"/>
          <w:szCs w:val="24"/>
          <w:u w:val="none" w:color="auto"/>
          <w:lang w:val="en-US" w:eastAsia="zh-CN"/>
        </w:rPr>
      </w:pPr>
    </w:p>
    <w:p>
      <w:pPr>
        <w:pStyle w:val="8"/>
        <w:bidi w:val="0"/>
        <w:rPr>
          <w:rFonts w:hint="default"/>
          <w:color w:val="auto"/>
          <w:u w:val="none" w:color="auto"/>
          <w:lang w:val="en-US" w:eastAsia="zh-CN"/>
        </w:rPr>
      </w:pPr>
      <w:r>
        <w:rPr>
          <w:rFonts w:hint="default"/>
          <w:color w:val="auto"/>
          <w:u w:val="none" w:color="auto"/>
          <w:lang w:val="en-US" w:eastAsia="zh-CN"/>
        </w:rPr>
        <w:t>附图</w:t>
      </w:r>
      <w:r>
        <w:rPr>
          <w:rFonts w:hint="eastAsia"/>
          <w:color w:val="auto"/>
          <w:u w:val="none" w:color="auto"/>
          <w:lang w:val="en-US" w:eastAsia="zh-CN"/>
        </w:rPr>
        <w:t>5</w:t>
      </w:r>
      <w:r>
        <w:rPr>
          <w:rFonts w:hint="default"/>
          <w:color w:val="auto"/>
          <w:u w:val="none" w:color="auto"/>
          <w:lang w:val="en-US" w:eastAsia="zh-CN"/>
        </w:rPr>
        <w:t xml:space="preserve">  项目现场照片</w:t>
      </w:r>
    </w:p>
    <w:tbl>
      <w:tblPr>
        <w:tblStyle w:val="41"/>
        <w:tblW w:w="14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6" w:hRule="atLeast"/>
        </w:trPr>
        <w:tc>
          <w:tcPr>
            <w:tcW w:w="7109" w:type="dxa"/>
          </w:tcPr>
          <w:p>
            <w:pPr>
              <w:pStyle w:val="39"/>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691769856" behindDoc="0" locked="0" layoutInCell="1" allowOverlap="1">
                  <wp:simplePos x="0" y="0"/>
                  <wp:positionH relativeFrom="column">
                    <wp:posOffset>-15875</wp:posOffset>
                  </wp:positionH>
                  <wp:positionV relativeFrom="paragraph">
                    <wp:posOffset>78105</wp:posOffset>
                  </wp:positionV>
                  <wp:extent cx="4368800" cy="2162175"/>
                  <wp:effectExtent l="0" t="0" r="12700" b="9525"/>
                  <wp:wrapNone/>
                  <wp:docPr id="150" name="图片 150" descr="IMG_20191015_153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20191015_153945"/>
                          <pic:cNvPicPr>
                            <a:picLocks noChangeAspect="1"/>
                          </pic:cNvPicPr>
                        </pic:nvPicPr>
                        <pic:blipFill>
                          <a:blip r:embed="rId44"/>
                          <a:stretch>
                            <a:fillRect/>
                          </a:stretch>
                        </pic:blipFill>
                        <pic:spPr>
                          <a:xfrm>
                            <a:off x="0" y="0"/>
                            <a:ext cx="4368800" cy="2162175"/>
                          </a:xfrm>
                          <a:prstGeom prst="rect">
                            <a:avLst/>
                          </a:prstGeom>
                        </pic:spPr>
                      </pic:pic>
                    </a:graphicData>
                  </a:graphic>
                </wp:anchor>
              </w:drawing>
            </w: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项目西面</w:t>
            </w:r>
          </w:p>
        </w:tc>
        <w:tc>
          <w:tcPr>
            <w:tcW w:w="7109" w:type="dxa"/>
          </w:tcPr>
          <w:p>
            <w:pPr>
              <w:pStyle w:val="39"/>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691770880" behindDoc="0" locked="0" layoutInCell="1" allowOverlap="1">
                  <wp:simplePos x="0" y="0"/>
                  <wp:positionH relativeFrom="column">
                    <wp:posOffset>12700</wp:posOffset>
                  </wp:positionH>
                  <wp:positionV relativeFrom="paragraph">
                    <wp:posOffset>68580</wp:posOffset>
                  </wp:positionV>
                  <wp:extent cx="4375150" cy="2139950"/>
                  <wp:effectExtent l="0" t="0" r="6350" b="12700"/>
                  <wp:wrapNone/>
                  <wp:docPr id="151" name="图片 151" descr="73799482664697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737994826646977765"/>
                          <pic:cNvPicPr>
                            <a:picLocks noChangeAspect="1"/>
                          </pic:cNvPicPr>
                        </pic:nvPicPr>
                        <pic:blipFill>
                          <a:blip r:embed="rId45"/>
                          <a:stretch>
                            <a:fillRect/>
                          </a:stretch>
                        </pic:blipFill>
                        <pic:spPr>
                          <a:xfrm>
                            <a:off x="0" y="0"/>
                            <a:ext cx="4375150" cy="2139950"/>
                          </a:xfrm>
                          <a:prstGeom prst="rect">
                            <a:avLst/>
                          </a:prstGeom>
                        </pic:spPr>
                      </pic:pic>
                    </a:graphicData>
                  </a:graphic>
                </wp:anchor>
              </w:drawing>
            </w: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ind w:firstLine="2310" w:firstLineChars="10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项目厂大门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0" w:hRule="atLeast"/>
        </w:trPr>
        <w:tc>
          <w:tcPr>
            <w:tcW w:w="7109" w:type="dxa"/>
          </w:tcPr>
          <w:p>
            <w:pPr>
              <w:pStyle w:val="39"/>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691767808" behindDoc="0" locked="0" layoutInCell="1" allowOverlap="1">
                  <wp:simplePos x="0" y="0"/>
                  <wp:positionH relativeFrom="column">
                    <wp:posOffset>-25400</wp:posOffset>
                  </wp:positionH>
                  <wp:positionV relativeFrom="paragraph">
                    <wp:posOffset>114300</wp:posOffset>
                  </wp:positionV>
                  <wp:extent cx="4368800" cy="1847215"/>
                  <wp:effectExtent l="0" t="0" r="12700" b="635"/>
                  <wp:wrapNone/>
                  <wp:docPr id="148" name="图片 148" descr="IMG_20191015_15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IMG_20191015_153848"/>
                          <pic:cNvPicPr>
                            <a:picLocks noChangeAspect="1"/>
                          </pic:cNvPicPr>
                        </pic:nvPicPr>
                        <pic:blipFill>
                          <a:blip r:embed="rId46"/>
                          <a:stretch>
                            <a:fillRect/>
                          </a:stretch>
                        </pic:blipFill>
                        <pic:spPr>
                          <a:xfrm>
                            <a:off x="0" y="0"/>
                            <a:ext cx="4368800" cy="1847215"/>
                          </a:xfrm>
                          <a:prstGeom prst="rect">
                            <a:avLst/>
                          </a:prstGeom>
                        </pic:spPr>
                      </pic:pic>
                    </a:graphicData>
                  </a:graphic>
                </wp:anchor>
              </w:drawing>
            </w: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ind w:firstLine="1848" w:firstLineChars="800"/>
              <w:jc w:val="both"/>
              <w:rPr>
                <w:rFonts w:hint="default" w:eastAsia="宋体"/>
                <w:color w:val="auto"/>
                <w:u w:val="none" w:color="auto"/>
                <w:vertAlign w:val="baseline"/>
                <w:lang w:val="en-US" w:eastAsia="zh-CN"/>
              </w:rPr>
            </w:pPr>
            <w:r>
              <w:rPr>
                <w:rFonts w:hint="eastAsia"/>
                <w:color w:val="auto"/>
                <w:sz w:val="24"/>
                <w:szCs w:val="22"/>
                <w:u w:val="none" w:color="auto"/>
                <w:vertAlign w:val="baseline"/>
                <w:lang w:val="en-US" w:eastAsia="zh-CN"/>
              </w:rPr>
              <w:t>项目南面</w:t>
            </w:r>
          </w:p>
        </w:tc>
        <w:tc>
          <w:tcPr>
            <w:tcW w:w="7109" w:type="dxa"/>
          </w:tcPr>
          <w:p>
            <w:pPr>
              <w:pStyle w:val="39"/>
              <w:rPr>
                <w:rFonts w:hint="default" w:eastAsia="宋体"/>
                <w:color w:val="auto"/>
                <w:u w:val="none" w:color="auto"/>
                <w:vertAlign w:val="baseline"/>
                <w:lang w:val="en-US" w:eastAsia="zh-CN"/>
              </w:rPr>
            </w:pPr>
            <w:r>
              <w:rPr>
                <w:rFonts w:hint="default" w:eastAsia="宋体"/>
                <w:color w:val="auto"/>
                <w:u w:val="none" w:color="auto"/>
                <w:vertAlign w:val="baseline"/>
                <w:lang w:val="en-US" w:eastAsia="zh-CN"/>
              </w:rPr>
              <w:drawing>
                <wp:anchor distT="0" distB="0" distL="114300" distR="114300" simplePos="0" relativeHeight="1691768832" behindDoc="0" locked="0" layoutInCell="1" allowOverlap="1">
                  <wp:simplePos x="0" y="0"/>
                  <wp:positionH relativeFrom="column">
                    <wp:posOffset>-6350</wp:posOffset>
                  </wp:positionH>
                  <wp:positionV relativeFrom="paragraph">
                    <wp:posOffset>97790</wp:posOffset>
                  </wp:positionV>
                  <wp:extent cx="4338320" cy="1854835"/>
                  <wp:effectExtent l="0" t="0" r="5080" b="12065"/>
                  <wp:wrapNone/>
                  <wp:docPr id="149" name="图片 149" descr="IMG_20191015_16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IMG_20191015_162404"/>
                          <pic:cNvPicPr>
                            <a:picLocks noChangeAspect="1"/>
                          </pic:cNvPicPr>
                        </pic:nvPicPr>
                        <pic:blipFill>
                          <a:blip r:embed="rId47"/>
                          <a:srcRect t="680" r="8547"/>
                          <a:stretch>
                            <a:fillRect/>
                          </a:stretch>
                        </pic:blipFill>
                        <pic:spPr>
                          <a:xfrm>
                            <a:off x="0" y="0"/>
                            <a:ext cx="4338320" cy="1854835"/>
                          </a:xfrm>
                          <a:prstGeom prst="rect">
                            <a:avLst/>
                          </a:prstGeom>
                        </pic:spPr>
                      </pic:pic>
                    </a:graphicData>
                  </a:graphic>
                </wp:anchor>
              </w:drawing>
            </w: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rPr>
                <w:rFonts w:hint="default" w:eastAsia="宋体"/>
                <w:color w:val="auto"/>
                <w:u w:val="none" w:color="auto"/>
                <w:vertAlign w:val="baseline"/>
                <w:lang w:val="en-US" w:eastAsia="zh-CN"/>
              </w:rPr>
            </w:pPr>
          </w:p>
          <w:p>
            <w:pPr>
              <w:pStyle w:val="39"/>
              <w:ind w:firstLine="2211" w:firstLineChars="1100"/>
              <w:jc w:val="both"/>
              <w:rPr>
                <w:rFonts w:hint="default" w:eastAsia="宋体"/>
                <w:color w:val="auto"/>
                <w:u w:val="none" w:color="auto"/>
                <w:vertAlign w:val="baseline"/>
                <w:lang w:val="en-US" w:eastAsia="zh-CN"/>
              </w:rPr>
            </w:pPr>
            <w:r>
              <w:rPr>
                <w:rFonts w:hint="eastAsia"/>
                <w:color w:val="auto"/>
                <w:u w:val="none" w:color="auto"/>
                <w:vertAlign w:val="baseline"/>
                <w:lang w:val="en-US" w:eastAsia="zh-CN"/>
              </w:rPr>
              <w:t>扩建项目场地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5" w:hRule="atLeast"/>
        </w:trPr>
        <w:tc>
          <w:tcPr>
            <w:tcW w:w="7109" w:type="dxa"/>
          </w:tcPr>
          <w:p>
            <w:pPr>
              <w:pStyle w:val="39"/>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1691763712" behindDoc="0" locked="0" layoutInCell="1" allowOverlap="1">
                  <wp:simplePos x="0" y="0"/>
                  <wp:positionH relativeFrom="column">
                    <wp:posOffset>12700</wp:posOffset>
                  </wp:positionH>
                  <wp:positionV relativeFrom="paragraph">
                    <wp:posOffset>67945</wp:posOffset>
                  </wp:positionV>
                  <wp:extent cx="4368800" cy="2133600"/>
                  <wp:effectExtent l="0" t="0" r="12700" b="0"/>
                  <wp:wrapNone/>
                  <wp:docPr id="144" name="图片 144" descr="IMG_20191015_16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IMG_20191015_161025"/>
                          <pic:cNvPicPr>
                            <a:picLocks noChangeAspect="1"/>
                          </pic:cNvPicPr>
                        </pic:nvPicPr>
                        <pic:blipFill>
                          <a:blip r:embed="rId48"/>
                          <a:stretch>
                            <a:fillRect/>
                          </a:stretch>
                        </pic:blipFill>
                        <pic:spPr>
                          <a:xfrm>
                            <a:off x="0" y="0"/>
                            <a:ext cx="4368800" cy="2133600"/>
                          </a:xfrm>
                          <a:prstGeom prst="rect">
                            <a:avLst/>
                          </a:prstGeom>
                        </pic:spPr>
                      </pic:pic>
                    </a:graphicData>
                  </a:graphic>
                </wp:anchor>
              </w:drawing>
            </w: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原项目生产车间</w:t>
            </w:r>
          </w:p>
        </w:tc>
        <w:tc>
          <w:tcPr>
            <w:tcW w:w="7109" w:type="dxa"/>
          </w:tcPr>
          <w:p>
            <w:pPr>
              <w:pStyle w:val="39"/>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1691766784" behindDoc="0" locked="0" layoutInCell="1" allowOverlap="1">
                  <wp:simplePos x="0" y="0"/>
                  <wp:positionH relativeFrom="column">
                    <wp:posOffset>-6350</wp:posOffset>
                  </wp:positionH>
                  <wp:positionV relativeFrom="paragraph">
                    <wp:posOffset>51435</wp:posOffset>
                  </wp:positionV>
                  <wp:extent cx="4264025" cy="2188845"/>
                  <wp:effectExtent l="0" t="0" r="3175" b="1905"/>
                  <wp:wrapNone/>
                  <wp:docPr id="147" name="图片 147" descr="IMG_20191015_16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IMG_20191015_162356"/>
                          <pic:cNvPicPr>
                            <a:picLocks noChangeAspect="1"/>
                          </pic:cNvPicPr>
                        </pic:nvPicPr>
                        <pic:blipFill>
                          <a:blip r:embed="rId49"/>
                          <a:stretch>
                            <a:fillRect/>
                          </a:stretch>
                        </pic:blipFill>
                        <pic:spPr>
                          <a:xfrm>
                            <a:off x="0" y="0"/>
                            <a:ext cx="4264025" cy="2188845"/>
                          </a:xfrm>
                          <a:prstGeom prst="rect">
                            <a:avLst/>
                          </a:prstGeom>
                        </pic:spPr>
                      </pic:pic>
                    </a:graphicData>
                  </a:graphic>
                </wp:anchor>
              </w:drawing>
            </w: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现有项目厂房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0" w:hRule="atLeast"/>
        </w:trPr>
        <w:tc>
          <w:tcPr>
            <w:tcW w:w="7109" w:type="dxa"/>
          </w:tcPr>
          <w:p>
            <w:pPr>
              <w:pStyle w:val="39"/>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1691764736" behindDoc="0" locked="0" layoutInCell="1" allowOverlap="1">
                  <wp:simplePos x="0" y="0"/>
                  <wp:positionH relativeFrom="column">
                    <wp:posOffset>-6350</wp:posOffset>
                  </wp:positionH>
                  <wp:positionV relativeFrom="paragraph">
                    <wp:posOffset>135255</wp:posOffset>
                  </wp:positionV>
                  <wp:extent cx="4368800" cy="2343785"/>
                  <wp:effectExtent l="0" t="0" r="12700" b="18415"/>
                  <wp:wrapNone/>
                  <wp:docPr id="145" name="图片 145" descr="IMG_20191015_16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IMG_20191015_161529"/>
                          <pic:cNvPicPr>
                            <a:picLocks noChangeAspect="1"/>
                          </pic:cNvPicPr>
                        </pic:nvPicPr>
                        <pic:blipFill>
                          <a:blip r:embed="rId50"/>
                          <a:stretch>
                            <a:fillRect/>
                          </a:stretch>
                        </pic:blipFill>
                        <pic:spPr>
                          <a:xfrm>
                            <a:off x="0" y="0"/>
                            <a:ext cx="4368800" cy="2343785"/>
                          </a:xfrm>
                          <a:prstGeom prst="rect">
                            <a:avLst/>
                          </a:prstGeom>
                        </pic:spPr>
                      </pic:pic>
                    </a:graphicData>
                  </a:graphic>
                </wp:anchor>
              </w:drawing>
            </w: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p>
          <w:p>
            <w:pPr>
              <w:pStyle w:val="39"/>
              <w:ind w:firstLine="1848" w:firstLineChars="8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t>危险废物储存间（原有）</w:t>
            </w:r>
          </w:p>
        </w:tc>
        <w:tc>
          <w:tcPr>
            <w:tcW w:w="7109" w:type="dxa"/>
          </w:tcPr>
          <w:p>
            <w:pPr>
              <w:pStyle w:val="39"/>
              <w:ind w:firstLine="2541" w:firstLineChars="1100"/>
              <w:jc w:val="both"/>
              <w:rPr>
                <w:rFonts w:hint="eastAsia"/>
                <w:color w:val="auto"/>
                <w:sz w:val="24"/>
                <w:szCs w:val="22"/>
                <w:u w:val="none" w:color="auto"/>
                <w:vertAlign w:val="baseline"/>
                <w:lang w:val="en-US" w:eastAsia="zh-CN"/>
              </w:rPr>
            </w:pPr>
            <w:r>
              <w:rPr>
                <w:rFonts w:hint="eastAsia"/>
                <w:color w:val="auto"/>
                <w:sz w:val="24"/>
                <w:szCs w:val="22"/>
                <w:u w:val="none" w:color="auto"/>
                <w:vertAlign w:val="baseline"/>
                <w:lang w:val="en-US" w:eastAsia="zh-CN"/>
              </w:rPr>
              <w:drawing>
                <wp:anchor distT="0" distB="0" distL="114300" distR="114300" simplePos="0" relativeHeight="1691765760" behindDoc="0" locked="0" layoutInCell="1" allowOverlap="1">
                  <wp:simplePos x="0" y="0"/>
                  <wp:positionH relativeFrom="column">
                    <wp:posOffset>22225</wp:posOffset>
                  </wp:positionH>
                  <wp:positionV relativeFrom="paragraph">
                    <wp:posOffset>172085</wp:posOffset>
                  </wp:positionV>
                  <wp:extent cx="4371340" cy="2317115"/>
                  <wp:effectExtent l="0" t="0" r="10160" b="6985"/>
                  <wp:wrapNone/>
                  <wp:docPr id="146" name="图片 146" descr="IMG_20191015_16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IMG_20191015_161536"/>
                          <pic:cNvPicPr>
                            <a:picLocks noChangeAspect="1"/>
                          </pic:cNvPicPr>
                        </pic:nvPicPr>
                        <pic:blipFill>
                          <a:blip r:embed="rId51"/>
                          <a:stretch>
                            <a:fillRect/>
                          </a:stretch>
                        </pic:blipFill>
                        <pic:spPr>
                          <a:xfrm>
                            <a:off x="0" y="0"/>
                            <a:ext cx="4371340" cy="2317115"/>
                          </a:xfrm>
                          <a:prstGeom prst="rect">
                            <a:avLst/>
                          </a:prstGeom>
                        </pic:spPr>
                      </pic:pic>
                    </a:graphicData>
                  </a:graphic>
                </wp:anchor>
              </w:drawing>
            </w: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firstLine="2541" w:firstLineChars="1100"/>
              <w:jc w:val="both"/>
              <w:rPr>
                <w:rFonts w:hint="eastAsia"/>
                <w:color w:val="auto"/>
                <w:sz w:val="24"/>
                <w:szCs w:val="22"/>
                <w:u w:val="none" w:color="auto"/>
                <w:vertAlign w:val="baseline"/>
                <w:lang w:val="en-US" w:eastAsia="zh-CN"/>
              </w:rPr>
            </w:pPr>
          </w:p>
          <w:p>
            <w:pPr>
              <w:pStyle w:val="39"/>
              <w:ind w:left="0" w:leftChars="0" w:firstLine="1155" w:firstLineChars="500"/>
              <w:jc w:val="both"/>
              <w:rPr>
                <w:rFonts w:hint="eastAsia"/>
                <w:color w:val="auto"/>
                <w:sz w:val="24"/>
                <w:szCs w:val="22"/>
                <w:u w:val="none" w:color="auto"/>
                <w:vertAlign w:val="baseline"/>
                <w:lang w:val="en-US" w:eastAsia="zh-CN"/>
              </w:rPr>
            </w:pPr>
            <w:bookmarkStart w:id="15" w:name="_GoBack"/>
            <w:r>
              <w:rPr>
                <w:rFonts w:hint="eastAsia"/>
                <w:color w:val="auto"/>
                <w:sz w:val="24"/>
                <w:szCs w:val="22"/>
                <w:u w:val="none" w:color="auto"/>
                <w:vertAlign w:val="baseline"/>
                <w:lang w:val="en-US" w:eastAsia="zh-CN"/>
              </w:rPr>
              <w:t>喷漆</w:t>
            </w:r>
            <w:bookmarkEnd w:id="15"/>
            <w:r>
              <w:rPr>
                <w:rFonts w:hint="eastAsia"/>
                <w:color w:val="auto"/>
                <w:sz w:val="24"/>
                <w:szCs w:val="22"/>
                <w:u w:val="none" w:color="auto"/>
                <w:vertAlign w:val="baseline"/>
                <w:lang w:val="en-US" w:eastAsia="zh-CN"/>
              </w:rPr>
              <w:t>废气排气筒（右边排气筒，左边排气筒已废弃）</w:t>
            </w:r>
          </w:p>
        </w:tc>
      </w:tr>
    </w:tbl>
    <w:p>
      <w:pPr>
        <w:pStyle w:val="39"/>
        <w:ind w:left="0" w:leftChars="0" w:firstLine="0" w:firstLineChars="0"/>
        <w:rPr>
          <w:rFonts w:hint="default" w:eastAsia="宋体"/>
          <w:color w:val="auto"/>
          <w:u w:val="none" w:color="auto"/>
          <w:lang w:val="en-US" w:eastAsia="zh-CN"/>
        </w:rPr>
      </w:pPr>
    </w:p>
    <w:sectPr>
      <w:pgSz w:w="16838" w:h="11906" w:orient="landscape"/>
      <w:pgMar w:top="1474" w:right="1418" w:bottom="1134" w:left="1418" w:header="851" w:footer="992" w:gutter="0"/>
      <w:pgBorders>
        <w:top w:val="none" w:sz="0" w:space="0"/>
        <w:left w:val="none" w:sz="0" w:space="0"/>
        <w:bottom w:val="none" w:sz="0" w:space="0"/>
        <w:right w:val="none" w:sz="0" w:space="0"/>
      </w:pgBorders>
      <w:cols w:space="0" w:num="1"/>
      <w:rtlGutter w:val="0"/>
      <w:docGrid w:type="linesAndChars" w:linePitch="332" w:charSpace="-20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Arial Unicode MS">
    <w:altName w:val="宋体"/>
    <w:panose1 w:val="020B0604020202020204"/>
    <w:charset w:val="86"/>
    <w:family w:val="swiss"/>
    <w:pitch w:val="default"/>
    <w:sig w:usb0="00000000" w:usb1="00000000" w:usb2="0000003F" w:usb3="00000000" w:csb0="003F01FF" w:csb1="00000000"/>
  </w:font>
  <w:font w:name="仿宋_GB2312">
    <w:altName w:val="仿宋"/>
    <w:panose1 w:val="02010609030101010101"/>
    <w:charset w:val="86"/>
    <w:family w:val="modern"/>
    <w:pitch w:val="default"/>
    <w:sig w:usb0="00000000" w:usb1="00000000" w:usb2="00000010" w:usb3="00000000" w:csb0="00040000" w:csb1="00000000"/>
  </w:font>
  <w:font w:name="font-weight : 400">
    <w:altName w:val="Courier New"/>
    <w:panose1 w:val="00000000000000000000"/>
    <w:charset w:val="00"/>
    <w:family w:val="auto"/>
    <w:pitch w:val="default"/>
    <w:sig w:usb0="00000000" w:usb1="00000000" w:usb2="00000000" w:usb3="00000000" w:csb0="00040001" w:csb1="00000000"/>
  </w:font>
  <w:font w:name="CG Times (W1)">
    <w:altName w:val="Times New Roman"/>
    <w:panose1 w:val="00000000000000000000"/>
    <w:charset w:val="00"/>
    <w:family w:val="modern"/>
    <w:pitch w:val="default"/>
    <w:sig w:usb0="00000000" w:usb1="00000000" w:usb2="00000000" w:usb3="00000000" w:csb0="00000001" w:csb1="00000000"/>
  </w:font>
  <w:font w:name="仿宋体">
    <w:altName w:val="宋体"/>
    <w:panose1 w:val="00000000000000000000"/>
    <w:charset w:val="86"/>
    <w:family w:val="roma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TimesNewRomanPSMT">
    <w:altName w:val="Times New Roman"/>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both"/>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tabs>
        <w:tab w:val="center" w:pos="4450"/>
        <w:tab w:val="clear" w:pos="4153"/>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26"/>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OqXm5zwAAAAUB&#10;AAAPAAAAAAAAAAEAIAAAACIAAABkcnMvZG93bnJldi54bWxQSwECFAAUAAAACACHTuJA5gQ/F+sB&#10;AAC3AwAADgAAAAAAAAABACAAAAAeAQAAZHJzL2Uyb0RvYy54bWxQSwUGAAAAAAYABgBZAQAAewUA&#10;AAAA&#10;">
              <v:fill on="f" focussize="0,0"/>
              <v:stroke on="f"/>
              <v:imagedata o:title=""/>
              <o:lock v:ext="edit" aspectratio="f"/>
              <v:textbox inset="0mm,0mm,0mm,0mm" style="mso-fit-shape-to-text:t;">
                <w:txbxContent>
                  <w:p>
                    <w:pPr>
                      <w:pStyle w:val="26"/>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57785" cy="131445"/>
              <wp:effectExtent l="1905" t="0" r="0" b="0"/>
              <wp:wrapNone/>
              <wp:docPr id="2" name="文本框 9"/>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6"/>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9" o:spid="_x0000_s1026" o:spt="202" type="#_x0000_t202" style="position:absolute;left:0pt;margin-top:0pt;height:10.35pt;width:4.55pt;mso-position-horizontal:center;mso-position-horizontal-relative:margin;mso-wrap-style:none;z-index:251657216;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Dn&#10;PBtF7wEAALMDAAAOAAAAAAAAAAEAIAAAAB8BAABkcnMvZTJvRG9jLnhtbFBLBQYAAAAABgAGAFkB&#10;AACABQAAAAA=&#10;">
              <v:fill on="f" focussize="0,0"/>
              <v:stroke on="f"/>
              <v:imagedata o:title=""/>
              <o:lock v:ext="edit" aspectratio="f"/>
              <v:textbox inset="0mm,0mm,0mm,0mm" style="mso-fit-shape-to-text:t;">
                <w:txbxContent>
                  <w:p>
                    <w:pPr>
                      <w:pStyle w:val="26"/>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57785" cy="131445"/>
              <wp:effectExtent l="1905" t="0" r="0" b="3810"/>
              <wp:wrapNone/>
              <wp:docPr id="1"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26"/>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0.35pt;width:4.55pt;mso-position-horizontal:center;mso-position-horizontal-relative:margin;mso-wrap-style:none;z-index:251658240;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L3UTQ&#10;AAAAAgEAAA8AAAAAAAAAAQAgAAAAIgAAAGRycy9kb3ducmV2LnhtbFBLAQIUABQAAAAIAIdO4kA/&#10;43xc7wEAALQDAAAOAAAAAAAAAAEAIAAAAB8BAABkcnMvZTJvRG9jLnhtbFBLBQYAAAAABgAGAFkB&#10;AACABQAAAAA=&#10;">
              <v:fill on="f" focussize="0,0"/>
              <v:stroke on="f"/>
              <v:imagedata o:title=""/>
              <o:lock v:ext="edit" aspectratio="f"/>
              <v:textbox inset="0mm,0mm,0mm,0mm" style="mso-fit-shape-to-text:t;">
                <w:txbxContent>
                  <w:p>
                    <w:pPr>
                      <w:pStyle w:val="26"/>
                    </w:pPr>
                    <w:r>
                      <w:rPr>
                        <w:rFonts w:hint="eastAsia"/>
                      </w:rPr>
                      <w:fldChar w:fldCharType="begin"/>
                    </w:r>
                    <w:r>
                      <w:rPr>
                        <w:rFonts w:hint="eastAsia"/>
                      </w:rPr>
                      <w:instrText xml:space="preserve"> PAGE  \* MERGEFORMAT </w:instrText>
                    </w:r>
                    <w:r>
                      <w:rPr>
                        <w:rFonts w:hint="eastAsia"/>
                      </w:rPr>
                      <w:fldChar w:fldCharType="separate"/>
                    </w:r>
                    <w:r>
                      <w:t>33</w:t>
                    </w:r>
                    <w:r>
                      <w:rPr>
                        <w:rFonts w:hint="eastAsia"/>
                      </w:rPr>
                      <w:fldChar w:fldCharType="end"/>
                    </w:r>
                  </w:p>
                </w:txbxContent>
              </v:textbox>
            </v:shape>
          </w:pict>
        </mc:Fallback>
      </mc:AlternateContent>
    </w:r>
  </w:p>
  <w:p>
    <w:pPr>
      <w:pStyle w:val="2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left" w:pos="7667"/>
        <w:tab w:val="clear" w:pos="4153"/>
      </w:tabs>
    </w:pPr>
    <w:r>
      <w:rPr>
        <w:rFonts w:hint="eastAsia"/>
        <w:szCs w:val="18"/>
        <w:lang w:eastAsia="zh-CN"/>
      </w:rPr>
      <w:t>“文星”节能变压器产品革新及技术改造项目</w:t>
    </w:r>
    <w:r>
      <w:rPr>
        <w:szCs w:val="18"/>
      </w:rPr>
      <w:t>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C602D4A"/>
    <w:multiLevelType w:val="singleLevel"/>
    <w:tmpl w:val="8C602D4A"/>
    <w:lvl w:ilvl="0" w:tentative="0">
      <w:start w:val="2"/>
      <w:numFmt w:val="chineseCounting"/>
      <w:suff w:val="nothing"/>
      <w:lvlText w:val="%1、"/>
      <w:lvlJc w:val="left"/>
      <w:rPr>
        <w:rFonts w:hint="eastAsia"/>
      </w:rPr>
    </w:lvl>
  </w:abstractNum>
  <w:abstractNum w:abstractNumId="1">
    <w:nsid w:val="C4FA6154"/>
    <w:multiLevelType w:val="singleLevel"/>
    <w:tmpl w:val="C4FA6154"/>
    <w:lvl w:ilvl="0" w:tentative="0">
      <w:start w:val="1"/>
      <w:numFmt w:val="decimal"/>
      <w:suff w:val="nothing"/>
      <w:lvlText w:val="%1、"/>
      <w:lvlJc w:val="left"/>
    </w:lvl>
  </w:abstractNum>
  <w:abstractNum w:abstractNumId="2">
    <w:nsid w:val="C6B4C396"/>
    <w:multiLevelType w:val="singleLevel"/>
    <w:tmpl w:val="C6B4C396"/>
    <w:lvl w:ilvl="0" w:tentative="0">
      <w:start w:val="1"/>
      <w:numFmt w:val="decimal"/>
      <w:suff w:val="nothing"/>
      <w:lvlText w:val="%1、"/>
      <w:lvlJc w:val="left"/>
    </w:lvl>
  </w:abstractNum>
  <w:abstractNum w:abstractNumId="3">
    <w:nsid w:val="EE573DEC"/>
    <w:multiLevelType w:val="singleLevel"/>
    <w:tmpl w:val="EE573DEC"/>
    <w:lvl w:ilvl="0" w:tentative="0">
      <w:start w:val="1"/>
      <w:numFmt w:val="decimal"/>
      <w:pStyle w:val="30"/>
      <w:lvlText w:val="%1."/>
      <w:lvlJc w:val="left"/>
      <w:pPr>
        <w:tabs>
          <w:tab w:val="left" w:pos="6902"/>
        </w:tabs>
        <w:ind w:left="6902" w:hanging="360"/>
      </w:pPr>
    </w:lvl>
  </w:abstractNum>
  <w:abstractNum w:abstractNumId="4">
    <w:nsid w:val="00000006"/>
    <w:multiLevelType w:val="multilevel"/>
    <w:tmpl w:val="00000006"/>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lvlText w:val="%2."/>
      <w:lvlJc w:val="left"/>
      <w:pPr>
        <w:ind w:left="0" w:firstLine="0"/>
      </w:pPr>
      <w:rPr>
        <w:rFonts w:hint="eastAsia"/>
        <w:b w:val="0"/>
        <w:i w:val="0"/>
        <w:sz w:val="32"/>
        <w:szCs w:val="32"/>
      </w:rPr>
    </w:lvl>
    <w:lvl w:ilvl="2" w:tentative="0">
      <w:start w:val="1"/>
      <w:numFmt w:val="decimal"/>
      <w:pStyle w:val="54"/>
      <w:suff w:val="nothing"/>
      <w:lvlText w:val="%1%2.%3　"/>
      <w:lvlJc w:val="left"/>
      <w:pPr>
        <w:ind w:left="426" w:firstLine="0"/>
      </w:pPr>
      <w:rPr>
        <w:rFonts w:hint="eastAsia" w:ascii="黑体" w:hAnsi="Times New Roman" w:eastAsia="黑体"/>
        <w:b w:val="0"/>
        <w:i w:val="0"/>
        <w:sz w:val="28"/>
        <w:szCs w:val="28"/>
      </w:rPr>
    </w:lvl>
    <w:lvl w:ilvl="3" w:tentative="0">
      <w:start w:val="1"/>
      <w:numFmt w:val="decimal"/>
      <w:pStyle w:val="53"/>
      <w:suff w:val="nothing"/>
      <w:lvlText w:val="%1%2.%3.%4　"/>
      <w:lvlJc w:val="left"/>
      <w:pPr>
        <w:ind w:left="0" w:firstLine="0"/>
      </w:pPr>
      <w:rPr>
        <w:rFonts w:hint="eastAsia" w:ascii="黑体" w:hAnsi="Times New Roman" w:eastAsia="黑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5">
    <w:nsid w:val="0000000E"/>
    <w:multiLevelType w:val="singleLevel"/>
    <w:tmpl w:val="0000000E"/>
    <w:lvl w:ilvl="0" w:tentative="0">
      <w:start w:val="1"/>
      <w:numFmt w:val="chineseCounting"/>
      <w:suff w:val="nothing"/>
      <w:lvlText w:val="%1、"/>
      <w:lvlJc w:val="left"/>
    </w:lvl>
  </w:abstractNum>
  <w:abstractNum w:abstractNumId="6">
    <w:nsid w:val="0B377108"/>
    <w:multiLevelType w:val="singleLevel"/>
    <w:tmpl w:val="0B377108"/>
    <w:lvl w:ilvl="0" w:tentative="0">
      <w:start w:val="2"/>
      <w:numFmt w:val="decimal"/>
      <w:suff w:val="nothing"/>
      <w:lvlText w:val="（%1）"/>
      <w:lvlJc w:val="left"/>
    </w:lvl>
  </w:abstractNum>
  <w:abstractNum w:abstractNumId="7">
    <w:nsid w:val="0F722FDC"/>
    <w:multiLevelType w:val="multilevel"/>
    <w:tmpl w:val="0F722FDC"/>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C18019C"/>
    <w:multiLevelType w:val="multilevel"/>
    <w:tmpl w:val="1C18019C"/>
    <w:lvl w:ilvl="0" w:tentative="0">
      <w:start w:val="1"/>
      <w:numFmt w:val="decimal"/>
      <w:lvlText w:val="（%1）"/>
      <w:lvlJc w:val="left"/>
      <w:pPr>
        <w:ind w:left="1120" w:hanging="720"/>
      </w:pPr>
      <w:rPr>
        <w:rFonts w:hint="default"/>
      </w:rPr>
    </w:lvl>
    <w:lvl w:ilvl="1" w:tentative="0">
      <w:start w:val="1"/>
      <w:numFmt w:val="decimalEnclosedCircle"/>
      <w:lvlText w:val="%2"/>
      <w:lvlJc w:val="left"/>
      <w:pPr>
        <w:ind w:left="1180" w:hanging="360"/>
      </w:pPr>
      <w:rPr>
        <w:rFonts w:hint="default" w:ascii="宋体" w:hAnsi="宋体"/>
      </w:r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9">
    <w:nsid w:val="45461847"/>
    <w:multiLevelType w:val="singleLevel"/>
    <w:tmpl w:val="45461847"/>
    <w:lvl w:ilvl="0" w:tentative="0">
      <w:start w:val="1"/>
      <w:numFmt w:val="decimal"/>
      <w:suff w:val="nothing"/>
      <w:lvlText w:val="%1、"/>
      <w:lvlJc w:val="left"/>
    </w:lvl>
  </w:abstractNum>
  <w:abstractNum w:abstractNumId="10">
    <w:nsid w:val="56EFB405"/>
    <w:multiLevelType w:val="multilevel"/>
    <w:tmpl w:val="56EFB405"/>
    <w:lvl w:ilvl="0" w:tentative="0">
      <w:start w:val="1"/>
      <w:numFmt w:val="decimal"/>
      <w:pStyle w:val="108"/>
      <w:lvlText w:val="第%1章"/>
      <w:lvlJc w:val="left"/>
      <w:pPr>
        <w:ind w:left="1800" w:firstLine="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1" w:tentative="0">
      <w:start w:val="1"/>
      <w:numFmt w:val="decimal"/>
      <w:pStyle w:val="107"/>
      <w:suff w:val="space"/>
      <w:lvlText w:val="%1.%2"/>
      <w:lvlJc w:val="left"/>
      <w:pPr>
        <w:ind w:left="0" w:firstLine="0"/>
      </w:pPr>
      <w:rPr>
        <w:rFonts w:hint="eastAsia" w:eastAsia="Times New Roman"/>
      </w:rPr>
    </w:lvl>
    <w:lvl w:ilvl="2" w:tentative="0">
      <w:start w:val="1"/>
      <w:numFmt w:val="decimal"/>
      <w:suff w:val="space"/>
      <w:lvlText w:val="%1.%2.%3"/>
      <w:lvlJc w:val="left"/>
      <w:pPr>
        <w:ind w:left="600" w:firstLine="0"/>
      </w:pPr>
      <w:rPr>
        <w:rFonts w:hint="eastAsia" w:ascii="Times New Roman" w:hAnsi="Times New Roman" w:eastAsia="Times New Roman"/>
        <w:dstrike w:val="0"/>
        <w:snapToGrid/>
        <w:kern w:val="0"/>
        <w:sz w:val="28"/>
        <w:szCs w:val="28"/>
        <w:vertAlign w:val="baseline"/>
      </w:rPr>
    </w:lvl>
    <w:lvl w:ilvl="3" w:tentative="0">
      <w:start w:val="1"/>
      <w:numFmt w:val="decimal"/>
      <w:lvlText w:val="%1.%2.%3.%4"/>
      <w:lvlJc w:val="left"/>
      <w:pPr>
        <w:ind w:left="6271" w:hanging="708"/>
      </w:pPr>
      <w:rPr>
        <w:rFonts w:hint="eastAsia"/>
      </w:rPr>
    </w:lvl>
    <w:lvl w:ilvl="4" w:tentative="0">
      <w:start w:val="1"/>
      <w:numFmt w:val="decimal"/>
      <w:lvlText w:val="%1.%2.%3.%4.%5"/>
      <w:lvlJc w:val="left"/>
      <w:pPr>
        <w:ind w:left="6838" w:hanging="850"/>
      </w:pPr>
      <w:rPr>
        <w:rFonts w:hint="eastAsia"/>
      </w:rPr>
    </w:lvl>
    <w:lvl w:ilvl="5" w:tentative="0">
      <w:start w:val="1"/>
      <w:numFmt w:val="decimal"/>
      <w:lvlText w:val="%1.%2.%3.%4.%5.%6"/>
      <w:lvlJc w:val="left"/>
      <w:pPr>
        <w:ind w:left="7547" w:hanging="1134"/>
      </w:pPr>
      <w:rPr>
        <w:rFonts w:hint="eastAsia"/>
      </w:rPr>
    </w:lvl>
    <w:lvl w:ilvl="6" w:tentative="0">
      <w:start w:val="1"/>
      <w:numFmt w:val="decimal"/>
      <w:lvlText w:val="%1.%2.%3.%4.%5.%6.%7"/>
      <w:lvlJc w:val="left"/>
      <w:pPr>
        <w:ind w:left="8114" w:hanging="1276"/>
      </w:pPr>
      <w:rPr>
        <w:rFonts w:hint="eastAsia"/>
      </w:rPr>
    </w:lvl>
    <w:lvl w:ilvl="7" w:tentative="0">
      <w:start w:val="1"/>
      <w:numFmt w:val="decimal"/>
      <w:lvlText w:val="%1.%2.%3.%4.%5.%6.%7.%8"/>
      <w:lvlJc w:val="left"/>
      <w:pPr>
        <w:ind w:left="8681" w:hanging="1418"/>
      </w:pPr>
      <w:rPr>
        <w:rFonts w:hint="eastAsia"/>
      </w:rPr>
    </w:lvl>
    <w:lvl w:ilvl="8" w:tentative="0">
      <w:start w:val="1"/>
      <w:numFmt w:val="decimal"/>
      <w:lvlText w:val="%1.%2.%3.%4.%5.%6.%7.%8.%9"/>
      <w:lvlJc w:val="left"/>
      <w:pPr>
        <w:ind w:left="9389" w:hanging="1700"/>
      </w:pPr>
      <w:rPr>
        <w:rFonts w:hint="eastAsia"/>
      </w:rPr>
    </w:lvl>
  </w:abstractNum>
  <w:abstractNum w:abstractNumId="11">
    <w:nsid w:val="58F2FF14"/>
    <w:multiLevelType w:val="singleLevel"/>
    <w:tmpl w:val="58F2FF14"/>
    <w:lvl w:ilvl="0" w:tentative="0">
      <w:start w:val="2"/>
      <w:numFmt w:val="decimal"/>
      <w:suff w:val="nothing"/>
      <w:lvlText w:val="%1、"/>
      <w:lvlJc w:val="left"/>
    </w:lvl>
  </w:abstractNum>
  <w:abstractNum w:abstractNumId="12">
    <w:nsid w:val="621F0DDE"/>
    <w:multiLevelType w:val="multilevel"/>
    <w:tmpl w:val="621F0DDE"/>
    <w:lvl w:ilvl="0" w:tentative="0">
      <w:start w:val="1"/>
      <w:numFmt w:val="japaneseCounting"/>
      <w:pStyle w:val="12"/>
      <w:lvlText w:val="%1、"/>
      <w:lvlJc w:val="left"/>
      <w:pPr>
        <w:tabs>
          <w:tab w:val="left" w:pos="962"/>
        </w:tabs>
        <w:ind w:left="962" w:hanging="480"/>
      </w:pPr>
      <w:rPr>
        <w:rFonts w:hint="default"/>
      </w:rPr>
    </w:lvl>
    <w:lvl w:ilvl="1" w:tentative="0">
      <w:start w:val="1"/>
      <w:numFmt w:val="lowerLetter"/>
      <w:lvlText w:val="%2)"/>
      <w:lvlJc w:val="left"/>
      <w:pPr>
        <w:tabs>
          <w:tab w:val="left" w:pos="1322"/>
        </w:tabs>
        <w:ind w:left="1322" w:hanging="420"/>
      </w:pPr>
    </w:lvl>
    <w:lvl w:ilvl="2" w:tentative="0">
      <w:start w:val="1"/>
      <w:numFmt w:val="lowerRoman"/>
      <w:lvlText w:val="%3."/>
      <w:lvlJc w:val="right"/>
      <w:pPr>
        <w:tabs>
          <w:tab w:val="left" w:pos="1742"/>
        </w:tabs>
        <w:ind w:left="1742" w:hanging="420"/>
      </w:pPr>
    </w:lvl>
    <w:lvl w:ilvl="3" w:tentative="0">
      <w:start w:val="1"/>
      <w:numFmt w:val="decimal"/>
      <w:lvlText w:val="%4."/>
      <w:lvlJc w:val="left"/>
      <w:pPr>
        <w:tabs>
          <w:tab w:val="left" w:pos="2162"/>
        </w:tabs>
        <w:ind w:left="2162" w:hanging="420"/>
      </w:pPr>
    </w:lvl>
    <w:lvl w:ilvl="4" w:tentative="0">
      <w:start w:val="1"/>
      <w:numFmt w:val="lowerLetter"/>
      <w:lvlText w:val="%5)"/>
      <w:lvlJc w:val="left"/>
      <w:pPr>
        <w:tabs>
          <w:tab w:val="left" w:pos="2582"/>
        </w:tabs>
        <w:ind w:left="2582" w:hanging="420"/>
      </w:pPr>
    </w:lvl>
    <w:lvl w:ilvl="5" w:tentative="0">
      <w:start w:val="1"/>
      <w:numFmt w:val="lowerRoman"/>
      <w:lvlText w:val="%6."/>
      <w:lvlJc w:val="right"/>
      <w:pPr>
        <w:tabs>
          <w:tab w:val="left" w:pos="3002"/>
        </w:tabs>
        <w:ind w:left="3002" w:hanging="420"/>
      </w:pPr>
    </w:lvl>
    <w:lvl w:ilvl="6" w:tentative="0">
      <w:start w:val="1"/>
      <w:numFmt w:val="decimal"/>
      <w:lvlText w:val="%7."/>
      <w:lvlJc w:val="left"/>
      <w:pPr>
        <w:tabs>
          <w:tab w:val="left" w:pos="3422"/>
        </w:tabs>
        <w:ind w:left="3422" w:hanging="420"/>
      </w:pPr>
    </w:lvl>
    <w:lvl w:ilvl="7" w:tentative="0">
      <w:start w:val="1"/>
      <w:numFmt w:val="lowerLetter"/>
      <w:lvlText w:val="%8)"/>
      <w:lvlJc w:val="left"/>
      <w:pPr>
        <w:tabs>
          <w:tab w:val="left" w:pos="3842"/>
        </w:tabs>
        <w:ind w:left="3842" w:hanging="420"/>
      </w:pPr>
    </w:lvl>
    <w:lvl w:ilvl="8" w:tentative="0">
      <w:start w:val="1"/>
      <w:numFmt w:val="lowerRoman"/>
      <w:lvlText w:val="%9."/>
      <w:lvlJc w:val="right"/>
      <w:pPr>
        <w:tabs>
          <w:tab w:val="left" w:pos="4262"/>
        </w:tabs>
        <w:ind w:left="4262" w:hanging="420"/>
      </w:pPr>
    </w:lvl>
  </w:abstractNum>
  <w:abstractNum w:abstractNumId="13">
    <w:nsid w:val="6BC479B0"/>
    <w:multiLevelType w:val="multilevel"/>
    <w:tmpl w:val="6BC479B0"/>
    <w:lvl w:ilvl="0" w:tentative="0">
      <w:start w:val="1"/>
      <w:numFmt w:val="decimal"/>
      <w:lvlText w:val="%1、"/>
      <w:lvlJc w:val="left"/>
      <w:pPr>
        <w:ind w:left="562" w:hanging="420"/>
      </w:pPr>
      <w:rPr>
        <w:rFonts w:hint="default" w:ascii="Times New Roman" w:hAnsi="Times New Roman" w:eastAsia="宋体"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14">
    <w:nsid w:val="7397EC63"/>
    <w:multiLevelType w:val="singleLevel"/>
    <w:tmpl w:val="7397EC63"/>
    <w:lvl w:ilvl="0" w:tentative="0">
      <w:start w:val="1"/>
      <w:numFmt w:val="decimal"/>
      <w:suff w:val="nothing"/>
      <w:lvlText w:val="（%1）"/>
      <w:lvlJc w:val="left"/>
    </w:lvl>
  </w:abstractNum>
  <w:num w:numId="1">
    <w:abstractNumId w:val="12"/>
  </w:num>
  <w:num w:numId="2">
    <w:abstractNumId w:val="3"/>
  </w:num>
  <w:num w:numId="3">
    <w:abstractNumId w:val="4"/>
  </w:num>
  <w:num w:numId="4">
    <w:abstractNumId w:val="10"/>
  </w:num>
  <w:num w:numId="5">
    <w:abstractNumId w:val="2"/>
  </w:num>
  <w:num w:numId="6">
    <w:abstractNumId w:val="7"/>
  </w:num>
  <w:num w:numId="7">
    <w:abstractNumId w:val="9"/>
  </w:num>
  <w:num w:numId="8">
    <w:abstractNumId w:val="1"/>
  </w:num>
  <w:num w:numId="9">
    <w:abstractNumId w:val="6"/>
  </w:num>
  <w:num w:numId="10">
    <w:abstractNumId w:val="14"/>
  </w:num>
  <w:num w:numId="11">
    <w:abstractNumId w:val="8"/>
  </w:num>
  <w:num w:numId="12">
    <w:abstractNumId w:val="11"/>
  </w:num>
  <w:num w:numId="13">
    <w:abstractNumId w:val="5"/>
  </w:num>
  <w:num w:numId="14">
    <w:abstractNumId w:val="0"/>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6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D0"/>
    <w:rsid w:val="0000160B"/>
    <w:rsid w:val="000026D9"/>
    <w:rsid w:val="00002AE4"/>
    <w:rsid w:val="00006E26"/>
    <w:rsid w:val="000122A5"/>
    <w:rsid w:val="00013A83"/>
    <w:rsid w:val="00017209"/>
    <w:rsid w:val="000210A2"/>
    <w:rsid w:val="00031DA1"/>
    <w:rsid w:val="00033313"/>
    <w:rsid w:val="00034232"/>
    <w:rsid w:val="00034B96"/>
    <w:rsid w:val="0003541E"/>
    <w:rsid w:val="00036963"/>
    <w:rsid w:val="00037E3C"/>
    <w:rsid w:val="00040F1C"/>
    <w:rsid w:val="000423BC"/>
    <w:rsid w:val="00043577"/>
    <w:rsid w:val="000435F3"/>
    <w:rsid w:val="00043CA2"/>
    <w:rsid w:val="00044092"/>
    <w:rsid w:val="00044145"/>
    <w:rsid w:val="00045F96"/>
    <w:rsid w:val="000461C5"/>
    <w:rsid w:val="00046D1B"/>
    <w:rsid w:val="00054858"/>
    <w:rsid w:val="00055614"/>
    <w:rsid w:val="00055FE1"/>
    <w:rsid w:val="000564D4"/>
    <w:rsid w:val="00057513"/>
    <w:rsid w:val="00060986"/>
    <w:rsid w:val="0006505F"/>
    <w:rsid w:val="00066EE4"/>
    <w:rsid w:val="0006777B"/>
    <w:rsid w:val="00080666"/>
    <w:rsid w:val="00081D7C"/>
    <w:rsid w:val="00083B87"/>
    <w:rsid w:val="00084610"/>
    <w:rsid w:val="000852BD"/>
    <w:rsid w:val="0009217D"/>
    <w:rsid w:val="00093BD6"/>
    <w:rsid w:val="00096071"/>
    <w:rsid w:val="000962CF"/>
    <w:rsid w:val="00096C15"/>
    <w:rsid w:val="000A08B6"/>
    <w:rsid w:val="000A139F"/>
    <w:rsid w:val="000A2CCB"/>
    <w:rsid w:val="000A4674"/>
    <w:rsid w:val="000A6B56"/>
    <w:rsid w:val="000A6BE3"/>
    <w:rsid w:val="000A7206"/>
    <w:rsid w:val="000A79D4"/>
    <w:rsid w:val="000B217A"/>
    <w:rsid w:val="000B2F17"/>
    <w:rsid w:val="000B7022"/>
    <w:rsid w:val="000C0211"/>
    <w:rsid w:val="000C2A6F"/>
    <w:rsid w:val="000C35A3"/>
    <w:rsid w:val="000C514F"/>
    <w:rsid w:val="000C70EB"/>
    <w:rsid w:val="000C7DEF"/>
    <w:rsid w:val="000D0277"/>
    <w:rsid w:val="000D09A4"/>
    <w:rsid w:val="000D3C5B"/>
    <w:rsid w:val="000D3E66"/>
    <w:rsid w:val="000D7FE9"/>
    <w:rsid w:val="000E7226"/>
    <w:rsid w:val="000E7D99"/>
    <w:rsid w:val="000F1C1E"/>
    <w:rsid w:val="000F1FEF"/>
    <w:rsid w:val="000F2DB2"/>
    <w:rsid w:val="000F458B"/>
    <w:rsid w:val="000F49F3"/>
    <w:rsid w:val="000F58D5"/>
    <w:rsid w:val="000F6C7B"/>
    <w:rsid w:val="00101077"/>
    <w:rsid w:val="00102286"/>
    <w:rsid w:val="0010284E"/>
    <w:rsid w:val="00111C91"/>
    <w:rsid w:val="001123C0"/>
    <w:rsid w:val="0011388B"/>
    <w:rsid w:val="001138C9"/>
    <w:rsid w:val="00113D94"/>
    <w:rsid w:val="00115B96"/>
    <w:rsid w:val="0012211C"/>
    <w:rsid w:val="00124092"/>
    <w:rsid w:val="00124D30"/>
    <w:rsid w:val="00125707"/>
    <w:rsid w:val="00126619"/>
    <w:rsid w:val="00126D58"/>
    <w:rsid w:val="001313B6"/>
    <w:rsid w:val="00131552"/>
    <w:rsid w:val="001340C6"/>
    <w:rsid w:val="00134706"/>
    <w:rsid w:val="00135AF9"/>
    <w:rsid w:val="00136143"/>
    <w:rsid w:val="00143B16"/>
    <w:rsid w:val="00146989"/>
    <w:rsid w:val="001469CC"/>
    <w:rsid w:val="00150C66"/>
    <w:rsid w:val="00150F74"/>
    <w:rsid w:val="00153DD6"/>
    <w:rsid w:val="00153ED3"/>
    <w:rsid w:val="00154252"/>
    <w:rsid w:val="00161F27"/>
    <w:rsid w:val="00163675"/>
    <w:rsid w:val="00167386"/>
    <w:rsid w:val="00172A27"/>
    <w:rsid w:val="0017512B"/>
    <w:rsid w:val="00175F80"/>
    <w:rsid w:val="001826DE"/>
    <w:rsid w:val="00182B96"/>
    <w:rsid w:val="00184357"/>
    <w:rsid w:val="001854E9"/>
    <w:rsid w:val="00185A07"/>
    <w:rsid w:val="0018609B"/>
    <w:rsid w:val="00187806"/>
    <w:rsid w:val="00187DAB"/>
    <w:rsid w:val="00187E34"/>
    <w:rsid w:val="001918A7"/>
    <w:rsid w:val="00194C80"/>
    <w:rsid w:val="0019510A"/>
    <w:rsid w:val="00195EDD"/>
    <w:rsid w:val="001A168D"/>
    <w:rsid w:val="001A4313"/>
    <w:rsid w:val="001A454D"/>
    <w:rsid w:val="001B0AFD"/>
    <w:rsid w:val="001B1766"/>
    <w:rsid w:val="001B1A48"/>
    <w:rsid w:val="001C1C09"/>
    <w:rsid w:val="001C273F"/>
    <w:rsid w:val="001D23F8"/>
    <w:rsid w:val="001D4EAE"/>
    <w:rsid w:val="001E1D10"/>
    <w:rsid w:val="001E2E76"/>
    <w:rsid w:val="001F072F"/>
    <w:rsid w:val="001F0A18"/>
    <w:rsid w:val="001F1929"/>
    <w:rsid w:val="001F26C3"/>
    <w:rsid w:val="001F29D8"/>
    <w:rsid w:val="001F30E9"/>
    <w:rsid w:val="001F338C"/>
    <w:rsid w:val="001F3458"/>
    <w:rsid w:val="002009F8"/>
    <w:rsid w:val="00201D54"/>
    <w:rsid w:val="00203D9B"/>
    <w:rsid w:val="0020440C"/>
    <w:rsid w:val="00210ACF"/>
    <w:rsid w:val="00212419"/>
    <w:rsid w:val="00213FC0"/>
    <w:rsid w:val="00222C8D"/>
    <w:rsid w:val="0022316C"/>
    <w:rsid w:val="00223502"/>
    <w:rsid w:val="00223791"/>
    <w:rsid w:val="00226A1F"/>
    <w:rsid w:val="00230B07"/>
    <w:rsid w:val="00232E12"/>
    <w:rsid w:val="002352A4"/>
    <w:rsid w:val="002364F0"/>
    <w:rsid w:val="0024212E"/>
    <w:rsid w:val="002438D3"/>
    <w:rsid w:val="002439B6"/>
    <w:rsid w:val="00245793"/>
    <w:rsid w:val="002458B2"/>
    <w:rsid w:val="0024711D"/>
    <w:rsid w:val="00251B48"/>
    <w:rsid w:val="00252976"/>
    <w:rsid w:val="002535D9"/>
    <w:rsid w:val="002558D2"/>
    <w:rsid w:val="002561EB"/>
    <w:rsid w:val="00256EBD"/>
    <w:rsid w:val="002608BC"/>
    <w:rsid w:val="00266081"/>
    <w:rsid w:val="00267920"/>
    <w:rsid w:val="002710A7"/>
    <w:rsid w:val="00272E74"/>
    <w:rsid w:val="002743E7"/>
    <w:rsid w:val="002746C7"/>
    <w:rsid w:val="00274D8E"/>
    <w:rsid w:val="00275EC7"/>
    <w:rsid w:val="00277558"/>
    <w:rsid w:val="00282994"/>
    <w:rsid w:val="00286B05"/>
    <w:rsid w:val="00286CEC"/>
    <w:rsid w:val="0028788E"/>
    <w:rsid w:val="002904FC"/>
    <w:rsid w:val="00290A50"/>
    <w:rsid w:val="00291059"/>
    <w:rsid w:val="00294554"/>
    <w:rsid w:val="00296D93"/>
    <w:rsid w:val="0029777A"/>
    <w:rsid w:val="002A1195"/>
    <w:rsid w:val="002A52D0"/>
    <w:rsid w:val="002A6CF1"/>
    <w:rsid w:val="002A6F41"/>
    <w:rsid w:val="002A725B"/>
    <w:rsid w:val="002A7D95"/>
    <w:rsid w:val="002B1D2A"/>
    <w:rsid w:val="002B372E"/>
    <w:rsid w:val="002B658C"/>
    <w:rsid w:val="002B6F77"/>
    <w:rsid w:val="002B7638"/>
    <w:rsid w:val="002C06B4"/>
    <w:rsid w:val="002C13E6"/>
    <w:rsid w:val="002C3520"/>
    <w:rsid w:val="002C35D8"/>
    <w:rsid w:val="002C46E9"/>
    <w:rsid w:val="002C48CD"/>
    <w:rsid w:val="002C620C"/>
    <w:rsid w:val="002C622A"/>
    <w:rsid w:val="002C6E6C"/>
    <w:rsid w:val="002C78B3"/>
    <w:rsid w:val="002D0E6F"/>
    <w:rsid w:val="002D1000"/>
    <w:rsid w:val="002D69B4"/>
    <w:rsid w:val="002E127B"/>
    <w:rsid w:val="002E2069"/>
    <w:rsid w:val="002E2992"/>
    <w:rsid w:val="002E4B01"/>
    <w:rsid w:val="002E7846"/>
    <w:rsid w:val="002E7CAB"/>
    <w:rsid w:val="002F4230"/>
    <w:rsid w:val="002F4398"/>
    <w:rsid w:val="002F5A32"/>
    <w:rsid w:val="00301A0E"/>
    <w:rsid w:val="00301FCA"/>
    <w:rsid w:val="00303782"/>
    <w:rsid w:val="00303BA3"/>
    <w:rsid w:val="00303CFF"/>
    <w:rsid w:val="003058A6"/>
    <w:rsid w:val="0031034B"/>
    <w:rsid w:val="00310CC2"/>
    <w:rsid w:val="00312BAA"/>
    <w:rsid w:val="00312E9A"/>
    <w:rsid w:val="00314549"/>
    <w:rsid w:val="00315C84"/>
    <w:rsid w:val="003172E1"/>
    <w:rsid w:val="00317EEC"/>
    <w:rsid w:val="003240F9"/>
    <w:rsid w:val="00330A50"/>
    <w:rsid w:val="003318DE"/>
    <w:rsid w:val="00332FEF"/>
    <w:rsid w:val="003423C6"/>
    <w:rsid w:val="003427C4"/>
    <w:rsid w:val="00342C34"/>
    <w:rsid w:val="00343418"/>
    <w:rsid w:val="0034408A"/>
    <w:rsid w:val="0034675D"/>
    <w:rsid w:val="00352E8A"/>
    <w:rsid w:val="003545C9"/>
    <w:rsid w:val="00355845"/>
    <w:rsid w:val="00355E60"/>
    <w:rsid w:val="00362679"/>
    <w:rsid w:val="00362FA3"/>
    <w:rsid w:val="00364CA1"/>
    <w:rsid w:val="003663AA"/>
    <w:rsid w:val="00366E3E"/>
    <w:rsid w:val="0036790D"/>
    <w:rsid w:val="00375076"/>
    <w:rsid w:val="00383711"/>
    <w:rsid w:val="003849DA"/>
    <w:rsid w:val="00385FC7"/>
    <w:rsid w:val="00387316"/>
    <w:rsid w:val="003933F8"/>
    <w:rsid w:val="003A09A0"/>
    <w:rsid w:val="003A0A93"/>
    <w:rsid w:val="003A6254"/>
    <w:rsid w:val="003A645D"/>
    <w:rsid w:val="003A671A"/>
    <w:rsid w:val="003B04A1"/>
    <w:rsid w:val="003B5555"/>
    <w:rsid w:val="003B5FC1"/>
    <w:rsid w:val="003B6B31"/>
    <w:rsid w:val="003C36CB"/>
    <w:rsid w:val="003C3873"/>
    <w:rsid w:val="003C4293"/>
    <w:rsid w:val="003C6BA1"/>
    <w:rsid w:val="003D09C5"/>
    <w:rsid w:val="003D1BA5"/>
    <w:rsid w:val="003D4B31"/>
    <w:rsid w:val="003D6DD6"/>
    <w:rsid w:val="003E2520"/>
    <w:rsid w:val="003E2D7A"/>
    <w:rsid w:val="003E701F"/>
    <w:rsid w:val="003F3D22"/>
    <w:rsid w:val="003F5853"/>
    <w:rsid w:val="003F7A40"/>
    <w:rsid w:val="00402994"/>
    <w:rsid w:val="00403443"/>
    <w:rsid w:val="00404534"/>
    <w:rsid w:val="004054D6"/>
    <w:rsid w:val="00406392"/>
    <w:rsid w:val="00407D82"/>
    <w:rsid w:val="00414039"/>
    <w:rsid w:val="00417F91"/>
    <w:rsid w:val="0042045D"/>
    <w:rsid w:val="00420C30"/>
    <w:rsid w:val="00421BE1"/>
    <w:rsid w:val="00422319"/>
    <w:rsid w:val="00426917"/>
    <w:rsid w:val="00426B7E"/>
    <w:rsid w:val="00426F73"/>
    <w:rsid w:val="0043166A"/>
    <w:rsid w:val="004318C3"/>
    <w:rsid w:val="00432C0C"/>
    <w:rsid w:val="00434857"/>
    <w:rsid w:val="00436D01"/>
    <w:rsid w:val="004405F1"/>
    <w:rsid w:val="00444C35"/>
    <w:rsid w:val="00446333"/>
    <w:rsid w:val="00460467"/>
    <w:rsid w:val="004606AC"/>
    <w:rsid w:val="00460C8F"/>
    <w:rsid w:val="00461283"/>
    <w:rsid w:val="00465D29"/>
    <w:rsid w:val="00471F5F"/>
    <w:rsid w:val="00472E0A"/>
    <w:rsid w:val="00476604"/>
    <w:rsid w:val="00476D6A"/>
    <w:rsid w:val="00480A45"/>
    <w:rsid w:val="00481550"/>
    <w:rsid w:val="00483514"/>
    <w:rsid w:val="00483709"/>
    <w:rsid w:val="00483901"/>
    <w:rsid w:val="00490D19"/>
    <w:rsid w:val="00494476"/>
    <w:rsid w:val="004964A0"/>
    <w:rsid w:val="0049672A"/>
    <w:rsid w:val="00497423"/>
    <w:rsid w:val="004A0056"/>
    <w:rsid w:val="004A0881"/>
    <w:rsid w:val="004A0F2F"/>
    <w:rsid w:val="004A175B"/>
    <w:rsid w:val="004A1D68"/>
    <w:rsid w:val="004A1E2E"/>
    <w:rsid w:val="004A261E"/>
    <w:rsid w:val="004B1970"/>
    <w:rsid w:val="004B1D9A"/>
    <w:rsid w:val="004B2251"/>
    <w:rsid w:val="004B77DF"/>
    <w:rsid w:val="004C0D5E"/>
    <w:rsid w:val="004C3DB2"/>
    <w:rsid w:val="004C461D"/>
    <w:rsid w:val="004C7670"/>
    <w:rsid w:val="004D3FC9"/>
    <w:rsid w:val="004D7919"/>
    <w:rsid w:val="004E0539"/>
    <w:rsid w:val="004E0A02"/>
    <w:rsid w:val="004E1CE7"/>
    <w:rsid w:val="004E26E1"/>
    <w:rsid w:val="004E46DD"/>
    <w:rsid w:val="004E513A"/>
    <w:rsid w:val="004E7A8C"/>
    <w:rsid w:val="004F180C"/>
    <w:rsid w:val="004F1B4C"/>
    <w:rsid w:val="004F444A"/>
    <w:rsid w:val="004F4BF2"/>
    <w:rsid w:val="004F6488"/>
    <w:rsid w:val="004F6625"/>
    <w:rsid w:val="00500C89"/>
    <w:rsid w:val="00501B8E"/>
    <w:rsid w:val="00506253"/>
    <w:rsid w:val="00506931"/>
    <w:rsid w:val="005103B7"/>
    <w:rsid w:val="00510AF7"/>
    <w:rsid w:val="005235DC"/>
    <w:rsid w:val="00524F88"/>
    <w:rsid w:val="00525304"/>
    <w:rsid w:val="0052666B"/>
    <w:rsid w:val="005328F4"/>
    <w:rsid w:val="005355D7"/>
    <w:rsid w:val="005359EE"/>
    <w:rsid w:val="00536288"/>
    <w:rsid w:val="0053699E"/>
    <w:rsid w:val="005369EE"/>
    <w:rsid w:val="00541678"/>
    <w:rsid w:val="00546738"/>
    <w:rsid w:val="005507F5"/>
    <w:rsid w:val="0055674B"/>
    <w:rsid w:val="00560DCC"/>
    <w:rsid w:val="00562036"/>
    <w:rsid w:val="00562FF7"/>
    <w:rsid w:val="00564816"/>
    <w:rsid w:val="00565156"/>
    <w:rsid w:val="0056625F"/>
    <w:rsid w:val="00566DE8"/>
    <w:rsid w:val="00567C72"/>
    <w:rsid w:val="00572867"/>
    <w:rsid w:val="00574B81"/>
    <w:rsid w:val="00575277"/>
    <w:rsid w:val="00575DEF"/>
    <w:rsid w:val="0058031B"/>
    <w:rsid w:val="00583D11"/>
    <w:rsid w:val="00586A9D"/>
    <w:rsid w:val="00591907"/>
    <w:rsid w:val="00592FD7"/>
    <w:rsid w:val="005A075E"/>
    <w:rsid w:val="005A48AD"/>
    <w:rsid w:val="005A4F71"/>
    <w:rsid w:val="005A63AA"/>
    <w:rsid w:val="005A7110"/>
    <w:rsid w:val="005A7D41"/>
    <w:rsid w:val="005B18C2"/>
    <w:rsid w:val="005B2905"/>
    <w:rsid w:val="005B46EB"/>
    <w:rsid w:val="005B6EA7"/>
    <w:rsid w:val="005C5E9C"/>
    <w:rsid w:val="005D0B2E"/>
    <w:rsid w:val="005D74DF"/>
    <w:rsid w:val="005E20E6"/>
    <w:rsid w:val="005F25E6"/>
    <w:rsid w:val="00601E55"/>
    <w:rsid w:val="006025CA"/>
    <w:rsid w:val="00604993"/>
    <w:rsid w:val="00606964"/>
    <w:rsid w:val="00606ED9"/>
    <w:rsid w:val="00607085"/>
    <w:rsid w:val="00607558"/>
    <w:rsid w:val="00607575"/>
    <w:rsid w:val="0061488B"/>
    <w:rsid w:val="006229B1"/>
    <w:rsid w:val="006245C8"/>
    <w:rsid w:val="006317FF"/>
    <w:rsid w:val="00631C70"/>
    <w:rsid w:val="00631D9D"/>
    <w:rsid w:val="0063211F"/>
    <w:rsid w:val="006349C1"/>
    <w:rsid w:val="00634A6B"/>
    <w:rsid w:val="0063643D"/>
    <w:rsid w:val="00636E4B"/>
    <w:rsid w:val="0064522A"/>
    <w:rsid w:val="00646426"/>
    <w:rsid w:val="00646CCD"/>
    <w:rsid w:val="0065356E"/>
    <w:rsid w:val="0065359A"/>
    <w:rsid w:val="00654F9F"/>
    <w:rsid w:val="00655664"/>
    <w:rsid w:val="006558D8"/>
    <w:rsid w:val="00655917"/>
    <w:rsid w:val="00657D22"/>
    <w:rsid w:val="006634F2"/>
    <w:rsid w:val="006637CC"/>
    <w:rsid w:val="00666FDD"/>
    <w:rsid w:val="00667641"/>
    <w:rsid w:val="0066791D"/>
    <w:rsid w:val="00667DF0"/>
    <w:rsid w:val="00670299"/>
    <w:rsid w:val="00673AE1"/>
    <w:rsid w:val="00674EC4"/>
    <w:rsid w:val="00676771"/>
    <w:rsid w:val="0068045A"/>
    <w:rsid w:val="00690558"/>
    <w:rsid w:val="006A3F3F"/>
    <w:rsid w:val="006A772B"/>
    <w:rsid w:val="006B0FC9"/>
    <w:rsid w:val="006B2930"/>
    <w:rsid w:val="006B2AE1"/>
    <w:rsid w:val="006B4D4F"/>
    <w:rsid w:val="006B6474"/>
    <w:rsid w:val="006C0178"/>
    <w:rsid w:val="006C10F1"/>
    <w:rsid w:val="006C166B"/>
    <w:rsid w:val="006C18B8"/>
    <w:rsid w:val="006C2682"/>
    <w:rsid w:val="006C48F1"/>
    <w:rsid w:val="006D290F"/>
    <w:rsid w:val="006D56A2"/>
    <w:rsid w:val="006D621D"/>
    <w:rsid w:val="006D6297"/>
    <w:rsid w:val="006D651A"/>
    <w:rsid w:val="006E27D6"/>
    <w:rsid w:val="006E2F84"/>
    <w:rsid w:val="006E65D0"/>
    <w:rsid w:val="006E7AB2"/>
    <w:rsid w:val="006F051E"/>
    <w:rsid w:val="006F0945"/>
    <w:rsid w:val="006F6E60"/>
    <w:rsid w:val="007003AA"/>
    <w:rsid w:val="0070174E"/>
    <w:rsid w:val="00703610"/>
    <w:rsid w:val="00706022"/>
    <w:rsid w:val="007060E6"/>
    <w:rsid w:val="0070690A"/>
    <w:rsid w:val="0071148D"/>
    <w:rsid w:val="007118C3"/>
    <w:rsid w:val="0071301D"/>
    <w:rsid w:val="00713477"/>
    <w:rsid w:val="00716622"/>
    <w:rsid w:val="00720153"/>
    <w:rsid w:val="0072272D"/>
    <w:rsid w:val="00723814"/>
    <w:rsid w:val="00723E2A"/>
    <w:rsid w:val="00724D12"/>
    <w:rsid w:val="00727EE1"/>
    <w:rsid w:val="00731A9A"/>
    <w:rsid w:val="0073278C"/>
    <w:rsid w:val="00735C34"/>
    <w:rsid w:val="00736C41"/>
    <w:rsid w:val="00740295"/>
    <w:rsid w:val="00741D64"/>
    <w:rsid w:val="00747569"/>
    <w:rsid w:val="007505EB"/>
    <w:rsid w:val="00754B8A"/>
    <w:rsid w:val="007565A2"/>
    <w:rsid w:val="00756F22"/>
    <w:rsid w:val="00757C6B"/>
    <w:rsid w:val="00762537"/>
    <w:rsid w:val="007632A5"/>
    <w:rsid w:val="0076375C"/>
    <w:rsid w:val="00763BAB"/>
    <w:rsid w:val="007647E7"/>
    <w:rsid w:val="00770246"/>
    <w:rsid w:val="00770AE4"/>
    <w:rsid w:val="00770B7C"/>
    <w:rsid w:val="0077170E"/>
    <w:rsid w:val="007765B5"/>
    <w:rsid w:val="00776A7A"/>
    <w:rsid w:val="00781615"/>
    <w:rsid w:val="007843FA"/>
    <w:rsid w:val="007856F4"/>
    <w:rsid w:val="007879DB"/>
    <w:rsid w:val="00790857"/>
    <w:rsid w:val="00790DE7"/>
    <w:rsid w:val="00792252"/>
    <w:rsid w:val="0079267D"/>
    <w:rsid w:val="00792D3B"/>
    <w:rsid w:val="007944EF"/>
    <w:rsid w:val="0079485B"/>
    <w:rsid w:val="00796365"/>
    <w:rsid w:val="007968A0"/>
    <w:rsid w:val="007A164C"/>
    <w:rsid w:val="007A23CC"/>
    <w:rsid w:val="007A3C24"/>
    <w:rsid w:val="007A66FC"/>
    <w:rsid w:val="007A7E78"/>
    <w:rsid w:val="007B1AA9"/>
    <w:rsid w:val="007B2BC3"/>
    <w:rsid w:val="007B37CD"/>
    <w:rsid w:val="007B6311"/>
    <w:rsid w:val="007B653C"/>
    <w:rsid w:val="007B6F9A"/>
    <w:rsid w:val="007B73DA"/>
    <w:rsid w:val="007C0861"/>
    <w:rsid w:val="007C08F9"/>
    <w:rsid w:val="007C0D0C"/>
    <w:rsid w:val="007C1D01"/>
    <w:rsid w:val="007C4A2F"/>
    <w:rsid w:val="007C5174"/>
    <w:rsid w:val="007C694A"/>
    <w:rsid w:val="007C7658"/>
    <w:rsid w:val="007C79C9"/>
    <w:rsid w:val="007D11AB"/>
    <w:rsid w:val="007D29E6"/>
    <w:rsid w:val="007D442B"/>
    <w:rsid w:val="007D4538"/>
    <w:rsid w:val="007D4906"/>
    <w:rsid w:val="007D5F9E"/>
    <w:rsid w:val="007D6F38"/>
    <w:rsid w:val="007D7C44"/>
    <w:rsid w:val="007D7EA5"/>
    <w:rsid w:val="007E43A1"/>
    <w:rsid w:val="007E4CA7"/>
    <w:rsid w:val="007E5B6F"/>
    <w:rsid w:val="007E5C6B"/>
    <w:rsid w:val="007E7AA7"/>
    <w:rsid w:val="007F2DAF"/>
    <w:rsid w:val="007F671D"/>
    <w:rsid w:val="0080159F"/>
    <w:rsid w:val="008018B1"/>
    <w:rsid w:val="00802DC7"/>
    <w:rsid w:val="00803F15"/>
    <w:rsid w:val="00804B45"/>
    <w:rsid w:val="00806ADF"/>
    <w:rsid w:val="008110AF"/>
    <w:rsid w:val="00811ED5"/>
    <w:rsid w:val="00814441"/>
    <w:rsid w:val="00820891"/>
    <w:rsid w:val="00822E7D"/>
    <w:rsid w:val="00830AAB"/>
    <w:rsid w:val="00833A3C"/>
    <w:rsid w:val="00836731"/>
    <w:rsid w:val="00837904"/>
    <w:rsid w:val="00837E8E"/>
    <w:rsid w:val="00842800"/>
    <w:rsid w:val="00842825"/>
    <w:rsid w:val="008448D4"/>
    <w:rsid w:val="00847D8D"/>
    <w:rsid w:val="00851CC0"/>
    <w:rsid w:val="00852158"/>
    <w:rsid w:val="0085292F"/>
    <w:rsid w:val="00854555"/>
    <w:rsid w:val="00855224"/>
    <w:rsid w:val="00856088"/>
    <w:rsid w:val="00856F8A"/>
    <w:rsid w:val="00857C58"/>
    <w:rsid w:val="00861EC5"/>
    <w:rsid w:val="00863907"/>
    <w:rsid w:val="00865952"/>
    <w:rsid w:val="00870AA2"/>
    <w:rsid w:val="008714F0"/>
    <w:rsid w:val="00872E25"/>
    <w:rsid w:val="008745AE"/>
    <w:rsid w:val="00874B27"/>
    <w:rsid w:val="00876507"/>
    <w:rsid w:val="008800C3"/>
    <w:rsid w:val="0088182D"/>
    <w:rsid w:val="00881D02"/>
    <w:rsid w:val="00882844"/>
    <w:rsid w:val="008866CD"/>
    <w:rsid w:val="00890F40"/>
    <w:rsid w:val="00891037"/>
    <w:rsid w:val="00893261"/>
    <w:rsid w:val="0089480B"/>
    <w:rsid w:val="00894F57"/>
    <w:rsid w:val="008961C9"/>
    <w:rsid w:val="00897AAA"/>
    <w:rsid w:val="008A104F"/>
    <w:rsid w:val="008A3B09"/>
    <w:rsid w:val="008A4599"/>
    <w:rsid w:val="008A59AE"/>
    <w:rsid w:val="008A6A4A"/>
    <w:rsid w:val="008A75BD"/>
    <w:rsid w:val="008A7D91"/>
    <w:rsid w:val="008B1C12"/>
    <w:rsid w:val="008B3C7C"/>
    <w:rsid w:val="008B3E72"/>
    <w:rsid w:val="008B4974"/>
    <w:rsid w:val="008B6B40"/>
    <w:rsid w:val="008B7296"/>
    <w:rsid w:val="008C0CC1"/>
    <w:rsid w:val="008C1298"/>
    <w:rsid w:val="008C29BA"/>
    <w:rsid w:val="008C4FC5"/>
    <w:rsid w:val="008C647C"/>
    <w:rsid w:val="008C6D6C"/>
    <w:rsid w:val="008D0E67"/>
    <w:rsid w:val="008D199A"/>
    <w:rsid w:val="008D1ABE"/>
    <w:rsid w:val="008D2C35"/>
    <w:rsid w:val="008E345B"/>
    <w:rsid w:val="008E544E"/>
    <w:rsid w:val="008F1145"/>
    <w:rsid w:val="008F2F2D"/>
    <w:rsid w:val="008F770D"/>
    <w:rsid w:val="00902434"/>
    <w:rsid w:val="00903254"/>
    <w:rsid w:val="009052E8"/>
    <w:rsid w:val="00907D99"/>
    <w:rsid w:val="00907EAA"/>
    <w:rsid w:val="00913354"/>
    <w:rsid w:val="00913717"/>
    <w:rsid w:val="00913968"/>
    <w:rsid w:val="00913C43"/>
    <w:rsid w:val="0091625E"/>
    <w:rsid w:val="00916C10"/>
    <w:rsid w:val="00917343"/>
    <w:rsid w:val="00917651"/>
    <w:rsid w:val="00917C13"/>
    <w:rsid w:val="00922BBD"/>
    <w:rsid w:val="0092405F"/>
    <w:rsid w:val="00925F07"/>
    <w:rsid w:val="009261D6"/>
    <w:rsid w:val="009271B7"/>
    <w:rsid w:val="00933AA1"/>
    <w:rsid w:val="009376B1"/>
    <w:rsid w:val="00941259"/>
    <w:rsid w:val="00946AE0"/>
    <w:rsid w:val="00950A9D"/>
    <w:rsid w:val="00952279"/>
    <w:rsid w:val="009523B3"/>
    <w:rsid w:val="00953576"/>
    <w:rsid w:val="009567FD"/>
    <w:rsid w:val="0095748D"/>
    <w:rsid w:val="00961964"/>
    <w:rsid w:val="00961F90"/>
    <w:rsid w:val="009634BE"/>
    <w:rsid w:val="00963D65"/>
    <w:rsid w:val="00965DE5"/>
    <w:rsid w:val="00967964"/>
    <w:rsid w:val="00970147"/>
    <w:rsid w:val="00972B04"/>
    <w:rsid w:val="0097401C"/>
    <w:rsid w:val="009754DA"/>
    <w:rsid w:val="00980E58"/>
    <w:rsid w:val="00981221"/>
    <w:rsid w:val="00981390"/>
    <w:rsid w:val="00981B22"/>
    <w:rsid w:val="00982EAC"/>
    <w:rsid w:val="00985123"/>
    <w:rsid w:val="00985941"/>
    <w:rsid w:val="0098630F"/>
    <w:rsid w:val="009873BC"/>
    <w:rsid w:val="00987448"/>
    <w:rsid w:val="0098751E"/>
    <w:rsid w:val="00990E86"/>
    <w:rsid w:val="00991EE8"/>
    <w:rsid w:val="00992BB2"/>
    <w:rsid w:val="00993F70"/>
    <w:rsid w:val="00995F3D"/>
    <w:rsid w:val="009A15A8"/>
    <w:rsid w:val="009A4F31"/>
    <w:rsid w:val="009A6D66"/>
    <w:rsid w:val="009B1D05"/>
    <w:rsid w:val="009B1D26"/>
    <w:rsid w:val="009B231A"/>
    <w:rsid w:val="009B4570"/>
    <w:rsid w:val="009B4A6F"/>
    <w:rsid w:val="009C1035"/>
    <w:rsid w:val="009C2859"/>
    <w:rsid w:val="009C4511"/>
    <w:rsid w:val="009D0BA4"/>
    <w:rsid w:val="009D1159"/>
    <w:rsid w:val="009D2905"/>
    <w:rsid w:val="009D2E11"/>
    <w:rsid w:val="009D66F5"/>
    <w:rsid w:val="009E2F94"/>
    <w:rsid w:val="009E5E3E"/>
    <w:rsid w:val="009E66A0"/>
    <w:rsid w:val="009E74F7"/>
    <w:rsid w:val="009E75D5"/>
    <w:rsid w:val="009E7A56"/>
    <w:rsid w:val="009F060E"/>
    <w:rsid w:val="009F0A44"/>
    <w:rsid w:val="009F0C3B"/>
    <w:rsid w:val="009F12D6"/>
    <w:rsid w:val="009F1D78"/>
    <w:rsid w:val="009F2B68"/>
    <w:rsid w:val="009F5542"/>
    <w:rsid w:val="009F72FD"/>
    <w:rsid w:val="00A00084"/>
    <w:rsid w:val="00A0071D"/>
    <w:rsid w:val="00A020C8"/>
    <w:rsid w:val="00A02187"/>
    <w:rsid w:val="00A05327"/>
    <w:rsid w:val="00A12746"/>
    <w:rsid w:val="00A14249"/>
    <w:rsid w:val="00A143E8"/>
    <w:rsid w:val="00A157FA"/>
    <w:rsid w:val="00A16152"/>
    <w:rsid w:val="00A177AE"/>
    <w:rsid w:val="00A17DD7"/>
    <w:rsid w:val="00A204F5"/>
    <w:rsid w:val="00A20B9E"/>
    <w:rsid w:val="00A21444"/>
    <w:rsid w:val="00A22F69"/>
    <w:rsid w:val="00A23166"/>
    <w:rsid w:val="00A233F1"/>
    <w:rsid w:val="00A236B7"/>
    <w:rsid w:val="00A2543F"/>
    <w:rsid w:val="00A3319D"/>
    <w:rsid w:val="00A338DC"/>
    <w:rsid w:val="00A34209"/>
    <w:rsid w:val="00A34A4B"/>
    <w:rsid w:val="00A406E5"/>
    <w:rsid w:val="00A429D4"/>
    <w:rsid w:val="00A4333F"/>
    <w:rsid w:val="00A43F2F"/>
    <w:rsid w:val="00A50531"/>
    <w:rsid w:val="00A52534"/>
    <w:rsid w:val="00A533F5"/>
    <w:rsid w:val="00A5666E"/>
    <w:rsid w:val="00A60FE1"/>
    <w:rsid w:val="00A6267C"/>
    <w:rsid w:val="00A62A51"/>
    <w:rsid w:val="00A62A79"/>
    <w:rsid w:val="00A63E8F"/>
    <w:rsid w:val="00A64E66"/>
    <w:rsid w:val="00A650CE"/>
    <w:rsid w:val="00A651EF"/>
    <w:rsid w:val="00A7047D"/>
    <w:rsid w:val="00A705AF"/>
    <w:rsid w:val="00A71CE2"/>
    <w:rsid w:val="00A72E2F"/>
    <w:rsid w:val="00A735BB"/>
    <w:rsid w:val="00A7380B"/>
    <w:rsid w:val="00A74607"/>
    <w:rsid w:val="00A810E4"/>
    <w:rsid w:val="00A822FB"/>
    <w:rsid w:val="00A83867"/>
    <w:rsid w:val="00A87902"/>
    <w:rsid w:val="00A87E1F"/>
    <w:rsid w:val="00A922DD"/>
    <w:rsid w:val="00A92F96"/>
    <w:rsid w:val="00A93746"/>
    <w:rsid w:val="00A93AE9"/>
    <w:rsid w:val="00A94D71"/>
    <w:rsid w:val="00A95CF8"/>
    <w:rsid w:val="00A96CBD"/>
    <w:rsid w:val="00A978A1"/>
    <w:rsid w:val="00AA06F5"/>
    <w:rsid w:val="00AA1B27"/>
    <w:rsid w:val="00AA2BFA"/>
    <w:rsid w:val="00AA3AA8"/>
    <w:rsid w:val="00AA42AE"/>
    <w:rsid w:val="00AB1089"/>
    <w:rsid w:val="00AB22DE"/>
    <w:rsid w:val="00AB2478"/>
    <w:rsid w:val="00AB41E2"/>
    <w:rsid w:val="00AB5D41"/>
    <w:rsid w:val="00AC0CA7"/>
    <w:rsid w:val="00AC3183"/>
    <w:rsid w:val="00AC3590"/>
    <w:rsid w:val="00AC70C9"/>
    <w:rsid w:val="00AD5707"/>
    <w:rsid w:val="00AD5A12"/>
    <w:rsid w:val="00AD73A0"/>
    <w:rsid w:val="00AE1E9D"/>
    <w:rsid w:val="00AE2279"/>
    <w:rsid w:val="00AE276F"/>
    <w:rsid w:val="00AE386F"/>
    <w:rsid w:val="00AE3A97"/>
    <w:rsid w:val="00AE5E22"/>
    <w:rsid w:val="00AE6BF3"/>
    <w:rsid w:val="00AE78B9"/>
    <w:rsid w:val="00AF0168"/>
    <w:rsid w:val="00AF6892"/>
    <w:rsid w:val="00AF719F"/>
    <w:rsid w:val="00B0276F"/>
    <w:rsid w:val="00B054CC"/>
    <w:rsid w:val="00B05515"/>
    <w:rsid w:val="00B055A0"/>
    <w:rsid w:val="00B07543"/>
    <w:rsid w:val="00B10322"/>
    <w:rsid w:val="00B115B3"/>
    <w:rsid w:val="00B1431B"/>
    <w:rsid w:val="00B220B4"/>
    <w:rsid w:val="00B23828"/>
    <w:rsid w:val="00B247EC"/>
    <w:rsid w:val="00B272BD"/>
    <w:rsid w:val="00B34143"/>
    <w:rsid w:val="00B34550"/>
    <w:rsid w:val="00B35A17"/>
    <w:rsid w:val="00B3601C"/>
    <w:rsid w:val="00B367B2"/>
    <w:rsid w:val="00B42DA8"/>
    <w:rsid w:val="00B45045"/>
    <w:rsid w:val="00B4789F"/>
    <w:rsid w:val="00B50A51"/>
    <w:rsid w:val="00B5161B"/>
    <w:rsid w:val="00B527A2"/>
    <w:rsid w:val="00B55FDD"/>
    <w:rsid w:val="00B56DB9"/>
    <w:rsid w:val="00B623D3"/>
    <w:rsid w:val="00B641E2"/>
    <w:rsid w:val="00B665C8"/>
    <w:rsid w:val="00B67252"/>
    <w:rsid w:val="00B70A5A"/>
    <w:rsid w:val="00B713A2"/>
    <w:rsid w:val="00B74DFF"/>
    <w:rsid w:val="00B76BA3"/>
    <w:rsid w:val="00B775D3"/>
    <w:rsid w:val="00B80CDC"/>
    <w:rsid w:val="00B81770"/>
    <w:rsid w:val="00B82D85"/>
    <w:rsid w:val="00B84E65"/>
    <w:rsid w:val="00B85A7D"/>
    <w:rsid w:val="00B87BF5"/>
    <w:rsid w:val="00B9137D"/>
    <w:rsid w:val="00B94024"/>
    <w:rsid w:val="00B96CEB"/>
    <w:rsid w:val="00BA1469"/>
    <w:rsid w:val="00BB1294"/>
    <w:rsid w:val="00BB1BB0"/>
    <w:rsid w:val="00BB257B"/>
    <w:rsid w:val="00BB2852"/>
    <w:rsid w:val="00BB5842"/>
    <w:rsid w:val="00BB6E7C"/>
    <w:rsid w:val="00BB7625"/>
    <w:rsid w:val="00BC0E58"/>
    <w:rsid w:val="00BC37B4"/>
    <w:rsid w:val="00BC4EEB"/>
    <w:rsid w:val="00BC6220"/>
    <w:rsid w:val="00BC7213"/>
    <w:rsid w:val="00BD0365"/>
    <w:rsid w:val="00BD1359"/>
    <w:rsid w:val="00BD2324"/>
    <w:rsid w:val="00BE37FE"/>
    <w:rsid w:val="00BE6CD2"/>
    <w:rsid w:val="00C003F4"/>
    <w:rsid w:val="00C01938"/>
    <w:rsid w:val="00C02090"/>
    <w:rsid w:val="00C06B1B"/>
    <w:rsid w:val="00C06CAE"/>
    <w:rsid w:val="00C10B3E"/>
    <w:rsid w:val="00C14D8C"/>
    <w:rsid w:val="00C17A36"/>
    <w:rsid w:val="00C219DE"/>
    <w:rsid w:val="00C22187"/>
    <w:rsid w:val="00C22FC1"/>
    <w:rsid w:val="00C24CAD"/>
    <w:rsid w:val="00C24D61"/>
    <w:rsid w:val="00C34E9B"/>
    <w:rsid w:val="00C3551B"/>
    <w:rsid w:val="00C35B1C"/>
    <w:rsid w:val="00C3788C"/>
    <w:rsid w:val="00C46839"/>
    <w:rsid w:val="00C502C0"/>
    <w:rsid w:val="00C50BEB"/>
    <w:rsid w:val="00C53104"/>
    <w:rsid w:val="00C53147"/>
    <w:rsid w:val="00C54322"/>
    <w:rsid w:val="00C55552"/>
    <w:rsid w:val="00C55B0C"/>
    <w:rsid w:val="00C56DCA"/>
    <w:rsid w:val="00C61F52"/>
    <w:rsid w:val="00C62577"/>
    <w:rsid w:val="00C65A5E"/>
    <w:rsid w:val="00C7034F"/>
    <w:rsid w:val="00C70DDB"/>
    <w:rsid w:val="00C73920"/>
    <w:rsid w:val="00C74897"/>
    <w:rsid w:val="00C766EB"/>
    <w:rsid w:val="00C80982"/>
    <w:rsid w:val="00C82355"/>
    <w:rsid w:val="00C82700"/>
    <w:rsid w:val="00C8280A"/>
    <w:rsid w:val="00C87096"/>
    <w:rsid w:val="00C906EA"/>
    <w:rsid w:val="00C90AC7"/>
    <w:rsid w:val="00C93F29"/>
    <w:rsid w:val="00C95485"/>
    <w:rsid w:val="00C97F3B"/>
    <w:rsid w:val="00CA21C9"/>
    <w:rsid w:val="00CB0CFD"/>
    <w:rsid w:val="00CB1C85"/>
    <w:rsid w:val="00CB37EF"/>
    <w:rsid w:val="00CB3EBD"/>
    <w:rsid w:val="00CB4E3C"/>
    <w:rsid w:val="00CB5782"/>
    <w:rsid w:val="00CB7F47"/>
    <w:rsid w:val="00CC2472"/>
    <w:rsid w:val="00CC2D40"/>
    <w:rsid w:val="00CC4165"/>
    <w:rsid w:val="00CD0A43"/>
    <w:rsid w:val="00CD249A"/>
    <w:rsid w:val="00CD30BD"/>
    <w:rsid w:val="00CD3158"/>
    <w:rsid w:val="00CD6473"/>
    <w:rsid w:val="00CE02DA"/>
    <w:rsid w:val="00CE0CEF"/>
    <w:rsid w:val="00CE1F1E"/>
    <w:rsid w:val="00CE219F"/>
    <w:rsid w:val="00CE4DE1"/>
    <w:rsid w:val="00CE5E6C"/>
    <w:rsid w:val="00CE68EC"/>
    <w:rsid w:val="00CE7A29"/>
    <w:rsid w:val="00CF0C02"/>
    <w:rsid w:val="00CF12CB"/>
    <w:rsid w:val="00CF63F2"/>
    <w:rsid w:val="00CF6592"/>
    <w:rsid w:val="00D00856"/>
    <w:rsid w:val="00D00D01"/>
    <w:rsid w:val="00D06588"/>
    <w:rsid w:val="00D10C1B"/>
    <w:rsid w:val="00D1360F"/>
    <w:rsid w:val="00D13AC8"/>
    <w:rsid w:val="00D1574A"/>
    <w:rsid w:val="00D159CC"/>
    <w:rsid w:val="00D2279A"/>
    <w:rsid w:val="00D242F5"/>
    <w:rsid w:val="00D246BD"/>
    <w:rsid w:val="00D2472F"/>
    <w:rsid w:val="00D24B2F"/>
    <w:rsid w:val="00D2510E"/>
    <w:rsid w:val="00D25376"/>
    <w:rsid w:val="00D31313"/>
    <w:rsid w:val="00D3228F"/>
    <w:rsid w:val="00D33028"/>
    <w:rsid w:val="00D3322B"/>
    <w:rsid w:val="00D36A3C"/>
    <w:rsid w:val="00D36F03"/>
    <w:rsid w:val="00D376FE"/>
    <w:rsid w:val="00D42554"/>
    <w:rsid w:val="00D436DC"/>
    <w:rsid w:val="00D43E10"/>
    <w:rsid w:val="00D45318"/>
    <w:rsid w:val="00D47303"/>
    <w:rsid w:val="00D51651"/>
    <w:rsid w:val="00D52C59"/>
    <w:rsid w:val="00D5385E"/>
    <w:rsid w:val="00D548E1"/>
    <w:rsid w:val="00D55FC0"/>
    <w:rsid w:val="00D56445"/>
    <w:rsid w:val="00D56CD6"/>
    <w:rsid w:val="00D6097B"/>
    <w:rsid w:val="00D6117D"/>
    <w:rsid w:val="00D61DF3"/>
    <w:rsid w:val="00D63F26"/>
    <w:rsid w:val="00D73120"/>
    <w:rsid w:val="00D731DB"/>
    <w:rsid w:val="00D7335C"/>
    <w:rsid w:val="00D73DE9"/>
    <w:rsid w:val="00D749D5"/>
    <w:rsid w:val="00D75EC3"/>
    <w:rsid w:val="00D84101"/>
    <w:rsid w:val="00D84EED"/>
    <w:rsid w:val="00D854E7"/>
    <w:rsid w:val="00D87F9A"/>
    <w:rsid w:val="00D91AA1"/>
    <w:rsid w:val="00D93A91"/>
    <w:rsid w:val="00D94E21"/>
    <w:rsid w:val="00D9612C"/>
    <w:rsid w:val="00D96508"/>
    <w:rsid w:val="00DA27E6"/>
    <w:rsid w:val="00DA29B9"/>
    <w:rsid w:val="00DA4679"/>
    <w:rsid w:val="00DA5B5F"/>
    <w:rsid w:val="00DA7146"/>
    <w:rsid w:val="00DA7741"/>
    <w:rsid w:val="00DA7966"/>
    <w:rsid w:val="00DB1DFF"/>
    <w:rsid w:val="00DB377A"/>
    <w:rsid w:val="00DB3B7F"/>
    <w:rsid w:val="00DB446B"/>
    <w:rsid w:val="00DB6F37"/>
    <w:rsid w:val="00DC0AAF"/>
    <w:rsid w:val="00DC1FCB"/>
    <w:rsid w:val="00DC1FD4"/>
    <w:rsid w:val="00DC25FC"/>
    <w:rsid w:val="00DC49EC"/>
    <w:rsid w:val="00DD091D"/>
    <w:rsid w:val="00DD1E8E"/>
    <w:rsid w:val="00DD320A"/>
    <w:rsid w:val="00DD371E"/>
    <w:rsid w:val="00DD3730"/>
    <w:rsid w:val="00DD4311"/>
    <w:rsid w:val="00DE4421"/>
    <w:rsid w:val="00DE5105"/>
    <w:rsid w:val="00DE5CB0"/>
    <w:rsid w:val="00DE607E"/>
    <w:rsid w:val="00DE6153"/>
    <w:rsid w:val="00DE62AA"/>
    <w:rsid w:val="00DF2659"/>
    <w:rsid w:val="00DF3258"/>
    <w:rsid w:val="00DF5650"/>
    <w:rsid w:val="00DF57EE"/>
    <w:rsid w:val="00DF5A08"/>
    <w:rsid w:val="00DF7646"/>
    <w:rsid w:val="00E00D63"/>
    <w:rsid w:val="00E05049"/>
    <w:rsid w:val="00E05742"/>
    <w:rsid w:val="00E05E5F"/>
    <w:rsid w:val="00E07C6E"/>
    <w:rsid w:val="00E12B71"/>
    <w:rsid w:val="00E155CC"/>
    <w:rsid w:val="00E216BC"/>
    <w:rsid w:val="00E23670"/>
    <w:rsid w:val="00E24544"/>
    <w:rsid w:val="00E24A6F"/>
    <w:rsid w:val="00E300E6"/>
    <w:rsid w:val="00E3204A"/>
    <w:rsid w:val="00E3325B"/>
    <w:rsid w:val="00E346FD"/>
    <w:rsid w:val="00E35652"/>
    <w:rsid w:val="00E36952"/>
    <w:rsid w:val="00E372A7"/>
    <w:rsid w:val="00E402A2"/>
    <w:rsid w:val="00E42846"/>
    <w:rsid w:val="00E42CD5"/>
    <w:rsid w:val="00E43B30"/>
    <w:rsid w:val="00E5450C"/>
    <w:rsid w:val="00E55360"/>
    <w:rsid w:val="00E55595"/>
    <w:rsid w:val="00E57D47"/>
    <w:rsid w:val="00E607E1"/>
    <w:rsid w:val="00E6291A"/>
    <w:rsid w:val="00E62DC0"/>
    <w:rsid w:val="00E66754"/>
    <w:rsid w:val="00E721C0"/>
    <w:rsid w:val="00E752C0"/>
    <w:rsid w:val="00E75FC8"/>
    <w:rsid w:val="00E76267"/>
    <w:rsid w:val="00E77E9C"/>
    <w:rsid w:val="00E82263"/>
    <w:rsid w:val="00E83008"/>
    <w:rsid w:val="00E847AE"/>
    <w:rsid w:val="00E8488E"/>
    <w:rsid w:val="00E85004"/>
    <w:rsid w:val="00E86F08"/>
    <w:rsid w:val="00E86F32"/>
    <w:rsid w:val="00E92496"/>
    <w:rsid w:val="00E9265A"/>
    <w:rsid w:val="00EA27EB"/>
    <w:rsid w:val="00EA369A"/>
    <w:rsid w:val="00EB07F2"/>
    <w:rsid w:val="00EB0A40"/>
    <w:rsid w:val="00EB3CF5"/>
    <w:rsid w:val="00EB66FB"/>
    <w:rsid w:val="00EB6DFB"/>
    <w:rsid w:val="00EB7CEA"/>
    <w:rsid w:val="00EC0DB1"/>
    <w:rsid w:val="00EC1210"/>
    <w:rsid w:val="00EC295A"/>
    <w:rsid w:val="00EC431F"/>
    <w:rsid w:val="00EC6C5B"/>
    <w:rsid w:val="00ED2A61"/>
    <w:rsid w:val="00ED7223"/>
    <w:rsid w:val="00ED78B9"/>
    <w:rsid w:val="00EE0BFB"/>
    <w:rsid w:val="00EE23EF"/>
    <w:rsid w:val="00EE2485"/>
    <w:rsid w:val="00EE3387"/>
    <w:rsid w:val="00EE5D22"/>
    <w:rsid w:val="00EE6AA8"/>
    <w:rsid w:val="00EF0375"/>
    <w:rsid w:val="00EF0B29"/>
    <w:rsid w:val="00EF0C15"/>
    <w:rsid w:val="00EF1585"/>
    <w:rsid w:val="00EF3395"/>
    <w:rsid w:val="00EF45F1"/>
    <w:rsid w:val="00EF567B"/>
    <w:rsid w:val="00F00C29"/>
    <w:rsid w:val="00F0131A"/>
    <w:rsid w:val="00F0638B"/>
    <w:rsid w:val="00F06B37"/>
    <w:rsid w:val="00F07E46"/>
    <w:rsid w:val="00F108D2"/>
    <w:rsid w:val="00F10ED9"/>
    <w:rsid w:val="00F206DA"/>
    <w:rsid w:val="00F206E4"/>
    <w:rsid w:val="00F2304A"/>
    <w:rsid w:val="00F23286"/>
    <w:rsid w:val="00F237BD"/>
    <w:rsid w:val="00F24B40"/>
    <w:rsid w:val="00F2688D"/>
    <w:rsid w:val="00F27E64"/>
    <w:rsid w:val="00F30F43"/>
    <w:rsid w:val="00F32E30"/>
    <w:rsid w:val="00F34C71"/>
    <w:rsid w:val="00F369A2"/>
    <w:rsid w:val="00F418AE"/>
    <w:rsid w:val="00F47F68"/>
    <w:rsid w:val="00F51311"/>
    <w:rsid w:val="00F54959"/>
    <w:rsid w:val="00F549FA"/>
    <w:rsid w:val="00F56D5B"/>
    <w:rsid w:val="00F56F95"/>
    <w:rsid w:val="00F57C8F"/>
    <w:rsid w:val="00F60675"/>
    <w:rsid w:val="00F6475B"/>
    <w:rsid w:val="00F701A4"/>
    <w:rsid w:val="00F723BC"/>
    <w:rsid w:val="00F73D90"/>
    <w:rsid w:val="00F76973"/>
    <w:rsid w:val="00F76DD1"/>
    <w:rsid w:val="00F77008"/>
    <w:rsid w:val="00F77F6F"/>
    <w:rsid w:val="00F80766"/>
    <w:rsid w:val="00F82325"/>
    <w:rsid w:val="00F84686"/>
    <w:rsid w:val="00F857F8"/>
    <w:rsid w:val="00F868EE"/>
    <w:rsid w:val="00F87FA9"/>
    <w:rsid w:val="00F9119D"/>
    <w:rsid w:val="00F94174"/>
    <w:rsid w:val="00FA0575"/>
    <w:rsid w:val="00FA24FA"/>
    <w:rsid w:val="00FA654B"/>
    <w:rsid w:val="00FB03B0"/>
    <w:rsid w:val="00FB0FA5"/>
    <w:rsid w:val="00FB1BC6"/>
    <w:rsid w:val="00FB21D2"/>
    <w:rsid w:val="00FB24BC"/>
    <w:rsid w:val="00FB5065"/>
    <w:rsid w:val="00FB6D2A"/>
    <w:rsid w:val="00FC2AC0"/>
    <w:rsid w:val="00FC7278"/>
    <w:rsid w:val="00FD4505"/>
    <w:rsid w:val="00FD50C8"/>
    <w:rsid w:val="00FE023C"/>
    <w:rsid w:val="00FE25BD"/>
    <w:rsid w:val="00FE37C1"/>
    <w:rsid w:val="00FE6762"/>
    <w:rsid w:val="00FE6B58"/>
    <w:rsid w:val="00FE7049"/>
    <w:rsid w:val="00FE75AB"/>
    <w:rsid w:val="00FF11FA"/>
    <w:rsid w:val="00FF4BBD"/>
    <w:rsid w:val="0109513D"/>
    <w:rsid w:val="010E7E38"/>
    <w:rsid w:val="01283CE6"/>
    <w:rsid w:val="012E1C6C"/>
    <w:rsid w:val="012F1157"/>
    <w:rsid w:val="01356F26"/>
    <w:rsid w:val="013E7931"/>
    <w:rsid w:val="015A171E"/>
    <w:rsid w:val="0196185A"/>
    <w:rsid w:val="0198208F"/>
    <w:rsid w:val="01AE7847"/>
    <w:rsid w:val="01BE6750"/>
    <w:rsid w:val="01C54C7D"/>
    <w:rsid w:val="02021C0D"/>
    <w:rsid w:val="02076A0A"/>
    <w:rsid w:val="020A6570"/>
    <w:rsid w:val="021E392A"/>
    <w:rsid w:val="02296E4E"/>
    <w:rsid w:val="02317260"/>
    <w:rsid w:val="023536E6"/>
    <w:rsid w:val="024B3357"/>
    <w:rsid w:val="025A5A4A"/>
    <w:rsid w:val="02670DAF"/>
    <w:rsid w:val="027A183F"/>
    <w:rsid w:val="02854B7E"/>
    <w:rsid w:val="02870D83"/>
    <w:rsid w:val="02AA7B2E"/>
    <w:rsid w:val="02C17CF5"/>
    <w:rsid w:val="02E348F7"/>
    <w:rsid w:val="031518CE"/>
    <w:rsid w:val="031B114C"/>
    <w:rsid w:val="0320457B"/>
    <w:rsid w:val="034574AF"/>
    <w:rsid w:val="034E7D8A"/>
    <w:rsid w:val="036433DC"/>
    <w:rsid w:val="036B1263"/>
    <w:rsid w:val="03860538"/>
    <w:rsid w:val="03890649"/>
    <w:rsid w:val="03893112"/>
    <w:rsid w:val="0391746F"/>
    <w:rsid w:val="03AB7ED9"/>
    <w:rsid w:val="03AC1EA9"/>
    <w:rsid w:val="03AD1F20"/>
    <w:rsid w:val="03CA3E93"/>
    <w:rsid w:val="03F71C7F"/>
    <w:rsid w:val="043104A2"/>
    <w:rsid w:val="04312652"/>
    <w:rsid w:val="047542BB"/>
    <w:rsid w:val="047A7A68"/>
    <w:rsid w:val="047C4F99"/>
    <w:rsid w:val="04813C3B"/>
    <w:rsid w:val="048B4253"/>
    <w:rsid w:val="04B47E84"/>
    <w:rsid w:val="04E8398A"/>
    <w:rsid w:val="04F77314"/>
    <w:rsid w:val="050119F0"/>
    <w:rsid w:val="05251A71"/>
    <w:rsid w:val="05536A73"/>
    <w:rsid w:val="057D78A3"/>
    <w:rsid w:val="05814A60"/>
    <w:rsid w:val="058479B7"/>
    <w:rsid w:val="05887CDC"/>
    <w:rsid w:val="05A01558"/>
    <w:rsid w:val="05A06829"/>
    <w:rsid w:val="05C06718"/>
    <w:rsid w:val="05D7148A"/>
    <w:rsid w:val="05DB54A9"/>
    <w:rsid w:val="05E30855"/>
    <w:rsid w:val="05EB1897"/>
    <w:rsid w:val="05F201FB"/>
    <w:rsid w:val="06103708"/>
    <w:rsid w:val="0617610F"/>
    <w:rsid w:val="061D16C4"/>
    <w:rsid w:val="062D1053"/>
    <w:rsid w:val="064F3BEE"/>
    <w:rsid w:val="065D5597"/>
    <w:rsid w:val="065E753C"/>
    <w:rsid w:val="066255ED"/>
    <w:rsid w:val="0670726C"/>
    <w:rsid w:val="06850360"/>
    <w:rsid w:val="068A2908"/>
    <w:rsid w:val="068A5FEE"/>
    <w:rsid w:val="06A63FE3"/>
    <w:rsid w:val="06AE456A"/>
    <w:rsid w:val="06B462A9"/>
    <w:rsid w:val="06C14902"/>
    <w:rsid w:val="06C415FC"/>
    <w:rsid w:val="06E011D1"/>
    <w:rsid w:val="06F641EF"/>
    <w:rsid w:val="0716411F"/>
    <w:rsid w:val="071A6A70"/>
    <w:rsid w:val="072A5D43"/>
    <w:rsid w:val="072E78A6"/>
    <w:rsid w:val="074A1CED"/>
    <w:rsid w:val="074E1C02"/>
    <w:rsid w:val="075601AB"/>
    <w:rsid w:val="07792E18"/>
    <w:rsid w:val="077F1047"/>
    <w:rsid w:val="078056AF"/>
    <w:rsid w:val="078B5C22"/>
    <w:rsid w:val="07980765"/>
    <w:rsid w:val="079F42F5"/>
    <w:rsid w:val="07A66B3F"/>
    <w:rsid w:val="07A73072"/>
    <w:rsid w:val="07CB1685"/>
    <w:rsid w:val="07DB3C63"/>
    <w:rsid w:val="07F930A6"/>
    <w:rsid w:val="080C1E90"/>
    <w:rsid w:val="084A4701"/>
    <w:rsid w:val="08555E08"/>
    <w:rsid w:val="08721AE8"/>
    <w:rsid w:val="0872661A"/>
    <w:rsid w:val="0874575C"/>
    <w:rsid w:val="088D2CF1"/>
    <w:rsid w:val="08A75FEC"/>
    <w:rsid w:val="08AD64F5"/>
    <w:rsid w:val="08CB44C5"/>
    <w:rsid w:val="08E225A7"/>
    <w:rsid w:val="08FC02FE"/>
    <w:rsid w:val="090A5D56"/>
    <w:rsid w:val="09162C95"/>
    <w:rsid w:val="091E063C"/>
    <w:rsid w:val="09241AED"/>
    <w:rsid w:val="09245209"/>
    <w:rsid w:val="09252B68"/>
    <w:rsid w:val="093552A6"/>
    <w:rsid w:val="0935787A"/>
    <w:rsid w:val="09413BDA"/>
    <w:rsid w:val="095331DF"/>
    <w:rsid w:val="095A4558"/>
    <w:rsid w:val="095F08F3"/>
    <w:rsid w:val="096E106C"/>
    <w:rsid w:val="09701136"/>
    <w:rsid w:val="0994741B"/>
    <w:rsid w:val="09A16CA7"/>
    <w:rsid w:val="09B11813"/>
    <w:rsid w:val="09B1552D"/>
    <w:rsid w:val="09B84C6F"/>
    <w:rsid w:val="09C82537"/>
    <w:rsid w:val="09CA1FCC"/>
    <w:rsid w:val="09D15FCF"/>
    <w:rsid w:val="09E50961"/>
    <w:rsid w:val="09E60E28"/>
    <w:rsid w:val="09F84864"/>
    <w:rsid w:val="09FA319D"/>
    <w:rsid w:val="09FB20DA"/>
    <w:rsid w:val="0A0006E0"/>
    <w:rsid w:val="0A243755"/>
    <w:rsid w:val="0A31642E"/>
    <w:rsid w:val="0A341BFE"/>
    <w:rsid w:val="0A3F1C89"/>
    <w:rsid w:val="0A434147"/>
    <w:rsid w:val="0A57566C"/>
    <w:rsid w:val="0A6C67DD"/>
    <w:rsid w:val="0A815BA2"/>
    <w:rsid w:val="0A856526"/>
    <w:rsid w:val="0A9B5783"/>
    <w:rsid w:val="0AB42B78"/>
    <w:rsid w:val="0AC568BB"/>
    <w:rsid w:val="0AC669AC"/>
    <w:rsid w:val="0AF55188"/>
    <w:rsid w:val="0B154CD7"/>
    <w:rsid w:val="0B1C2683"/>
    <w:rsid w:val="0B24107A"/>
    <w:rsid w:val="0B2B42DA"/>
    <w:rsid w:val="0B4351F1"/>
    <w:rsid w:val="0B482030"/>
    <w:rsid w:val="0B5F1271"/>
    <w:rsid w:val="0B6F4DB9"/>
    <w:rsid w:val="0B8C058E"/>
    <w:rsid w:val="0BA025F1"/>
    <w:rsid w:val="0BBE651E"/>
    <w:rsid w:val="0BC319C7"/>
    <w:rsid w:val="0BC52E18"/>
    <w:rsid w:val="0BC7296A"/>
    <w:rsid w:val="0BC81557"/>
    <w:rsid w:val="0BD36CA3"/>
    <w:rsid w:val="0BEA469E"/>
    <w:rsid w:val="0BF314AC"/>
    <w:rsid w:val="0BFB4083"/>
    <w:rsid w:val="0C384E7F"/>
    <w:rsid w:val="0C646D55"/>
    <w:rsid w:val="0C6E7EB2"/>
    <w:rsid w:val="0C72336D"/>
    <w:rsid w:val="0C943E94"/>
    <w:rsid w:val="0CCB4B87"/>
    <w:rsid w:val="0D0700F8"/>
    <w:rsid w:val="0D2F62D9"/>
    <w:rsid w:val="0D416E0A"/>
    <w:rsid w:val="0D6D0250"/>
    <w:rsid w:val="0D753F62"/>
    <w:rsid w:val="0D7A092F"/>
    <w:rsid w:val="0D7D2EF1"/>
    <w:rsid w:val="0D81087C"/>
    <w:rsid w:val="0DAC7893"/>
    <w:rsid w:val="0DBA4C83"/>
    <w:rsid w:val="0DDC17C2"/>
    <w:rsid w:val="0DDC5C9C"/>
    <w:rsid w:val="0DDE08D8"/>
    <w:rsid w:val="0DEC0AAC"/>
    <w:rsid w:val="0E143538"/>
    <w:rsid w:val="0E200415"/>
    <w:rsid w:val="0E423271"/>
    <w:rsid w:val="0E511E28"/>
    <w:rsid w:val="0E523C99"/>
    <w:rsid w:val="0E585E37"/>
    <w:rsid w:val="0E590164"/>
    <w:rsid w:val="0E7744F2"/>
    <w:rsid w:val="0EA2664C"/>
    <w:rsid w:val="0EBA3E44"/>
    <w:rsid w:val="0ECF4C69"/>
    <w:rsid w:val="0EE938BA"/>
    <w:rsid w:val="0F09489A"/>
    <w:rsid w:val="0F2405DE"/>
    <w:rsid w:val="0F2F292B"/>
    <w:rsid w:val="0F480F11"/>
    <w:rsid w:val="0F4A390E"/>
    <w:rsid w:val="0F4B2A3A"/>
    <w:rsid w:val="0F5A6ACA"/>
    <w:rsid w:val="0F650B60"/>
    <w:rsid w:val="0F754CC5"/>
    <w:rsid w:val="0F8C348A"/>
    <w:rsid w:val="0F907DE4"/>
    <w:rsid w:val="0FA657F0"/>
    <w:rsid w:val="0FC921A4"/>
    <w:rsid w:val="0FCA4890"/>
    <w:rsid w:val="0FD900DB"/>
    <w:rsid w:val="0FD901D9"/>
    <w:rsid w:val="0FDB46D3"/>
    <w:rsid w:val="0FDD3167"/>
    <w:rsid w:val="0FE3090F"/>
    <w:rsid w:val="10101C50"/>
    <w:rsid w:val="10296A65"/>
    <w:rsid w:val="10297CAE"/>
    <w:rsid w:val="10397E2D"/>
    <w:rsid w:val="103E2CFA"/>
    <w:rsid w:val="105F3F44"/>
    <w:rsid w:val="10627DE9"/>
    <w:rsid w:val="10706ADD"/>
    <w:rsid w:val="10BC66AD"/>
    <w:rsid w:val="10C43C9C"/>
    <w:rsid w:val="10D379B8"/>
    <w:rsid w:val="10D84ED2"/>
    <w:rsid w:val="10E83F15"/>
    <w:rsid w:val="11191B26"/>
    <w:rsid w:val="11264D38"/>
    <w:rsid w:val="1158549D"/>
    <w:rsid w:val="117013E6"/>
    <w:rsid w:val="11775BF6"/>
    <w:rsid w:val="11AF63CD"/>
    <w:rsid w:val="11B35D01"/>
    <w:rsid w:val="11C87C09"/>
    <w:rsid w:val="11CF7CD5"/>
    <w:rsid w:val="11D431A3"/>
    <w:rsid w:val="11D82034"/>
    <w:rsid w:val="12020F96"/>
    <w:rsid w:val="12137C6C"/>
    <w:rsid w:val="12170602"/>
    <w:rsid w:val="12206F5E"/>
    <w:rsid w:val="1228342F"/>
    <w:rsid w:val="122B747D"/>
    <w:rsid w:val="12480979"/>
    <w:rsid w:val="1254220B"/>
    <w:rsid w:val="126E16AC"/>
    <w:rsid w:val="12766B2B"/>
    <w:rsid w:val="127856F4"/>
    <w:rsid w:val="129959A6"/>
    <w:rsid w:val="12D31EAB"/>
    <w:rsid w:val="12E34449"/>
    <w:rsid w:val="12E602BC"/>
    <w:rsid w:val="12FA4E80"/>
    <w:rsid w:val="130131AC"/>
    <w:rsid w:val="130202AB"/>
    <w:rsid w:val="1308433D"/>
    <w:rsid w:val="13324DBE"/>
    <w:rsid w:val="134E369A"/>
    <w:rsid w:val="136607B7"/>
    <w:rsid w:val="138E7EE3"/>
    <w:rsid w:val="13B303FB"/>
    <w:rsid w:val="13D86684"/>
    <w:rsid w:val="13FC4402"/>
    <w:rsid w:val="141628D6"/>
    <w:rsid w:val="141F41A8"/>
    <w:rsid w:val="142678B8"/>
    <w:rsid w:val="1429361E"/>
    <w:rsid w:val="14294453"/>
    <w:rsid w:val="142D2FA5"/>
    <w:rsid w:val="143375F4"/>
    <w:rsid w:val="144613A2"/>
    <w:rsid w:val="145458F0"/>
    <w:rsid w:val="146C755F"/>
    <w:rsid w:val="146F38F0"/>
    <w:rsid w:val="14761FA0"/>
    <w:rsid w:val="147D42CA"/>
    <w:rsid w:val="14BB71FF"/>
    <w:rsid w:val="14C02C1D"/>
    <w:rsid w:val="14D74ACE"/>
    <w:rsid w:val="14E345F4"/>
    <w:rsid w:val="14F0337C"/>
    <w:rsid w:val="14FB1969"/>
    <w:rsid w:val="14FB755D"/>
    <w:rsid w:val="1504456E"/>
    <w:rsid w:val="150660D3"/>
    <w:rsid w:val="15167FD8"/>
    <w:rsid w:val="15317166"/>
    <w:rsid w:val="153E782D"/>
    <w:rsid w:val="155143CE"/>
    <w:rsid w:val="158D333F"/>
    <w:rsid w:val="15B55042"/>
    <w:rsid w:val="15E35CF7"/>
    <w:rsid w:val="15F41BAD"/>
    <w:rsid w:val="16053F02"/>
    <w:rsid w:val="16104439"/>
    <w:rsid w:val="162B021C"/>
    <w:rsid w:val="16324237"/>
    <w:rsid w:val="16506CC7"/>
    <w:rsid w:val="168B59A8"/>
    <w:rsid w:val="16965F95"/>
    <w:rsid w:val="16AC2F0C"/>
    <w:rsid w:val="16AD5C0B"/>
    <w:rsid w:val="16B53231"/>
    <w:rsid w:val="16C11879"/>
    <w:rsid w:val="16C622EA"/>
    <w:rsid w:val="16D27E56"/>
    <w:rsid w:val="170427AB"/>
    <w:rsid w:val="17106E30"/>
    <w:rsid w:val="17161B54"/>
    <w:rsid w:val="17294251"/>
    <w:rsid w:val="172F560A"/>
    <w:rsid w:val="1754014B"/>
    <w:rsid w:val="1773450E"/>
    <w:rsid w:val="1774095B"/>
    <w:rsid w:val="1788476D"/>
    <w:rsid w:val="178F0769"/>
    <w:rsid w:val="17B9356E"/>
    <w:rsid w:val="17C508FF"/>
    <w:rsid w:val="17DA0305"/>
    <w:rsid w:val="17FD49A3"/>
    <w:rsid w:val="18041BDA"/>
    <w:rsid w:val="18187285"/>
    <w:rsid w:val="18564F37"/>
    <w:rsid w:val="18603004"/>
    <w:rsid w:val="187C2E93"/>
    <w:rsid w:val="187C518F"/>
    <w:rsid w:val="189368DE"/>
    <w:rsid w:val="18A04609"/>
    <w:rsid w:val="18B52DD8"/>
    <w:rsid w:val="18CD3727"/>
    <w:rsid w:val="18CE2BCB"/>
    <w:rsid w:val="18E33C57"/>
    <w:rsid w:val="18E46238"/>
    <w:rsid w:val="18F66642"/>
    <w:rsid w:val="19037C7A"/>
    <w:rsid w:val="190578A0"/>
    <w:rsid w:val="1910750B"/>
    <w:rsid w:val="19133CDA"/>
    <w:rsid w:val="19204547"/>
    <w:rsid w:val="192B6867"/>
    <w:rsid w:val="193E5965"/>
    <w:rsid w:val="196E6B7A"/>
    <w:rsid w:val="1978512C"/>
    <w:rsid w:val="198460C7"/>
    <w:rsid w:val="19863298"/>
    <w:rsid w:val="19A276BC"/>
    <w:rsid w:val="19D05FFB"/>
    <w:rsid w:val="19E260F2"/>
    <w:rsid w:val="19E951DC"/>
    <w:rsid w:val="19EE7653"/>
    <w:rsid w:val="19EF5C39"/>
    <w:rsid w:val="1A1418DC"/>
    <w:rsid w:val="1A1A5329"/>
    <w:rsid w:val="1A336DCF"/>
    <w:rsid w:val="1A525A6B"/>
    <w:rsid w:val="1A575E27"/>
    <w:rsid w:val="1A640328"/>
    <w:rsid w:val="1A724D74"/>
    <w:rsid w:val="1A7C19DE"/>
    <w:rsid w:val="1A83044F"/>
    <w:rsid w:val="1A922739"/>
    <w:rsid w:val="1A9B169F"/>
    <w:rsid w:val="1AA01C45"/>
    <w:rsid w:val="1AA566A9"/>
    <w:rsid w:val="1AB3109A"/>
    <w:rsid w:val="1ABF3D1B"/>
    <w:rsid w:val="1AC05B21"/>
    <w:rsid w:val="1AC66A6F"/>
    <w:rsid w:val="1AD7606D"/>
    <w:rsid w:val="1AE81EA5"/>
    <w:rsid w:val="1AEA37AB"/>
    <w:rsid w:val="1AEB4F8F"/>
    <w:rsid w:val="1B1939C8"/>
    <w:rsid w:val="1B377850"/>
    <w:rsid w:val="1B402CF8"/>
    <w:rsid w:val="1B591EC3"/>
    <w:rsid w:val="1B7D1C68"/>
    <w:rsid w:val="1B885CCC"/>
    <w:rsid w:val="1B8E6C53"/>
    <w:rsid w:val="1BEC6094"/>
    <w:rsid w:val="1BFF6576"/>
    <w:rsid w:val="1C291495"/>
    <w:rsid w:val="1C3F2113"/>
    <w:rsid w:val="1C46241C"/>
    <w:rsid w:val="1C555928"/>
    <w:rsid w:val="1C577A16"/>
    <w:rsid w:val="1C5A6E4A"/>
    <w:rsid w:val="1C7D13C0"/>
    <w:rsid w:val="1C8A6D69"/>
    <w:rsid w:val="1C993E2E"/>
    <w:rsid w:val="1CBE77FA"/>
    <w:rsid w:val="1CCE3A82"/>
    <w:rsid w:val="1CD00845"/>
    <w:rsid w:val="1CD52C7B"/>
    <w:rsid w:val="1D19203E"/>
    <w:rsid w:val="1D1E3BB1"/>
    <w:rsid w:val="1D242231"/>
    <w:rsid w:val="1D250771"/>
    <w:rsid w:val="1D311C10"/>
    <w:rsid w:val="1D5630A6"/>
    <w:rsid w:val="1D62334F"/>
    <w:rsid w:val="1D6402CD"/>
    <w:rsid w:val="1D641BA5"/>
    <w:rsid w:val="1D6F1F94"/>
    <w:rsid w:val="1D763F7E"/>
    <w:rsid w:val="1D8470AA"/>
    <w:rsid w:val="1DA96897"/>
    <w:rsid w:val="1DAC69B1"/>
    <w:rsid w:val="1DD55280"/>
    <w:rsid w:val="1DED40B4"/>
    <w:rsid w:val="1E0A41CC"/>
    <w:rsid w:val="1E1370D5"/>
    <w:rsid w:val="1E2F315F"/>
    <w:rsid w:val="1E3A5474"/>
    <w:rsid w:val="1E4227BC"/>
    <w:rsid w:val="1E450D31"/>
    <w:rsid w:val="1E47755C"/>
    <w:rsid w:val="1E5A04AA"/>
    <w:rsid w:val="1E663662"/>
    <w:rsid w:val="1E727F27"/>
    <w:rsid w:val="1E7B572E"/>
    <w:rsid w:val="1E95289E"/>
    <w:rsid w:val="1EB36195"/>
    <w:rsid w:val="1EB72EF4"/>
    <w:rsid w:val="1EBD15D5"/>
    <w:rsid w:val="1EF923AB"/>
    <w:rsid w:val="1F102E3F"/>
    <w:rsid w:val="1F15725E"/>
    <w:rsid w:val="1F1D1B25"/>
    <w:rsid w:val="1F235977"/>
    <w:rsid w:val="1F440FD5"/>
    <w:rsid w:val="1F445B23"/>
    <w:rsid w:val="1F5E5702"/>
    <w:rsid w:val="1F63678C"/>
    <w:rsid w:val="1F716305"/>
    <w:rsid w:val="1F736A29"/>
    <w:rsid w:val="1F876125"/>
    <w:rsid w:val="1F8A04A3"/>
    <w:rsid w:val="1FB03A8F"/>
    <w:rsid w:val="1FB30150"/>
    <w:rsid w:val="1FE12855"/>
    <w:rsid w:val="1FE57EE8"/>
    <w:rsid w:val="1FEF09C8"/>
    <w:rsid w:val="1FF010E5"/>
    <w:rsid w:val="1FF510D9"/>
    <w:rsid w:val="1FF55A2B"/>
    <w:rsid w:val="20382AE0"/>
    <w:rsid w:val="203A4585"/>
    <w:rsid w:val="203C7CC0"/>
    <w:rsid w:val="203F16B0"/>
    <w:rsid w:val="204C6639"/>
    <w:rsid w:val="20542580"/>
    <w:rsid w:val="20784857"/>
    <w:rsid w:val="208504C5"/>
    <w:rsid w:val="208D7F89"/>
    <w:rsid w:val="20906BDA"/>
    <w:rsid w:val="20980932"/>
    <w:rsid w:val="20B64BD8"/>
    <w:rsid w:val="20C72E12"/>
    <w:rsid w:val="20D31B94"/>
    <w:rsid w:val="20E41E79"/>
    <w:rsid w:val="20EB0A1A"/>
    <w:rsid w:val="20F94FFC"/>
    <w:rsid w:val="211D5DB6"/>
    <w:rsid w:val="2120599C"/>
    <w:rsid w:val="212F2B2E"/>
    <w:rsid w:val="213735C6"/>
    <w:rsid w:val="213A7004"/>
    <w:rsid w:val="215D1ABD"/>
    <w:rsid w:val="215D5F8A"/>
    <w:rsid w:val="215F05B6"/>
    <w:rsid w:val="21795A9A"/>
    <w:rsid w:val="219746C8"/>
    <w:rsid w:val="219B7CCB"/>
    <w:rsid w:val="21A473B5"/>
    <w:rsid w:val="21C26656"/>
    <w:rsid w:val="21C86C87"/>
    <w:rsid w:val="21EA5CE6"/>
    <w:rsid w:val="21EC70E4"/>
    <w:rsid w:val="21FA0D89"/>
    <w:rsid w:val="22173FB8"/>
    <w:rsid w:val="22513ADB"/>
    <w:rsid w:val="22757ED6"/>
    <w:rsid w:val="22775C0E"/>
    <w:rsid w:val="22A03488"/>
    <w:rsid w:val="22B810B7"/>
    <w:rsid w:val="22CA2534"/>
    <w:rsid w:val="22E56A1A"/>
    <w:rsid w:val="22E960A7"/>
    <w:rsid w:val="22F13239"/>
    <w:rsid w:val="230137AE"/>
    <w:rsid w:val="23090AA4"/>
    <w:rsid w:val="230C06A9"/>
    <w:rsid w:val="23541C5C"/>
    <w:rsid w:val="236261CD"/>
    <w:rsid w:val="23666474"/>
    <w:rsid w:val="239600A0"/>
    <w:rsid w:val="239D322E"/>
    <w:rsid w:val="23A72F04"/>
    <w:rsid w:val="23C04277"/>
    <w:rsid w:val="23C23E2C"/>
    <w:rsid w:val="23DD3BBD"/>
    <w:rsid w:val="23EC4965"/>
    <w:rsid w:val="23ED6B98"/>
    <w:rsid w:val="241A1298"/>
    <w:rsid w:val="242875DA"/>
    <w:rsid w:val="24482965"/>
    <w:rsid w:val="244E43EB"/>
    <w:rsid w:val="24625747"/>
    <w:rsid w:val="246B4886"/>
    <w:rsid w:val="249F55BB"/>
    <w:rsid w:val="24A156D9"/>
    <w:rsid w:val="24B6090C"/>
    <w:rsid w:val="24B7117A"/>
    <w:rsid w:val="24D075C4"/>
    <w:rsid w:val="24D357BC"/>
    <w:rsid w:val="24E41EBD"/>
    <w:rsid w:val="24F47E88"/>
    <w:rsid w:val="25006AB6"/>
    <w:rsid w:val="251D6150"/>
    <w:rsid w:val="252D0EDC"/>
    <w:rsid w:val="25427763"/>
    <w:rsid w:val="25545DF7"/>
    <w:rsid w:val="255F46C0"/>
    <w:rsid w:val="25894F1C"/>
    <w:rsid w:val="25910F73"/>
    <w:rsid w:val="259B4EAA"/>
    <w:rsid w:val="25B50668"/>
    <w:rsid w:val="2601730F"/>
    <w:rsid w:val="261A0447"/>
    <w:rsid w:val="26304A03"/>
    <w:rsid w:val="26731A45"/>
    <w:rsid w:val="26881359"/>
    <w:rsid w:val="268A2E9F"/>
    <w:rsid w:val="269B3FDD"/>
    <w:rsid w:val="269C61AD"/>
    <w:rsid w:val="26A53175"/>
    <w:rsid w:val="26B900D5"/>
    <w:rsid w:val="26BC7BF6"/>
    <w:rsid w:val="26D311FF"/>
    <w:rsid w:val="26D47BBD"/>
    <w:rsid w:val="26D80CCE"/>
    <w:rsid w:val="26DA04FE"/>
    <w:rsid w:val="26E11C81"/>
    <w:rsid w:val="270952D9"/>
    <w:rsid w:val="272227C3"/>
    <w:rsid w:val="27272A96"/>
    <w:rsid w:val="27283244"/>
    <w:rsid w:val="272D59FD"/>
    <w:rsid w:val="27376DC6"/>
    <w:rsid w:val="274055D0"/>
    <w:rsid w:val="274B46B3"/>
    <w:rsid w:val="27535D84"/>
    <w:rsid w:val="276052A0"/>
    <w:rsid w:val="277512F4"/>
    <w:rsid w:val="278F1145"/>
    <w:rsid w:val="279436AC"/>
    <w:rsid w:val="27981532"/>
    <w:rsid w:val="27AA21B2"/>
    <w:rsid w:val="27B73A1A"/>
    <w:rsid w:val="27CF4540"/>
    <w:rsid w:val="27D61472"/>
    <w:rsid w:val="27DE2D94"/>
    <w:rsid w:val="27EE4A9C"/>
    <w:rsid w:val="280458A8"/>
    <w:rsid w:val="28264760"/>
    <w:rsid w:val="28274F18"/>
    <w:rsid w:val="28282657"/>
    <w:rsid w:val="28333119"/>
    <w:rsid w:val="284F6C96"/>
    <w:rsid w:val="28654F05"/>
    <w:rsid w:val="28664F00"/>
    <w:rsid w:val="286716A7"/>
    <w:rsid w:val="28716C78"/>
    <w:rsid w:val="289D73A3"/>
    <w:rsid w:val="28A34D78"/>
    <w:rsid w:val="28A7275C"/>
    <w:rsid w:val="28AF543D"/>
    <w:rsid w:val="28C26D95"/>
    <w:rsid w:val="28D019DC"/>
    <w:rsid w:val="28D50FDF"/>
    <w:rsid w:val="28DF5AF6"/>
    <w:rsid w:val="28EE2872"/>
    <w:rsid w:val="28EE4643"/>
    <w:rsid w:val="28F6050F"/>
    <w:rsid w:val="28FA4362"/>
    <w:rsid w:val="28FA66C3"/>
    <w:rsid w:val="292F4988"/>
    <w:rsid w:val="293002B5"/>
    <w:rsid w:val="29482CFD"/>
    <w:rsid w:val="294F7299"/>
    <w:rsid w:val="29680A5D"/>
    <w:rsid w:val="29791F3B"/>
    <w:rsid w:val="297D1992"/>
    <w:rsid w:val="29825BBC"/>
    <w:rsid w:val="29997AF6"/>
    <w:rsid w:val="29A25FFE"/>
    <w:rsid w:val="29A45906"/>
    <w:rsid w:val="29A506FC"/>
    <w:rsid w:val="29A95DAC"/>
    <w:rsid w:val="29BD5C6D"/>
    <w:rsid w:val="29CB2F2E"/>
    <w:rsid w:val="29CD3C84"/>
    <w:rsid w:val="29EC1B96"/>
    <w:rsid w:val="2A017C21"/>
    <w:rsid w:val="2A0D61D2"/>
    <w:rsid w:val="2A1010FC"/>
    <w:rsid w:val="2A1F107E"/>
    <w:rsid w:val="2A286490"/>
    <w:rsid w:val="2A2F6C73"/>
    <w:rsid w:val="2A313078"/>
    <w:rsid w:val="2A7321CD"/>
    <w:rsid w:val="2A8069DE"/>
    <w:rsid w:val="2AD27564"/>
    <w:rsid w:val="2AE97CBF"/>
    <w:rsid w:val="2AF94D50"/>
    <w:rsid w:val="2B0058DE"/>
    <w:rsid w:val="2B0E6870"/>
    <w:rsid w:val="2B0F355D"/>
    <w:rsid w:val="2B222450"/>
    <w:rsid w:val="2B2A73BF"/>
    <w:rsid w:val="2B4572CE"/>
    <w:rsid w:val="2B484A17"/>
    <w:rsid w:val="2B506F79"/>
    <w:rsid w:val="2B711F28"/>
    <w:rsid w:val="2B761F33"/>
    <w:rsid w:val="2B863FB0"/>
    <w:rsid w:val="2B95102F"/>
    <w:rsid w:val="2B985264"/>
    <w:rsid w:val="2B9C7794"/>
    <w:rsid w:val="2BC37EC0"/>
    <w:rsid w:val="2BCF5B2C"/>
    <w:rsid w:val="2BDD73DE"/>
    <w:rsid w:val="2BE04876"/>
    <w:rsid w:val="2BE805A8"/>
    <w:rsid w:val="2BEC2235"/>
    <w:rsid w:val="2C08491D"/>
    <w:rsid w:val="2C145A60"/>
    <w:rsid w:val="2C310072"/>
    <w:rsid w:val="2C321771"/>
    <w:rsid w:val="2C3A7715"/>
    <w:rsid w:val="2C5E46AE"/>
    <w:rsid w:val="2C764E32"/>
    <w:rsid w:val="2C7A45DE"/>
    <w:rsid w:val="2C821439"/>
    <w:rsid w:val="2C8E261E"/>
    <w:rsid w:val="2C957B0A"/>
    <w:rsid w:val="2CAF0476"/>
    <w:rsid w:val="2CBA7C54"/>
    <w:rsid w:val="2CBB4533"/>
    <w:rsid w:val="2CCF1C8A"/>
    <w:rsid w:val="2CFE413E"/>
    <w:rsid w:val="2D081A1B"/>
    <w:rsid w:val="2D204C5E"/>
    <w:rsid w:val="2D2A0D7D"/>
    <w:rsid w:val="2D322B06"/>
    <w:rsid w:val="2D357BC4"/>
    <w:rsid w:val="2D432061"/>
    <w:rsid w:val="2D4E7F5B"/>
    <w:rsid w:val="2D543EC1"/>
    <w:rsid w:val="2D55527B"/>
    <w:rsid w:val="2D5D3C0C"/>
    <w:rsid w:val="2D6D69E3"/>
    <w:rsid w:val="2D7333BF"/>
    <w:rsid w:val="2D7F2732"/>
    <w:rsid w:val="2D8F7CFB"/>
    <w:rsid w:val="2D9211D0"/>
    <w:rsid w:val="2D990B9C"/>
    <w:rsid w:val="2D9E2037"/>
    <w:rsid w:val="2DA53921"/>
    <w:rsid w:val="2DA6121D"/>
    <w:rsid w:val="2DAA47C7"/>
    <w:rsid w:val="2DB13E52"/>
    <w:rsid w:val="2DC31B03"/>
    <w:rsid w:val="2DD972D9"/>
    <w:rsid w:val="2DDF3E3D"/>
    <w:rsid w:val="2DE6023D"/>
    <w:rsid w:val="2E040334"/>
    <w:rsid w:val="2E0532FE"/>
    <w:rsid w:val="2E3A1FC5"/>
    <w:rsid w:val="2E5E5416"/>
    <w:rsid w:val="2E6E2922"/>
    <w:rsid w:val="2E736E43"/>
    <w:rsid w:val="2E7A120C"/>
    <w:rsid w:val="2E7A521E"/>
    <w:rsid w:val="2E7A66FC"/>
    <w:rsid w:val="2E7E53C3"/>
    <w:rsid w:val="2E8D4D26"/>
    <w:rsid w:val="2E9927A3"/>
    <w:rsid w:val="2EA122AD"/>
    <w:rsid w:val="2ECB17EB"/>
    <w:rsid w:val="2ECB5E92"/>
    <w:rsid w:val="2EE82886"/>
    <w:rsid w:val="2EE9128D"/>
    <w:rsid w:val="2EEE27ED"/>
    <w:rsid w:val="2EF201EA"/>
    <w:rsid w:val="2EF75335"/>
    <w:rsid w:val="2F0B2DD5"/>
    <w:rsid w:val="2F0C3E64"/>
    <w:rsid w:val="2F2039C0"/>
    <w:rsid w:val="2F21032A"/>
    <w:rsid w:val="2F210D27"/>
    <w:rsid w:val="2F467284"/>
    <w:rsid w:val="2F8C3113"/>
    <w:rsid w:val="2F940AB6"/>
    <w:rsid w:val="2FA71E09"/>
    <w:rsid w:val="2FB90B9B"/>
    <w:rsid w:val="2FD1530B"/>
    <w:rsid w:val="2FE90991"/>
    <w:rsid w:val="2FED36DB"/>
    <w:rsid w:val="2FED7A26"/>
    <w:rsid w:val="2FF351B1"/>
    <w:rsid w:val="300346D5"/>
    <w:rsid w:val="300C14D7"/>
    <w:rsid w:val="30355611"/>
    <w:rsid w:val="304678F5"/>
    <w:rsid w:val="30504C5C"/>
    <w:rsid w:val="306D0246"/>
    <w:rsid w:val="307739D9"/>
    <w:rsid w:val="307B7F53"/>
    <w:rsid w:val="307E0C8B"/>
    <w:rsid w:val="30DA0679"/>
    <w:rsid w:val="30EA06B3"/>
    <w:rsid w:val="311A339B"/>
    <w:rsid w:val="312D7213"/>
    <w:rsid w:val="314F230B"/>
    <w:rsid w:val="318B66C4"/>
    <w:rsid w:val="319B0473"/>
    <w:rsid w:val="31D42819"/>
    <w:rsid w:val="31F95A80"/>
    <w:rsid w:val="32131AD0"/>
    <w:rsid w:val="322722F3"/>
    <w:rsid w:val="32490371"/>
    <w:rsid w:val="32545C17"/>
    <w:rsid w:val="328A70FD"/>
    <w:rsid w:val="32AC4779"/>
    <w:rsid w:val="32B4451E"/>
    <w:rsid w:val="32C369AC"/>
    <w:rsid w:val="32E71A71"/>
    <w:rsid w:val="32EC3387"/>
    <w:rsid w:val="32F05CA0"/>
    <w:rsid w:val="330B029A"/>
    <w:rsid w:val="330C2A6F"/>
    <w:rsid w:val="33121752"/>
    <w:rsid w:val="332D40C2"/>
    <w:rsid w:val="333F7B79"/>
    <w:rsid w:val="334B2675"/>
    <w:rsid w:val="33530D5D"/>
    <w:rsid w:val="33536431"/>
    <w:rsid w:val="33561838"/>
    <w:rsid w:val="33577D64"/>
    <w:rsid w:val="33600DD6"/>
    <w:rsid w:val="3381788D"/>
    <w:rsid w:val="33900AD5"/>
    <w:rsid w:val="33987FE8"/>
    <w:rsid w:val="33B311B3"/>
    <w:rsid w:val="33D644A8"/>
    <w:rsid w:val="33ED5577"/>
    <w:rsid w:val="33FF1DD0"/>
    <w:rsid w:val="340B208B"/>
    <w:rsid w:val="342C7B08"/>
    <w:rsid w:val="3431189A"/>
    <w:rsid w:val="34377B0A"/>
    <w:rsid w:val="34BD5D44"/>
    <w:rsid w:val="34C101C1"/>
    <w:rsid w:val="34C715B7"/>
    <w:rsid w:val="34DC2644"/>
    <w:rsid w:val="34E77ECD"/>
    <w:rsid w:val="34FB718B"/>
    <w:rsid w:val="34FE5200"/>
    <w:rsid w:val="35027FFE"/>
    <w:rsid w:val="35332DA5"/>
    <w:rsid w:val="3541520B"/>
    <w:rsid w:val="354944F6"/>
    <w:rsid w:val="35566F4D"/>
    <w:rsid w:val="357A34F0"/>
    <w:rsid w:val="35804B54"/>
    <w:rsid w:val="35B15849"/>
    <w:rsid w:val="35C258CD"/>
    <w:rsid w:val="35DE085F"/>
    <w:rsid w:val="35E21547"/>
    <w:rsid w:val="36040E2C"/>
    <w:rsid w:val="360D4C4A"/>
    <w:rsid w:val="36343A72"/>
    <w:rsid w:val="36491401"/>
    <w:rsid w:val="365D508B"/>
    <w:rsid w:val="36872CA1"/>
    <w:rsid w:val="369B6A0E"/>
    <w:rsid w:val="369D5767"/>
    <w:rsid w:val="36AE7C65"/>
    <w:rsid w:val="36DD5C81"/>
    <w:rsid w:val="36E233F0"/>
    <w:rsid w:val="36FF1C5E"/>
    <w:rsid w:val="37021F31"/>
    <w:rsid w:val="372776B8"/>
    <w:rsid w:val="37556F27"/>
    <w:rsid w:val="37781ACC"/>
    <w:rsid w:val="377A7613"/>
    <w:rsid w:val="378B6969"/>
    <w:rsid w:val="379D203C"/>
    <w:rsid w:val="379E68E4"/>
    <w:rsid w:val="37B24598"/>
    <w:rsid w:val="37B413CC"/>
    <w:rsid w:val="37D7330D"/>
    <w:rsid w:val="37EF1A1D"/>
    <w:rsid w:val="37F13E18"/>
    <w:rsid w:val="37F71530"/>
    <w:rsid w:val="38004B13"/>
    <w:rsid w:val="380254F3"/>
    <w:rsid w:val="380A71F4"/>
    <w:rsid w:val="38124FFC"/>
    <w:rsid w:val="381714C5"/>
    <w:rsid w:val="381E11CA"/>
    <w:rsid w:val="385F455C"/>
    <w:rsid w:val="386052D2"/>
    <w:rsid w:val="38682503"/>
    <w:rsid w:val="388E4824"/>
    <w:rsid w:val="38A27406"/>
    <w:rsid w:val="38AB04DD"/>
    <w:rsid w:val="38B1613D"/>
    <w:rsid w:val="38B42DF8"/>
    <w:rsid w:val="38CC0AD8"/>
    <w:rsid w:val="38D72DC0"/>
    <w:rsid w:val="38F35E91"/>
    <w:rsid w:val="38F62947"/>
    <w:rsid w:val="38F745EA"/>
    <w:rsid w:val="38FA4FE2"/>
    <w:rsid w:val="391A2D9D"/>
    <w:rsid w:val="392171F8"/>
    <w:rsid w:val="392A12B1"/>
    <w:rsid w:val="392E478D"/>
    <w:rsid w:val="393461AE"/>
    <w:rsid w:val="397D4B49"/>
    <w:rsid w:val="398A6349"/>
    <w:rsid w:val="39A21CE3"/>
    <w:rsid w:val="39B5194E"/>
    <w:rsid w:val="39CB3DA2"/>
    <w:rsid w:val="39E43091"/>
    <w:rsid w:val="39F32293"/>
    <w:rsid w:val="39FF77B6"/>
    <w:rsid w:val="3A03056E"/>
    <w:rsid w:val="3A061029"/>
    <w:rsid w:val="3A0812AA"/>
    <w:rsid w:val="3A097111"/>
    <w:rsid w:val="3A306F82"/>
    <w:rsid w:val="3A362B17"/>
    <w:rsid w:val="3A4117EF"/>
    <w:rsid w:val="3A5835CA"/>
    <w:rsid w:val="3A6158E7"/>
    <w:rsid w:val="3A652295"/>
    <w:rsid w:val="3A6D6F01"/>
    <w:rsid w:val="3A6F689B"/>
    <w:rsid w:val="3A7B3DA6"/>
    <w:rsid w:val="3A9835D4"/>
    <w:rsid w:val="3AA53C7E"/>
    <w:rsid w:val="3AE76180"/>
    <w:rsid w:val="3AF25226"/>
    <w:rsid w:val="3AF32B72"/>
    <w:rsid w:val="3AF43933"/>
    <w:rsid w:val="3AF81B60"/>
    <w:rsid w:val="3AFA06D3"/>
    <w:rsid w:val="3AFC455B"/>
    <w:rsid w:val="3AFF5F80"/>
    <w:rsid w:val="3B3371D4"/>
    <w:rsid w:val="3B355D3B"/>
    <w:rsid w:val="3B4A3888"/>
    <w:rsid w:val="3B4D2C8A"/>
    <w:rsid w:val="3B5A7171"/>
    <w:rsid w:val="3B8861D5"/>
    <w:rsid w:val="3BA04801"/>
    <w:rsid w:val="3BAC7B48"/>
    <w:rsid w:val="3BB96578"/>
    <w:rsid w:val="3BC07773"/>
    <w:rsid w:val="3BC37C66"/>
    <w:rsid w:val="3BCE589D"/>
    <w:rsid w:val="3BD16847"/>
    <w:rsid w:val="3BF53BCE"/>
    <w:rsid w:val="3BFC1A20"/>
    <w:rsid w:val="3C03716C"/>
    <w:rsid w:val="3C0E6D98"/>
    <w:rsid w:val="3C662976"/>
    <w:rsid w:val="3C8601EE"/>
    <w:rsid w:val="3C985662"/>
    <w:rsid w:val="3CC82D1A"/>
    <w:rsid w:val="3CD50688"/>
    <w:rsid w:val="3CE70CB0"/>
    <w:rsid w:val="3D295D6B"/>
    <w:rsid w:val="3D2A5D53"/>
    <w:rsid w:val="3D2F7075"/>
    <w:rsid w:val="3D3340A8"/>
    <w:rsid w:val="3D54258F"/>
    <w:rsid w:val="3D7658FA"/>
    <w:rsid w:val="3D841F27"/>
    <w:rsid w:val="3DAA3B69"/>
    <w:rsid w:val="3DBA4E22"/>
    <w:rsid w:val="3DE67D91"/>
    <w:rsid w:val="3DEF662F"/>
    <w:rsid w:val="3E046C9F"/>
    <w:rsid w:val="3E502662"/>
    <w:rsid w:val="3E5543AC"/>
    <w:rsid w:val="3E5E11C6"/>
    <w:rsid w:val="3E8E3C86"/>
    <w:rsid w:val="3E911700"/>
    <w:rsid w:val="3EBF4075"/>
    <w:rsid w:val="3EE63D3B"/>
    <w:rsid w:val="3EEE7FD7"/>
    <w:rsid w:val="3EF827D2"/>
    <w:rsid w:val="3F1F50B1"/>
    <w:rsid w:val="3F403AC3"/>
    <w:rsid w:val="3F425D4A"/>
    <w:rsid w:val="3F583EB5"/>
    <w:rsid w:val="3F6C7322"/>
    <w:rsid w:val="3F753A39"/>
    <w:rsid w:val="3F787457"/>
    <w:rsid w:val="3FC25ADE"/>
    <w:rsid w:val="3FD2570A"/>
    <w:rsid w:val="3FE4547E"/>
    <w:rsid w:val="40051B04"/>
    <w:rsid w:val="4013120B"/>
    <w:rsid w:val="401D75AE"/>
    <w:rsid w:val="4026430F"/>
    <w:rsid w:val="402C64BF"/>
    <w:rsid w:val="40300523"/>
    <w:rsid w:val="40301FC1"/>
    <w:rsid w:val="40371E75"/>
    <w:rsid w:val="404C4B4B"/>
    <w:rsid w:val="405705F5"/>
    <w:rsid w:val="406A310F"/>
    <w:rsid w:val="40793225"/>
    <w:rsid w:val="40804C32"/>
    <w:rsid w:val="408F07C9"/>
    <w:rsid w:val="40D21B1D"/>
    <w:rsid w:val="40ED3623"/>
    <w:rsid w:val="40F476B6"/>
    <w:rsid w:val="414F1A0A"/>
    <w:rsid w:val="41557FAD"/>
    <w:rsid w:val="41722F4A"/>
    <w:rsid w:val="417E059E"/>
    <w:rsid w:val="418A0B5A"/>
    <w:rsid w:val="41A94951"/>
    <w:rsid w:val="41AC0759"/>
    <w:rsid w:val="41AF7D55"/>
    <w:rsid w:val="41B15FF2"/>
    <w:rsid w:val="41C15CA7"/>
    <w:rsid w:val="422E0FDC"/>
    <w:rsid w:val="42353388"/>
    <w:rsid w:val="427A7E2A"/>
    <w:rsid w:val="428576F0"/>
    <w:rsid w:val="428A41C7"/>
    <w:rsid w:val="42C352A0"/>
    <w:rsid w:val="42D47B9E"/>
    <w:rsid w:val="43097248"/>
    <w:rsid w:val="43227D24"/>
    <w:rsid w:val="43380103"/>
    <w:rsid w:val="433F54B9"/>
    <w:rsid w:val="43640C0A"/>
    <w:rsid w:val="437752F4"/>
    <w:rsid w:val="439E64C0"/>
    <w:rsid w:val="43A932A4"/>
    <w:rsid w:val="43B525A4"/>
    <w:rsid w:val="43DC25B2"/>
    <w:rsid w:val="440B2C6F"/>
    <w:rsid w:val="44136510"/>
    <w:rsid w:val="442C1839"/>
    <w:rsid w:val="44334166"/>
    <w:rsid w:val="443C78E6"/>
    <w:rsid w:val="446169BE"/>
    <w:rsid w:val="44671275"/>
    <w:rsid w:val="4467744A"/>
    <w:rsid w:val="44744ACD"/>
    <w:rsid w:val="449F7CCD"/>
    <w:rsid w:val="44B60464"/>
    <w:rsid w:val="44E6098D"/>
    <w:rsid w:val="44FA7E6E"/>
    <w:rsid w:val="45131D9C"/>
    <w:rsid w:val="451372B3"/>
    <w:rsid w:val="45201856"/>
    <w:rsid w:val="45232BED"/>
    <w:rsid w:val="454F73EC"/>
    <w:rsid w:val="45501EE0"/>
    <w:rsid w:val="45873BF9"/>
    <w:rsid w:val="458804AD"/>
    <w:rsid w:val="45AD60F2"/>
    <w:rsid w:val="45D954EC"/>
    <w:rsid w:val="45F474B6"/>
    <w:rsid w:val="460D4E70"/>
    <w:rsid w:val="460D55B1"/>
    <w:rsid w:val="4615699D"/>
    <w:rsid w:val="461F29E8"/>
    <w:rsid w:val="4649016D"/>
    <w:rsid w:val="4650089E"/>
    <w:rsid w:val="466A50BF"/>
    <w:rsid w:val="4676786B"/>
    <w:rsid w:val="468C5F42"/>
    <w:rsid w:val="46933026"/>
    <w:rsid w:val="469B257B"/>
    <w:rsid w:val="469C0B90"/>
    <w:rsid w:val="46B535EE"/>
    <w:rsid w:val="46B85AD7"/>
    <w:rsid w:val="46B92CCF"/>
    <w:rsid w:val="46E473D0"/>
    <w:rsid w:val="46F86283"/>
    <w:rsid w:val="470A1DF9"/>
    <w:rsid w:val="4715007E"/>
    <w:rsid w:val="47156DDD"/>
    <w:rsid w:val="47275F83"/>
    <w:rsid w:val="473D6B29"/>
    <w:rsid w:val="474000DF"/>
    <w:rsid w:val="47475E43"/>
    <w:rsid w:val="47751955"/>
    <w:rsid w:val="47927FD4"/>
    <w:rsid w:val="47A307A1"/>
    <w:rsid w:val="47C2788A"/>
    <w:rsid w:val="47D760AC"/>
    <w:rsid w:val="48020EF5"/>
    <w:rsid w:val="480F6F18"/>
    <w:rsid w:val="48110F06"/>
    <w:rsid w:val="4826495F"/>
    <w:rsid w:val="482A2BEE"/>
    <w:rsid w:val="48313FAB"/>
    <w:rsid w:val="483E0A8D"/>
    <w:rsid w:val="484540A0"/>
    <w:rsid w:val="484C1B66"/>
    <w:rsid w:val="485300F2"/>
    <w:rsid w:val="488A436F"/>
    <w:rsid w:val="488B4BAD"/>
    <w:rsid w:val="48BC04FA"/>
    <w:rsid w:val="48E12D60"/>
    <w:rsid w:val="49024796"/>
    <w:rsid w:val="4919795E"/>
    <w:rsid w:val="49332778"/>
    <w:rsid w:val="493A776C"/>
    <w:rsid w:val="49472BE0"/>
    <w:rsid w:val="494F634D"/>
    <w:rsid w:val="495B788B"/>
    <w:rsid w:val="49694317"/>
    <w:rsid w:val="496A46B7"/>
    <w:rsid w:val="498243F0"/>
    <w:rsid w:val="498841A1"/>
    <w:rsid w:val="49992AEC"/>
    <w:rsid w:val="499E7AA5"/>
    <w:rsid w:val="49A47C69"/>
    <w:rsid w:val="49AC6B23"/>
    <w:rsid w:val="49B12E5C"/>
    <w:rsid w:val="49B33D02"/>
    <w:rsid w:val="49C83B58"/>
    <w:rsid w:val="49E660C0"/>
    <w:rsid w:val="49F141E9"/>
    <w:rsid w:val="49FA60CD"/>
    <w:rsid w:val="49FE2D90"/>
    <w:rsid w:val="4A0060A8"/>
    <w:rsid w:val="4A0913A7"/>
    <w:rsid w:val="4A0B67DE"/>
    <w:rsid w:val="4A151F1C"/>
    <w:rsid w:val="4A24193C"/>
    <w:rsid w:val="4A29366D"/>
    <w:rsid w:val="4A5E21AB"/>
    <w:rsid w:val="4A7C30EC"/>
    <w:rsid w:val="4A901EF0"/>
    <w:rsid w:val="4AB51DE1"/>
    <w:rsid w:val="4AB74A8E"/>
    <w:rsid w:val="4AC14768"/>
    <w:rsid w:val="4AC62608"/>
    <w:rsid w:val="4AC900CE"/>
    <w:rsid w:val="4AE46E58"/>
    <w:rsid w:val="4AF25861"/>
    <w:rsid w:val="4AF900AC"/>
    <w:rsid w:val="4B0F6D9E"/>
    <w:rsid w:val="4B115E09"/>
    <w:rsid w:val="4B172C96"/>
    <w:rsid w:val="4B1A3A3B"/>
    <w:rsid w:val="4B22570A"/>
    <w:rsid w:val="4B4D65C7"/>
    <w:rsid w:val="4B5472DF"/>
    <w:rsid w:val="4B576832"/>
    <w:rsid w:val="4B7A01D0"/>
    <w:rsid w:val="4B976E58"/>
    <w:rsid w:val="4BBB4AE8"/>
    <w:rsid w:val="4BBB5677"/>
    <w:rsid w:val="4BC83610"/>
    <w:rsid w:val="4BDD7204"/>
    <w:rsid w:val="4C197F51"/>
    <w:rsid w:val="4C3014A4"/>
    <w:rsid w:val="4C431769"/>
    <w:rsid w:val="4C446A4E"/>
    <w:rsid w:val="4C5F7190"/>
    <w:rsid w:val="4C61480D"/>
    <w:rsid w:val="4C6E27E3"/>
    <w:rsid w:val="4C6F0CE9"/>
    <w:rsid w:val="4C763035"/>
    <w:rsid w:val="4C8118B9"/>
    <w:rsid w:val="4CAC4BF3"/>
    <w:rsid w:val="4CBD2CE3"/>
    <w:rsid w:val="4CCE4045"/>
    <w:rsid w:val="4D4C473B"/>
    <w:rsid w:val="4D4F3380"/>
    <w:rsid w:val="4D68725A"/>
    <w:rsid w:val="4DBF45C2"/>
    <w:rsid w:val="4DD601B5"/>
    <w:rsid w:val="4DDA084B"/>
    <w:rsid w:val="4DEC55CD"/>
    <w:rsid w:val="4E08582B"/>
    <w:rsid w:val="4E194D5A"/>
    <w:rsid w:val="4E2569E0"/>
    <w:rsid w:val="4E390C4C"/>
    <w:rsid w:val="4E440E94"/>
    <w:rsid w:val="4E492772"/>
    <w:rsid w:val="4E4E5768"/>
    <w:rsid w:val="4E503F96"/>
    <w:rsid w:val="4E574300"/>
    <w:rsid w:val="4E880754"/>
    <w:rsid w:val="4E9E2997"/>
    <w:rsid w:val="4EAB2738"/>
    <w:rsid w:val="4EB32A97"/>
    <w:rsid w:val="4EB41C51"/>
    <w:rsid w:val="4EC82A17"/>
    <w:rsid w:val="4ECA4C3D"/>
    <w:rsid w:val="4ECF09C4"/>
    <w:rsid w:val="4ED36269"/>
    <w:rsid w:val="4ED6528A"/>
    <w:rsid w:val="4EE0329E"/>
    <w:rsid w:val="4F0C7BD1"/>
    <w:rsid w:val="4F377A7E"/>
    <w:rsid w:val="4F3C3FED"/>
    <w:rsid w:val="4F4814CB"/>
    <w:rsid w:val="4F4A5A41"/>
    <w:rsid w:val="4F6146AB"/>
    <w:rsid w:val="4F6D70F8"/>
    <w:rsid w:val="4F732766"/>
    <w:rsid w:val="4F95084B"/>
    <w:rsid w:val="4F996A2F"/>
    <w:rsid w:val="4FCC12F3"/>
    <w:rsid w:val="4FDA0213"/>
    <w:rsid w:val="4FDF6722"/>
    <w:rsid w:val="500547C6"/>
    <w:rsid w:val="501472E1"/>
    <w:rsid w:val="501777DD"/>
    <w:rsid w:val="502C2052"/>
    <w:rsid w:val="50506ADF"/>
    <w:rsid w:val="506C02F6"/>
    <w:rsid w:val="50795217"/>
    <w:rsid w:val="507D2A84"/>
    <w:rsid w:val="50843DF8"/>
    <w:rsid w:val="5085704B"/>
    <w:rsid w:val="50953BA3"/>
    <w:rsid w:val="50A055ED"/>
    <w:rsid w:val="50B22415"/>
    <w:rsid w:val="50C16E29"/>
    <w:rsid w:val="50DC235F"/>
    <w:rsid w:val="50E9789A"/>
    <w:rsid w:val="50F4013B"/>
    <w:rsid w:val="51173D18"/>
    <w:rsid w:val="51295380"/>
    <w:rsid w:val="51306C83"/>
    <w:rsid w:val="5143337C"/>
    <w:rsid w:val="51464D28"/>
    <w:rsid w:val="51681BD4"/>
    <w:rsid w:val="516D2385"/>
    <w:rsid w:val="5177787E"/>
    <w:rsid w:val="51891565"/>
    <w:rsid w:val="51E733D2"/>
    <w:rsid w:val="51ED581F"/>
    <w:rsid w:val="51ED7B1B"/>
    <w:rsid w:val="51EE0686"/>
    <w:rsid w:val="51FE5B7A"/>
    <w:rsid w:val="520D743E"/>
    <w:rsid w:val="52312980"/>
    <w:rsid w:val="524A5938"/>
    <w:rsid w:val="52521F8F"/>
    <w:rsid w:val="525B5F5B"/>
    <w:rsid w:val="525C1C3C"/>
    <w:rsid w:val="527A0408"/>
    <w:rsid w:val="52884F83"/>
    <w:rsid w:val="52975220"/>
    <w:rsid w:val="52C6081B"/>
    <w:rsid w:val="52D61297"/>
    <w:rsid w:val="52D7389B"/>
    <w:rsid w:val="52E4451C"/>
    <w:rsid w:val="52ED11FF"/>
    <w:rsid w:val="531E5ABF"/>
    <w:rsid w:val="532B7538"/>
    <w:rsid w:val="5336706D"/>
    <w:rsid w:val="534B3EF0"/>
    <w:rsid w:val="536C3E36"/>
    <w:rsid w:val="536D51C0"/>
    <w:rsid w:val="536D7F17"/>
    <w:rsid w:val="537275A1"/>
    <w:rsid w:val="537A2483"/>
    <w:rsid w:val="538600D8"/>
    <w:rsid w:val="539217C8"/>
    <w:rsid w:val="539471D3"/>
    <w:rsid w:val="539C0E9E"/>
    <w:rsid w:val="53A546DF"/>
    <w:rsid w:val="53A567D2"/>
    <w:rsid w:val="53CC1099"/>
    <w:rsid w:val="53CF2378"/>
    <w:rsid w:val="53D30CBF"/>
    <w:rsid w:val="53E56014"/>
    <w:rsid w:val="541F1508"/>
    <w:rsid w:val="542715FB"/>
    <w:rsid w:val="543716E9"/>
    <w:rsid w:val="54453B78"/>
    <w:rsid w:val="548A2977"/>
    <w:rsid w:val="54AC5402"/>
    <w:rsid w:val="54AF4AEE"/>
    <w:rsid w:val="54B33101"/>
    <w:rsid w:val="54CC4290"/>
    <w:rsid w:val="54E25EE4"/>
    <w:rsid w:val="54EA712A"/>
    <w:rsid w:val="54F97692"/>
    <w:rsid w:val="54FD5035"/>
    <w:rsid w:val="54FF1B35"/>
    <w:rsid w:val="55240897"/>
    <w:rsid w:val="553A1002"/>
    <w:rsid w:val="555122CB"/>
    <w:rsid w:val="555552B8"/>
    <w:rsid w:val="555625C2"/>
    <w:rsid w:val="55624E03"/>
    <w:rsid w:val="556C080C"/>
    <w:rsid w:val="557C1BB2"/>
    <w:rsid w:val="55DD37AF"/>
    <w:rsid w:val="56117E69"/>
    <w:rsid w:val="561262B0"/>
    <w:rsid w:val="56172336"/>
    <w:rsid w:val="56193A2E"/>
    <w:rsid w:val="561A0963"/>
    <w:rsid w:val="56383F81"/>
    <w:rsid w:val="564D26C7"/>
    <w:rsid w:val="56697849"/>
    <w:rsid w:val="566C3E4C"/>
    <w:rsid w:val="56A16B09"/>
    <w:rsid w:val="56A274BB"/>
    <w:rsid w:val="56BB0E9E"/>
    <w:rsid w:val="56BC61BB"/>
    <w:rsid w:val="56C37188"/>
    <w:rsid w:val="56C734DB"/>
    <w:rsid w:val="56CD552F"/>
    <w:rsid w:val="570279A4"/>
    <w:rsid w:val="5718551D"/>
    <w:rsid w:val="571F69D0"/>
    <w:rsid w:val="57410CC1"/>
    <w:rsid w:val="5765253A"/>
    <w:rsid w:val="576A443C"/>
    <w:rsid w:val="577309FA"/>
    <w:rsid w:val="57883F28"/>
    <w:rsid w:val="578C0AB8"/>
    <w:rsid w:val="5791242C"/>
    <w:rsid w:val="57950165"/>
    <w:rsid w:val="57A406B6"/>
    <w:rsid w:val="57BB02DB"/>
    <w:rsid w:val="57BD4EF1"/>
    <w:rsid w:val="57D73FD3"/>
    <w:rsid w:val="57DB48D4"/>
    <w:rsid w:val="57DC2EDB"/>
    <w:rsid w:val="583D3AFB"/>
    <w:rsid w:val="58510A4A"/>
    <w:rsid w:val="585B31F9"/>
    <w:rsid w:val="58623F3E"/>
    <w:rsid w:val="587F1329"/>
    <w:rsid w:val="5891081D"/>
    <w:rsid w:val="58AB47A1"/>
    <w:rsid w:val="58AB5CBB"/>
    <w:rsid w:val="58CB2844"/>
    <w:rsid w:val="58D009AE"/>
    <w:rsid w:val="58DC3CFE"/>
    <w:rsid w:val="58F659A2"/>
    <w:rsid w:val="591079CB"/>
    <w:rsid w:val="59183B30"/>
    <w:rsid w:val="5935517D"/>
    <w:rsid w:val="59493F41"/>
    <w:rsid w:val="594F79E3"/>
    <w:rsid w:val="595373B8"/>
    <w:rsid w:val="598600A2"/>
    <w:rsid w:val="598C1726"/>
    <w:rsid w:val="598F3AC0"/>
    <w:rsid w:val="599418CE"/>
    <w:rsid w:val="59B31A79"/>
    <w:rsid w:val="59B549B6"/>
    <w:rsid w:val="59C14BC6"/>
    <w:rsid w:val="59C8125B"/>
    <w:rsid w:val="59CE448F"/>
    <w:rsid w:val="59D17213"/>
    <w:rsid w:val="59D94BC8"/>
    <w:rsid w:val="59E12331"/>
    <w:rsid w:val="59E51821"/>
    <w:rsid w:val="59FF337E"/>
    <w:rsid w:val="5A0538EB"/>
    <w:rsid w:val="5A067C2D"/>
    <w:rsid w:val="5A096AFC"/>
    <w:rsid w:val="5A28252C"/>
    <w:rsid w:val="5A7F21B4"/>
    <w:rsid w:val="5A7F6762"/>
    <w:rsid w:val="5A8E0759"/>
    <w:rsid w:val="5AB62FAA"/>
    <w:rsid w:val="5AB920D9"/>
    <w:rsid w:val="5ABA709E"/>
    <w:rsid w:val="5AD72471"/>
    <w:rsid w:val="5AE90AB1"/>
    <w:rsid w:val="5AF951C8"/>
    <w:rsid w:val="5AFD0AEA"/>
    <w:rsid w:val="5B0A723B"/>
    <w:rsid w:val="5B100DAA"/>
    <w:rsid w:val="5B1012DD"/>
    <w:rsid w:val="5B4936C8"/>
    <w:rsid w:val="5B5973FA"/>
    <w:rsid w:val="5B5A198F"/>
    <w:rsid w:val="5B65332F"/>
    <w:rsid w:val="5BA14FFA"/>
    <w:rsid w:val="5BA4750A"/>
    <w:rsid w:val="5BE87363"/>
    <w:rsid w:val="5BEF4723"/>
    <w:rsid w:val="5BF7485F"/>
    <w:rsid w:val="5BFD57E8"/>
    <w:rsid w:val="5C015121"/>
    <w:rsid w:val="5C0A3453"/>
    <w:rsid w:val="5C2A31CE"/>
    <w:rsid w:val="5C384421"/>
    <w:rsid w:val="5C51066C"/>
    <w:rsid w:val="5C662BA1"/>
    <w:rsid w:val="5C6E3947"/>
    <w:rsid w:val="5C827B46"/>
    <w:rsid w:val="5CA23B6C"/>
    <w:rsid w:val="5CA56C7A"/>
    <w:rsid w:val="5CA91600"/>
    <w:rsid w:val="5CB4587F"/>
    <w:rsid w:val="5CB5392D"/>
    <w:rsid w:val="5CEF1CD5"/>
    <w:rsid w:val="5CFC130C"/>
    <w:rsid w:val="5D2F1EA3"/>
    <w:rsid w:val="5D674CF8"/>
    <w:rsid w:val="5D7E68F3"/>
    <w:rsid w:val="5D82708B"/>
    <w:rsid w:val="5DDE69CB"/>
    <w:rsid w:val="5DF53344"/>
    <w:rsid w:val="5E10546C"/>
    <w:rsid w:val="5E4D7601"/>
    <w:rsid w:val="5E695614"/>
    <w:rsid w:val="5E6E1125"/>
    <w:rsid w:val="5E8E6D53"/>
    <w:rsid w:val="5EB23633"/>
    <w:rsid w:val="5EBA7D8F"/>
    <w:rsid w:val="5ED51B74"/>
    <w:rsid w:val="5EE44C8A"/>
    <w:rsid w:val="5EF047A6"/>
    <w:rsid w:val="5EF62A3B"/>
    <w:rsid w:val="5F2062FC"/>
    <w:rsid w:val="5F212CC1"/>
    <w:rsid w:val="5F2B2393"/>
    <w:rsid w:val="5F313F9A"/>
    <w:rsid w:val="5F381851"/>
    <w:rsid w:val="5F4B4845"/>
    <w:rsid w:val="5F6050EC"/>
    <w:rsid w:val="5F6F5575"/>
    <w:rsid w:val="5F835427"/>
    <w:rsid w:val="5FC823D6"/>
    <w:rsid w:val="5FDB4E15"/>
    <w:rsid w:val="5FED406A"/>
    <w:rsid w:val="600852DD"/>
    <w:rsid w:val="602F6574"/>
    <w:rsid w:val="606C120D"/>
    <w:rsid w:val="60C1764B"/>
    <w:rsid w:val="60D554F1"/>
    <w:rsid w:val="60D7659A"/>
    <w:rsid w:val="60DE0F30"/>
    <w:rsid w:val="60F65E69"/>
    <w:rsid w:val="60FA435B"/>
    <w:rsid w:val="60FA7EC1"/>
    <w:rsid w:val="61084FEB"/>
    <w:rsid w:val="610B4F05"/>
    <w:rsid w:val="61432ADA"/>
    <w:rsid w:val="6145293C"/>
    <w:rsid w:val="614F4F4C"/>
    <w:rsid w:val="616502BC"/>
    <w:rsid w:val="61684EF9"/>
    <w:rsid w:val="616869BE"/>
    <w:rsid w:val="617756DB"/>
    <w:rsid w:val="61942516"/>
    <w:rsid w:val="619B464A"/>
    <w:rsid w:val="61CB7B18"/>
    <w:rsid w:val="61D3345D"/>
    <w:rsid w:val="61D51448"/>
    <w:rsid w:val="61DF2A07"/>
    <w:rsid w:val="61EE1426"/>
    <w:rsid w:val="62153B7B"/>
    <w:rsid w:val="622B65EA"/>
    <w:rsid w:val="623F3ADB"/>
    <w:rsid w:val="62526D0C"/>
    <w:rsid w:val="625C76B5"/>
    <w:rsid w:val="626732CA"/>
    <w:rsid w:val="6275464A"/>
    <w:rsid w:val="628120D0"/>
    <w:rsid w:val="628C15DF"/>
    <w:rsid w:val="62963F8A"/>
    <w:rsid w:val="62AA1DCF"/>
    <w:rsid w:val="62B43B0D"/>
    <w:rsid w:val="62BD60CF"/>
    <w:rsid w:val="62C4748D"/>
    <w:rsid w:val="62C61E01"/>
    <w:rsid w:val="62CD4C66"/>
    <w:rsid w:val="62CF0B1F"/>
    <w:rsid w:val="631A5E32"/>
    <w:rsid w:val="632D1657"/>
    <w:rsid w:val="63411BAF"/>
    <w:rsid w:val="634C6EEE"/>
    <w:rsid w:val="636D1194"/>
    <w:rsid w:val="63711368"/>
    <w:rsid w:val="637F46F6"/>
    <w:rsid w:val="63A1657D"/>
    <w:rsid w:val="63A47126"/>
    <w:rsid w:val="63A903F3"/>
    <w:rsid w:val="63CA7707"/>
    <w:rsid w:val="63E51D29"/>
    <w:rsid w:val="63E77572"/>
    <w:rsid w:val="63F348D9"/>
    <w:rsid w:val="64040604"/>
    <w:rsid w:val="641E4151"/>
    <w:rsid w:val="6424571C"/>
    <w:rsid w:val="642A11B5"/>
    <w:rsid w:val="64452F29"/>
    <w:rsid w:val="6456236E"/>
    <w:rsid w:val="64626F6F"/>
    <w:rsid w:val="64665458"/>
    <w:rsid w:val="64893C0E"/>
    <w:rsid w:val="648E1BC0"/>
    <w:rsid w:val="64B41591"/>
    <w:rsid w:val="64D812FF"/>
    <w:rsid w:val="64D92FA0"/>
    <w:rsid w:val="64E87B44"/>
    <w:rsid w:val="64EB0FBE"/>
    <w:rsid w:val="64EB7B01"/>
    <w:rsid w:val="65136AF1"/>
    <w:rsid w:val="651D08F0"/>
    <w:rsid w:val="652A6D49"/>
    <w:rsid w:val="652A7142"/>
    <w:rsid w:val="652D0A19"/>
    <w:rsid w:val="654B1B04"/>
    <w:rsid w:val="65506C25"/>
    <w:rsid w:val="65603BEF"/>
    <w:rsid w:val="657C2366"/>
    <w:rsid w:val="65815295"/>
    <w:rsid w:val="65903BC0"/>
    <w:rsid w:val="65A5003C"/>
    <w:rsid w:val="65A9445B"/>
    <w:rsid w:val="65D22B1F"/>
    <w:rsid w:val="65E61FDC"/>
    <w:rsid w:val="65E93500"/>
    <w:rsid w:val="65F30BA6"/>
    <w:rsid w:val="65F56543"/>
    <w:rsid w:val="65FA04F9"/>
    <w:rsid w:val="660671D2"/>
    <w:rsid w:val="662D61B6"/>
    <w:rsid w:val="66394CCA"/>
    <w:rsid w:val="66476A3E"/>
    <w:rsid w:val="66522722"/>
    <w:rsid w:val="666A3CE0"/>
    <w:rsid w:val="668D309D"/>
    <w:rsid w:val="669259D6"/>
    <w:rsid w:val="66AF52E3"/>
    <w:rsid w:val="66BF4894"/>
    <w:rsid w:val="66C23257"/>
    <w:rsid w:val="66C97BDC"/>
    <w:rsid w:val="66FF2696"/>
    <w:rsid w:val="672F29B0"/>
    <w:rsid w:val="67344EEE"/>
    <w:rsid w:val="67512CD4"/>
    <w:rsid w:val="676644C1"/>
    <w:rsid w:val="679623CC"/>
    <w:rsid w:val="67AA1BD4"/>
    <w:rsid w:val="67B03E1C"/>
    <w:rsid w:val="67B63ADD"/>
    <w:rsid w:val="67BA24F7"/>
    <w:rsid w:val="67BD327A"/>
    <w:rsid w:val="67BE743F"/>
    <w:rsid w:val="67D33F9E"/>
    <w:rsid w:val="67DD5CD3"/>
    <w:rsid w:val="67F4187F"/>
    <w:rsid w:val="67FD6F7B"/>
    <w:rsid w:val="680349A7"/>
    <w:rsid w:val="68046717"/>
    <w:rsid w:val="68190A75"/>
    <w:rsid w:val="68282FC4"/>
    <w:rsid w:val="682E0E8B"/>
    <w:rsid w:val="683B6C01"/>
    <w:rsid w:val="68522D85"/>
    <w:rsid w:val="68552A33"/>
    <w:rsid w:val="68581A6B"/>
    <w:rsid w:val="6875473B"/>
    <w:rsid w:val="68A1661F"/>
    <w:rsid w:val="68B45B06"/>
    <w:rsid w:val="68C9427C"/>
    <w:rsid w:val="68CE72EB"/>
    <w:rsid w:val="68E0788A"/>
    <w:rsid w:val="69082581"/>
    <w:rsid w:val="690C3614"/>
    <w:rsid w:val="6910135B"/>
    <w:rsid w:val="69162D19"/>
    <w:rsid w:val="691F5A41"/>
    <w:rsid w:val="69306998"/>
    <w:rsid w:val="693717F2"/>
    <w:rsid w:val="69442FE9"/>
    <w:rsid w:val="695A3AF9"/>
    <w:rsid w:val="696145BC"/>
    <w:rsid w:val="696463EB"/>
    <w:rsid w:val="69734D74"/>
    <w:rsid w:val="697B6A64"/>
    <w:rsid w:val="69862CE3"/>
    <w:rsid w:val="6986629D"/>
    <w:rsid w:val="69D76785"/>
    <w:rsid w:val="6A152EFB"/>
    <w:rsid w:val="6A3937AC"/>
    <w:rsid w:val="6A3F2D2E"/>
    <w:rsid w:val="6A5F0006"/>
    <w:rsid w:val="6A63659E"/>
    <w:rsid w:val="6A7925A8"/>
    <w:rsid w:val="6A830B01"/>
    <w:rsid w:val="6A8670D1"/>
    <w:rsid w:val="6A8A41CB"/>
    <w:rsid w:val="6A976A33"/>
    <w:rsid w:val="6A9D6E15"/>
    <w:rsid w:val="6AA54363"/>
    <w:rsid w:val="6AB24160"/>
    <w:rsid w:val="6ABA4896"/>
    <w:rsid w:val="6AD206F4"/>
    <w:rsid w:val="6ADF1F96"/>
    <w:rsid w:val="6AF77BC8"/>
    <w:rsid w:val="6B000B6C"/>
    <w:rsid w:val="6B050FD0"/>
    <w:rsid w:val="6B0E317F"/>
    <w:rsid w:val="6B216572"/>
    <w:rsid w:val="6B277DA2"/>
    <w:rsid w:val="6B501A20"/>
    <w:rsid w:val="6B592A06"/>
    <w:rsid w:val="6B601C74"/>
    <w:rsid w:val="6B752969"/>
    <w:rsid w:val="6B814F29"/>
    <w:rsid w:val="6B870A98"/>
    <w:rsid w:val="6B9F4803"/>
    <w:rsid w:val="6BF43D27"/>
    <w:rsid w:val="6C15311D"/>
    <w:rsid w:val="6C1F7BCC"/>
    <w:rsid w:val="6C4145B4"/>
    <w:rsid w:val="6C5972A7"/>
    <w:rsid w:val="6C6047AE"/>
    <w:rsid w:val="6C672D36"/>
    <w:rsid w:val="6C733352"/>
    <w:rsid w:val="6C7553D1"/>
    <w:rsid w:val="6C7C747A"/>
    <w:rsid w:val="6CD400B2"/>
    <w:rsid w:val="6CE25113"/>
    <w:rsid w:val="6CE97BF1"/>
    <w:rsid w:val="6D124B49"/>
    <w:rsid w:val="6D317E34"/>
    <w:rsid w:val="6D404CA9"/>
    <w:rsid w:val="6D472903"/>
    <w:rsid w:val="6D723243"/>
    <w:rsid w:val="6D78793E"/>
    <w:rsid w:val="6D9E2848"/>
    <w:rsid w:val="6DA34920"/>
    <w:rsid w:val="6DA9096F"/>
    <w:rsid w:val="6DB0280C"/>
    <w:rsid w:val="6DB1336D"/>
    <w:rsid w:val="6DE97DFA"/>
    <w:rsid w:val="6DF92ABB"/>
    <w:rsid w:val="6DFC1659"/>
    <w:rsid w:val="6E044FCF"/>
    <w:rsid w:val="6E0B6526"/>
    <w:rsid w:val="6E0E1276"/>
    <w:rsid w:val="6E1A137E"/>
    <w:rsid w:val="6E2E492A"/>
    <w:rsid w:val="6E3A433C"/>
    <w:rsid w:val="6E3E507C"/>
    <w:rsid w:val="6E4228F4"/>
    <w:rsid w:val="6E5E44CA"/>
    <w:rsid w:val="6E5E6AE5"/>
    <w:rsid w:val="6E8763F9"/>
    <w:rsid w:val="6E915B2B"/>
    <w:rsid w:val="6EA0426C"/>
    <w:rsid w:val="6EB73738"/>
    <w:rsid w:val="6ECF3481"/>
    <w:rsid w:val="6EE258B6"/>
    <w:rsid w:val="6EE33B44"/>
    <w:rsid w:val="6EEF486F"/>
    <w:rsid w:val="6F0A6FBD"/>
    <w:rsid w:val="6F1E572C"/>
    <w:rsid w:val="6F1E67F9"/>
    <w:rsid w:val="6F3B5009"/>
    <w:rsid w:val="6F4E55B4"/>
    <w:rsid w:val="6F4F7EE5"/>
    <w:rsid w:val="6F7C56EC"/>
    <w:rsid w:val="6F8328D2"/>
    <w:rsid w:val="6F99794B"/>
    <w:rsid w:val="6FAB786B"/>
    <w:rsid w:val="6FAD29FD"/>
    <w:rsid w:val="6FAD5482"/>
    <w:rsid w:val="6FAE7313"/>
    <w:rsid w:val="6FC2332A"/>
    <w:rsid w:val="6FD43EFC"/>
    <w:rsid w:val="6FD50C02"/>
    <w:rsid w:val="70167118"/>
    <w:rsid w:val="70254322"/>
    <w:rsid w:val="705010AC"/>
    <w:rsid w:val="705F560F"/>
    <w:rsid w:val="706711CC"/>
    <w:rsid w:val="707A5A81"/>
    <w:rsid w:val="70A5017C"/>
    <w:rsid w:val="70A95B73"/>
    <w:rsid w:val="70F62ADA"/>
    <w:rsid w:val="70FE2D47"/>
    <w:rsid w:val="71071084"/>
    <w:rsid w:val="71075340"/>
    <w:rsid w:val="7126257A"/>
    <w:rsid w:val="7129391D"/>
    <w:rsid w:val="713C7E5B"/>
    <w:rsid w:val="7162683A"/>
    <w:rsid w:val="71694FD9"/>
    <w:rsid w:val="71747B71"/>
    <w:rsid w:val="717E46EB"/>
    <w:rsid w:val="71817136"/>
    <w:rsid w:val="719211EC"/>
    <w:rsid w:val="71925D1D"/>
    <w:rsid w:val="71AF2210"/>
    <w:rsid w:val="71CA0D5E"/>
    <w:rsid w:val="71DB5A01"/>
    <w:rsid w:val="71E25E05"/>
    <w:rsid w:val="721915C9"/>
    <w:rsid w:val="721B753E"/>
    <w:rsid w:val="72285892"/>
    <w:rsid w:val="723138DA"/>
    <w:rsid w:val="724D3390"/>
    <w:rsid w:val="72577CDB"/>
    <w:rsid w:val="726D363D"/>
    <w:rsid w:val="726F39E2"/>
    <w:rsid w:val="72716B4C"/>
    <w:rsid w:val="727F2BF1"/>
    <w:rsid w:val="729736F6"/>
    <w:rsid w:val="72A72EF0"/>
    <w:rsid w:val="72BE185C"/>
    <w:rsid w:val="72C1068E"/>
    <w:rsid w:val="72CE2F89"/>
    <w:rsid w:val="72D8720F"/>
    <w:rsid w:val="72EC4945"/>
    <w:rsid w:val="730640FD"/>
    <w:rsid w:val="730F547D"/>
    <w:rsid w:val="730F56F4"/>
    <w:rsid w:val="73107387"/>
    <w:rsid w:val="731745A4"/>
    <w:rsid w:val="733539C1"/>
    <w:rsid w:val="733D5BF9"/>
    <w:rsid w:val="735348AA"/>
    <w:rsid w:val="7361714C"/>
    <w:rsid w:val="736D650D"/>
    <w:rsid w:val="736F4CA0"/>
    <w:rsid w:val="73916DD4"/>
    <w:rsid w:val="739C40DD"/>
    <w:rsid w:val="739F4721"/>
    <w:rsid w:val="73AD290B"/>
    <w:rsid w:val="73B93D66"/>
    <w:rsid w:val="73C17A50"/>
    <w:rsid w:val="73C30FEF"/>
    <w:rsid w:val="73D33243"/>
    <w:rsid w:val="73D4049D"/>
    <w:rsid w:val="73DD3E20"/>
    <w:rsid w:val="73E2566E"/>
    <w:rsid w:val="73EF5FE9"/>
    <w:rsid w:val="741930C3"/>
    <w:rsid w:val="743D2D86"/>
    <w:rsid w:val="744805BD"/>
    <w:rsid w:val="744A3664"/>
    <w:rsid w:val="744D6CBF"/>
    <w:rsid w:val="74643211"/>
    <w:rsid w:val="74655062"/>
    <w:rsid w:val="746F4E37"/>
    <w:rsid w:val="747F51EF"/>
    <w:rsid w:val="748F4977"/>
    <w:rsid w:val="749A2D3C"/>
    <w:rsid w:val="74AD131B"/>
    <w:rsid w:val="74D62315"/>
    <w:rsid w:val="74DF6994"/>
    <w:rsid w:val="750055AC"/>
    <w:rsid w:val="75063B1B"/>
    <w:rsid w:val="750A66F9"/>
    <w:rsid w:val="75273D41"/>
    <w:rsid w:val="758A653E"/>
    <w:rsid w:val="75961649"/>
    <w:rsid w:val="75A00FB4"/>
    <w:rsid w:val="75B400F6"/>
    <w:rsid w:val="75CF5209"/>
    <w:rsid w:val="75D950F9"/>
    <w:rsid w:val="75F575D5"/>
    <w:rsid w:val="760C57AA"/>
    <w:rsid w:val="76163BCE"/>
    <w:rsid w:val="761B0B1B"/>
    <w:rsid w:val="7628188A"/>
    <w:rsid w:val="7640177D"/>
    <w:rsid w:val="764F292A"/>
    <w:rsid w:val="765062A0"/>
    <w:rsid w:val="7663289D"/>
    <w:rsid w:val="76790ADF"/>
    <w:rsid w:val="768E7646"/>
    <w:rsid w:val="76A26E06"/>
    <w:rsid w:val="76A66760"/>
    <w:rsid w:val="76B2276B"/>
    <w:rsid w:val="76BB585B"/>
    <w:rsid w:val="76D96FB9"/>
    <w:rsid w:val="76E94E87"/>
    <w:rsid w:val="76F20DF1"/>
    <w:rsid w:val="77106EBA"/>
    <w:rsid w:val="77163160"/>
    <w:rsid w:val="77214A06"/>
    <w:rsid w:val="77215136"/>
    <w:rsid w:val="772B5EA8"/>
    <w:rsid w:val="77454297"/>
    <w:rsid w:val="777D19FE"/>
    <w:rsid w:val="778871A2"/>
    <w:rsid w:val="778F36F0"/>
    <w:rsid w:val="77921AE7"/>
    <w:rsid w:val="77A410DD"/>
    <w:rsid w:val="77C37958"/>
    <w:rsid w:val="77D508C0"/>
    <w:rsid w:val="77F3010A"/>
    <w:rsid w:val="77FE2760"/>
    <w:rsid w:val="78631056"/>
    <w:rsid w:val="786D0427"/>
    <w:rsid w:val="78737360"/>
    <w:rsid w:val="78974FFF"/>
    <w:rsid w:val="78B257B0"/>
    <w:rsid w:val="78B3330A"/>
    <w:rsid w:val="78C72AB3"/>
    <w:rsid w:val="78E368F2"/>
    <w:rsid w:val="78EF1496"/>
    <w:rsid w:val="78FE1934"/>
    <w:rsid w:val="79492CDF"/>
    <w:rsid w:val="79802F5F"/>
    <w:rsid w:val="798749BE"/>
    <w:rsid w:val="798E7305"/>
    <w:rsid w:val="79A26D7F"/>
    <w:rsid w:val="79BA618A"/>
    <w:rsid w:val="79C4400F"/>
    <w:rsid w:val="79F66DC5"/>
    <w:rsid w:val="7A001C0B"/>
    <w:rsid w:val="7A2351C7"/>
    <w:rsid w:val="7A6A0313"/>
    <w:rsid w:val="7A8E6064"/>
    <w:rsid w:val="7AD043A4"/>
    <w:rsid w:val="7AED691F"/>
    <w:rsid w:val="7AF0153E"/>
    <w:rsid w:val="7AF75B8C"/>
    <w:rsid w:val="7B2A6400"/>
    <w:rsid w:val="7B314879"/>
    <w:rsid w:val="7B373BAE"/>
    <w:rsid w:val="7B3E431F"/>
    <w:rsid w:val="7B5778B1"/>
    <w:rsid w:val="7B6B503D"/>
    <w:rsid w:val="7B783589"/>
    <w:rsid w:val="7B8B3E2D"/>
    <w:rsid w:val="7B8C6F4A"/>
    <w:rsid w:val="7B8D3EC5"/>
    <w:rsid w:val="7BC8163A"/>
    <w:rsid w:val="7BE12942"/>
    <w:rsid w:val="7BE71E9D"/>
    <w:rsid w:val="7C130F84"/>
    <w:rsid w:val="7C161AE6"/>
    <w:rsid w:val="7C3743DA"/>
    <w:rsid w:val="7C384F87"/>
    <w:rsid w:val="7C505E7A"/>
    <w:rsid w:val="7C5B69CA"/>
    <w:rsid w:val="7C851534"/>
    <w:rsid w:val="7C882158"/>
    <w:rsid w:val="7C8E0964"/>
    <w:rsid w:val="7C973094"/>
    <w:rsid w:val="7CA43F68"/>
    <w:rsid w:val="7CA91C4F"/>
    <w:rsid w:val="7CAD2604"/>
    <w:rsid w:val="7CD56075"/>
    <w:rsid w:val="7CE771D7"/>
    <w:rsid w:val="7CEA2BFA"/>
    <w:rsid w:val="7D057AAA"/>
    <w:rsid w:val="7D06381E"/>
    <w:rsid w:val="7D0C4762"/>
    <w:rsid w:val="7D2B6B73"/>
    <w:rsid w:val="7D2C4A96"/>
    <w:rsid w:val="7D2E3A96"/>
    <w:rsid w:val="7D3578D6"/>
    <w:rsid w:val="7D49333C"/>
    <w:rsid w:val="7D6E66D5"/>
    <w:rsid w:val="7D7D108B"/>
    <w:rsid w:val="7D8C0CB6"/>
    <w:rsid w:val="7D9F16FD"/>
    <w:rsid w:val="7DBB12A7"/>
    <w:rsid w:val="7DC33BE2"/>
    <w:rsid w:val="7DCF183C"/>
    <w:rsid w:val="7DD86355"/>
    <w:rsid w:val="7DDB2C21"/>
    <w:rsid w:val="7DE70D9D"/>
    <w:rsid w:val="7DED64A1"/>
    <w:rsid w:val="7DEF258E"/>
    <w:rsid w:val="7DF52A8D"/>
    <w:rsid w:val="7E013C02"/>
    <w:rsid w:val="7E015A30"/>
    <w:rsid w:val="7E0E140A"/>
    <w:rsid w:val="7E1E15DD"/>
    <w:rsid w:val="7E1E376E"/>
    <w:rsid w:val="7E2E19B0"/>
    <w:rsid w:val="7E63691E"/>
    <w:rsid w:val="7E814A68"/>
    <w:rsid w:val="7E900B7E"/>
    <w:rsid w:val="7E99309E"/>
    <w:rsid w:val="7EB7298D"/>
    <w:rsid w:val="7EC15ADF"/>
    <w:rsid w:val="7EC7328B"/>
    <w:rsid w:val="7EC81C49"/>
    <w:rsid w:val="7ED7341E"/>
    <w:rsid w:val="7ED7501E"/>
    <w:rsid w:val="7EEB51F6"/>
    <w:rsid w:val="7EED1710"/>
    <w:rsid w:val="7F3B13D4"/>
    <w:rsid w:val="7F582019"/>
    <w:rsid w:val="7F596ADA"/>
    <w:rsid w:val="7F6678BE"/>
    <w:rsid w:val="7FC0112C"/>
    <w:rsid w:val="7FC8149F"/>
    <w:rsid w:val="7FCF3BB2"/>
    <w:rsid w:val="7FD94153"/>
    <w:rsid w:val="7FE535BD"/>
    <w:rsid w:val="7FF70B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4"/>
    <w:link w:val="93"/>
    <w:qFormat/>
    <w:uiPriority w:val="0"/>
    <w:pPr>
      <w:keepNext/>
      <w:keepLines/>
      <w:adjustRightInd w:val="0"/>
      <w:snapToGrid w:val="0"/>
      <w:spacing w:before="156" w:beforeLines="50" w:line="360" w:lineRule="auto"/>
      <w:jc w:val="left"/>
      <w:outlineLvl w:val="0"/>
    </w:pPr>
    <w:rPr>
      <w:rFonts w:eastAsia="黑体"/>
      <w:b/>
      <w:kern w:val="44"/>
      <w:sz w:val="32"/>
    </w:rPr>
  </w:style>
  <w:style w:type="paragraph" w:styleId="5">
    <w:name w:val="heading 2"/>
    <w:basedOn w:val="1"/>
    <w:next w:val="1"/>
    <w:link w:val="65"/>
    <w:qFormat/>
    <w:uiPriority w:val="0"/>
    <w:pPr>
      <w:keepNext/>
      <w:keepLines/>
      <w:tabs>
        <w:tab w:val="left" w:pos="630"/>
      </w:tabs>
      <w:spacing w:before="260" w:after="120" w:line="360" w:lineRule="auto"/>
      <w:ind w:left="936" w:hanging="576"/>
      <w:outlineLvl w:val="1"/>
    </w:pPr>
    <w:rPr>
      <w:b/>
      <w:sz w:val="32"/>
    </w:rPr>
  </w:style>
  <w:style w:type="paragraph" w:styleId="6">
    <w:name w:val="heading 3"/>
    <w:basedOn w:val="1"/>
    <w:next w:val="7"/>
    <w:link w:val="115"/>
    <w:qFormat/>
    <w:uiPriority w:val="0"/>
    <w:pPr>
      <w:keepNext/>
      <w:keepLines/>
      <w:spacing w:before="260" w:after="260" w:line="416" w:lineRule="auto"/>
      <w:outlineLvl w:val="2"/>
    </w:pPr>
    <w:rPr>
      <w:b/>
      <w:bCs/>
      <w:sz w:val="32"/>
      <w:szCs w:val="32"/>
    </w:rPr>
  </w:style>
  <w:style w:type="paragraph" w:styleId="8">
    <w:name w:val="heading 4"/>
    <w:basedOn w:val="1"/>
    <w:next w:val="1"/>
    <w:link w:val="114"/>
    <w:qFormat/>
    <w:uiPriority w:val="0"/>
    <w:pPr>
      <w:keepNext/>
      <w:keepLines/>
      <w:widowControl/>
      <w:adjustRightInd w:val="0"/>
      <w:snapToGrid w:val="0"/>
      <w:spacing w:before="280" w:after="290" w:line="376" w:lineRule="auto"/>
      <w:jc w:val="left"/>
      <w:outlineLvl w:val="3"/>
    </w:pPr>
    <w:rPr>
      <w:rFonts w:ascii="Cambria" w:hAnsi="Cambria"/>
      <w:b/>
      <w:bCs/>
      <w:kern w:val="0"/>
      <w:sz w:val="28"/>
      <w:szCs w:val="28"/>
    </w:rPr>
  </w:style>
  <w:style w:type="character" w:default="1" w:styleId="43">
    <w:name w:val="Default Paragraph Font"/>
    <w:link w:val="44"/>
    <w:semiHidden/>
    <w:unhideWhenUsed/>
    <w:qFormat/>
    <w:uiPriority w:val="1"/>
    <w:rPr>
      <w:rFonts w:ascii="Calibri" w:hAnsi="Calibri"/>
      <w:szCs w:val="22"/>
    </w:rPr>
  </w:style>
  <w:style w:type="table" w:default="1" w:styleId="40">
    <w:name w:val="Normal Table"/>
    <w:semiHidden/>
    <w:unhideWhenUsed/>
    <w:qFormat/>
    <w:uiPriority w:val="99"/>
    <w:tblPr>
      <w:tblCellMar>
        <w:top w:w="0" w:type="dxa"/>
        <w:left w:w="108" w:type="dxa"/>
        <w:bottom w:w="0" w:type="dxa"/>
        <w:right w:w="108" w:type="dxa"/>
      </w:tblCellMar>
    </w:tblPr>
  </w:style>
  <w:style w:type="paragraph" w:customStyle="1" w:styleId="2">
    <w:name w:val="Default"/>
    <w:link w:val="89"/>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styleId="4">
    <w:name w:val="Body Text First Indent"/>
    <w:basedOn w:val="1"/>
    <w:next w:val="1"/>
    <w:link w:val="100"/>
    <w:qFormat/>
    <w:uiPriority w:val="0"/>
    <w:pPr>
      <w:adjustRightInd w:val="0"/>
      <w:snapToGrid w:val="0"/>
      <w:spacing w:before="156" w:beforeLines="50" w:after="0" w:line="360" w:lineRule="auto"/>
      <w:ind w:firstLine="200" w:firstLineChars="200"/>
    </w:pPr>
    <w:rPr>
      <w:sz w:val="24"/>
    </w:rPr>
  </w:style>
  <w:style w:type="paragraph" w:styleId="7">
    <w:name w:val="Normal Indent"/>
    <w:basedOn w:val="1"/>
    <w:link w:val="72"/>
    <w:qFormat/>
    <w:uiPriority w:val="0"/>
    <w:pPr>
      <w:jc w:val="center"/>
    </w:pPr>
    <w:rPr>
      <w:rFonts w:eastAsia="黑体"/>
      <w:sz w:val="24"/>
      <w:szCs w:val="21"/>
    </w:rPr>
  </w:style>
  <w:style w:type="paragraph" w:styleId="9">
    <w:name w:val="toc 7"/>
    <w:basedOn w:val="1"/>
    <w:next w:val="1"/>
    <w:qFormat/>
    <w:uiPriority w:val="0"/>
    <w:pPr>
      <w:ind w:left="2520" w:leftChars="1200"/>
    </w:pPr>
    <w:rPr>
      <w:szCs w:val="24"/>
    </w:rPr>
  </w:style>
  <w:style w:type="paragraph" w:styleId="10">
    <w:name w:val="Note Heading"/>
    <w:basedOn w:val="1"/>
    <w:next w:val="1"/>
    <w:qFormat/>
    <w:uiPriority w:val="0"/>
    <w:pPr>
      <w:jc w:val="center"/>
    </w:pPr>
  </w:style>
  <w:style w:type="paragraph" w:styleId="11">
    <w:name w:val="caption"/>
    <w:basedOn w:val="1"/>
    <w:next w:val="1"/>
    <w:qFormat/>
    <w:uiPriority w:val="0"/>
    <w:pPr>
      <w:adjustRightInd w:val="0"/>
      <w:snapToGrid w:val="0"/>
      <w:spacing w:line="360" w:lineRule="auto"/>
      <w:jc w:val="left"/>
    </w:pPr>
    <w:rPr>
      <w:rFonts w:eastAsia="黑体"/>
      <w:sz w:val="24"/>
    </w:rPr>
  </w:style>
  <w:style w:type="paragraph" w:styleId="12">
    <w:name w:val="List Bullet"/>
    <w:basedOn w:val="1"/>
    <w:qFormat/>
    <w:uiPriority w:val="0"/>
    <w:pPr>
      <w:numPr>
        <w:ilvl w:val="0"/>
        <w:numId w:val="1"/>
      </w:numPr>
      <w:tabs>
        <w:tab w:val="left" w:pos="360"/>
      </w:tabs>
    </w:pPr>
  </w:style>
  <w:style w:type="paragraph" w:styleId="13">
    <w:name w:val="Document Map"/>
    <w:basedOn w:val="1"/>
    <w:semiHidden/>
    <w:qFormat/>
    <w:uiPriority w:val="0"/>
    <w:pPr>
      <w:shd w:val="clear" w:color="auto" w:fill="000080"/>
    </w:pPr>
  </w:style>
  <w:style w:type="paragraph" w:styleId="14">
    <w:name w:val="annotation text"/>
    <w:basedOn w:val="1"/>
    <w:link w:val="71"/>
    <w:qFormat/>
    <w:uiPriority w:val="0"/>
    <w:pPr>
      <w:jc w:val="left"/>
    </w:pPr>
  </w:style>
  <w:style w:type="paragraph" w:styleId="15">
    <w:name w:val="Body Text"/>
    <w:basedOn w:val="1"/>
    <w:next w:val="16"/>
    <w:link w:val="61"/>
    <w:qFormat/>
    <w:uiPriority w:val="0"/>
    <w:pPr>
      <w:spacing w:after="120"/>
    </w:pPr>
  </w:style>
  <w:style w:type="paragraph" w:customStyle="1" w:styleId="16">
    <w:name w:val="xl27"/>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styleId="17">
    <w:name w:val="Body Text Indent"/>
    <w:basedOn w:val="1"/>
    <w:link w:val="63"/>
    <w:qFormat/>
    <w:uiPriority w:val="0"/>
    <w:pPr>
      <w:spacing w:after="120"/>
      <w:ind w:left="420" w:leftChars="200"/>
    </w:pPr>
  </w:style>
  <w:style w:type="paragraph" w:styleId="18">
    <w:name w:val="Block Text"/>
    <w:basedOn w:val="1"/>
    <w:qFormat/>
    <w:uiPriority w:val="0"/>
    <w:pPr>
      <w:spacing w:line="500" w:lineRule="exact"/>
      <w:ind w:left="-105" w:leftChars="-50" w:right="-105" w:rightChars="-50"/>
      <w:jc w:val="center"/>
    </w:pPr>
    <w:rPr>
      <w:rFonts w:eastAsia="仿宋_GB2312"/>
      <w:sz w:val="28"/>
      <w:szCs w:val="24"/>
    </w:rPr>
  </w:style>
  <w:style w:type="paragraph" w:styleId="19">
    <w:name w:val="toc 5"/>
    <w:basedOn w:val="1"/>
    <w:next w:val="1"/>
    <w:qFormat/>
    <w:uiPriority w:val="0"/>
    <w:pPr>
      <w:ind w:left="1680" w:leftChars="800"/>
    </w:pPr>
    <w:rPr>
      <w:szCs w:val="24"/>
    </w:rPr>
  </w:style>
  <w:style w:type="paragraph" w:styleId="20">
    <w:name w:val="toc 3"/>
    <w:basedOn w:val="1"/>
    <w:next w:val="1"/>
    <w:qFormat/>
    <w:uiPriority w:val="0"/>
    <w:pPr>
      <w:ind w:left="840" w:leftChars="400"/>
    </w:pPr>
    <w:rPr>
      <w:szCs w:val="24"/>
    </w:rPr>
  </w:style>
  <w:style w:type="paragraph" w:styleId="21">
    <w:name w:val="Plain Text"/>
    <w:basedOn w:val="1"/>
    <w:link w:val="67"/>
    <w:qFormat/>
    <w:uiPriority w:val="0"/>
    <w:rPr>
      <w:rFonts w:ascii="宋体" w:hAnsi="Courier New"/>
    </w:rPr>
  </w:style>
  <w:style w:type="paragraph" w:styleId="22">
    <w:name w:val="toc 8"/>
    <w:basedOn w:val="1"/>
    <w:next w:val="1"/>
    <w:qFormat/>
    <w:uiPriority w:val="0"/>
    <w:pPr>
      <w:ind w:left="2940" w:leftChars="1400"/>
    </w:pPr>
    <w:rPr>
      <w:szCs w:val="24"/>
    </w:rPr>
  </w:style>
  <w:style w:type="paragraph" w:styleId="23">
    <w:name w:val="Date"/>
    <w:basedOn w:val="1"/>
    <w:next w:val="1"/>
    <w:qFormat/>
    <w:uiPriority w:val="0"/>
    <w:pPr>
      <w:ind w:left="100" w:leftChars="2500"/>
    </w:pPr>
  </w:style>
  <w:style w:type="paragraph" w:styleId="24">
    <w:name w:val="Body Text Indent 2"/>
    <w:basedOn w:val="1"/>
    <w:qFormat/>
    <w:uiPriority w:val="0"/>
    <w:pPr>
      <w:spacing w:after="120" w:line="480" w:lineRule="auto"/>
      <w:ind w:left="420" w:leftChars="200"/>
    </w:pPr>
  </w:style>
  <w:style w:type="paragraph" w:styleId="25">
    <w:name w:val="Balloon Text"/>
    <w:basedOn w:val="1"/>
    <w:link w:val="86"/>
    <w:qFormat/>
    <w:uiPriority w:val="0"/>
    <w:rPr>
      <w:sz w:val="18"/>
      <w:szCs w:val="18"/>
    </w:rPr>
  </w:style>
  <w:style w:type="paragraph" w:styleId="26">
    <w:name w:val="footer"/>
    <w:basedOn w:val="1"/>
    <w:link w:val="102"/>
    <w:qFormat/>
    <w:uiPriority w:val="99"/>
    <w:pPr>
      <w:tabs>
        <w:tab w:val="center" w:pos="4153"/>
        <w:tab w:val="right" w:pos="8306"/>
      </w:tabs>
      <w:snapToGrid w:val="0"/>
      <w:jc w:val="left"/>
    </w:pPr>
    <w:rPr>
      <w:sz w:val="18"/>
    </w:rPr>
  </w:style>
  <w:style w:type="paragraph" w:styleId="27">
    <w:name w:val="header"/>
    <w:basedOn w:val="1"/>
    <w:qFormat/>
    <w:uiPriority w:val="0"/>
    <w:pPr>
      <w:pBdr>
        <w:bottom w:val="single" w:color="auto" w:sz="6" w:space="1"/>
      </w:pBdr>
      <w:tabs>
        <w:tab w:val="center" w:pos="4153"/>
        <w:tab w:val="right" w:pos="8306"/>
      </w:tabs>
      <w:snapToGrid w:val="0"/>
      <w:jc w:val="center"/>
    </w:pPr>
    <w:rPr>
      <w:sz w:val="18"/>
    </w:rPr>
  </w:style>
  <w:style w:type="paragraph" w:styleId="28">
    <w:name w:val="toc 1"/>
    <w:basedOn w:val="1"/>
    <w:next w:val="1"/>
    <w:qFormat/>
    <w:uiPriority w:val="39"/>
    <w:pPr>
      <w:tabs>
        <w:tab w:val="right" w:leader="dot" w:pos="8891"/>
      </w:tabs>
      <w:spacing w:line="360" w:lineRule="auto"/>
    </w:pPr>
    <w:rPr>
      <w:sz w:val="28"/>
    </w:rPr>
  </w:style>
  <w:style w:type="paragraph" w:styleId="29">
    <w:name w:val="toc 4"/>
    <w:basedOn w:val="1"/>
    <w:next w:val="1"/>
    <w:qFormat/>
    <w:uiPriority w:val="0"/>
    <w:pPr>
      <w:ind w:left="1260" w:leftChars="600"/>
    </w:pPr>
    <w:rPr>
      <w:szCs w:val="24"/>
    </w:rPr>
  </w:style>
  <w:style w:type="paragraph" w:styleId="30">
    <w:name w:val="List Number 5"/>
    <w:basedOn w:val="1"/>
    <w:qFormat/>
    <w:uiPriority w:val="0"/>
    <w:pPr>
      <w:numPr>
        <w:ilvl w:val="0"/>
        <w:numId w:val="2"/>
      </w:numPr>
      <w:tabs>
        <w:tab w:val="left" w:pos="2040"/>
      </w:tabs>
    </w:pPr>
  </w:style>
  <w:style w:type="paragraph" w:styleId="31">
    <w:name w:val="List"/>
    <w:basedOn w:val="1"/>
    <w:qFormat/>
    <w:uiPriority w:val="0"/>
    <w:pPr>
      <w:widowControl/>
      <w:ind w:left="200" w:hanging="200" w:hangingChars="200"/>
      <w:jc w:val="left"/>
    </w:pPr>
    <w:rPr>
      <w:rFonts w:ascii="宋体" w:hAnsi="宋体" w:cs="宋体"/>
      <w:kern w:val="0"/>
      <w:sz w:val="24"/>
      <w:szCs w:val="24"/>
    </w:rPr>
  </w:style>
  <w:style w:type="paragraph" w:styleId="32">
    <w:name w:val="toc 6"/>
    <w:basedOn w:val="1"/>
    <w:next w:val="1"/>
    <w:qFormat/>
    <w:uiPriority w:val="0"/>
    <w:pPr>
      <w:ind w:left="2100" w:leftChars="1000"/>
    </w:pPr>
    <w:rPr>
      <w:szCs w:val="24"/>
    </w:rPr>
  </w:style>
  <w:style w:type="paragraph" w:styleId="33">
    <w:name w:val="Body Text Indent 3"/>
    <w:basedOn w:val="1"/>
    <w:qFormat/>
    <w:uiPriority w:val="0"/>
    <w:pPr>
      <w:spacing w:after="120"/>
      <w:ind w:left="420" w:leftChars="200"/>
    </w:pPr>
    <w:rPr>
      <w:sz w:val="16"/>
      <w:szCs w:val="16"/>
    </w:rPr>
  </w:style>
  <w:style w:type="paragraph" w:styleId="34">
    <w:name w:val="toc 2"/>
    <w:basedOn w:val="1"/>
    <w:next w:val="1"/>
    <w:qFormat/>
    <w:uiPriority w:val="0"/>
    <w:pPr>
      <w:ind w:left="420" w:leftChars="200"/>
    </w:pPr>
    <w:rPr>
      <w:szCs w:val="24"/>
    </w:rPr>
  </w:style>
  <w:style w:type="paragraph" w:styleId="35">
    <w:name w:val="toc 9"/>
    <w:basedOn w:val="1"/>
    <w:next w:val="1"/>
    <w:qFormat/>
    <w:uiPriority w:val="0"/>
    <w:pPr>
      <w:ind w:left="3360" w:leftChars="1600"/>
    </w:pPr>
    <w:rPr>
      <w:szCs w:val="24"/>
    </w:rPr>
  </w:style>
  <w:style w:type="paragraph" w:styleId="36">
    <w:name w:val="Body Text 2"/>
    <w:basedOn w:val="1"/>
    <w:qFormat/>
    <w:uiPriority w:val="0"/>
    <w:pPr>
      <w:spacing w:after="120" w:line="480" w:lineRule="auto"/>
    </w:pPr>
  </w:style>
  <w:style w:type="paragraph" w:styleId="37">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38">
    <w:name w:val="annotation subject"/>
    <w:basedOn w:val="14"/>
    <w:next w:val="14"/>
    <w:link w:val="83"/>
    <w:qFormat/>
    <w:uiPriority w:val="0"/>
    <w:rPr>
      <w:b/>
      <w:bCs/>
    </w:rPr>
  </w:style>
  <w:style w:type="paragraph" w:styleId="39">
    <w:name w:val="Body Text First Indent 2"/>
    <w:basedOn w:val="17"/>
    <w:qFormat/>
    <w:uiPriority w:val="0"/>
    <w:pPr>
      <w:ind w:firstLine="420" w:firstLineChars="200"/>
    </w:pPr>
  </w:style>
  <w:style w:type="table" w:styleId="41">
    <w:name w:val="Table Grid"/>
    <w:basedOn w:val="4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2">
    <w:name w:val="Table Grid 5"/>
    <w:basedOn w:val="40"/>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paragraph" w:customStyle="1" w:styleId="44">
    <w:name w:val="默认段落字体 Para Char Char Char Char Char Char Char"/>
    <w:basedOn w:val="1"/>
    <w:link w:val="43"/>
    <w:qFormat/>
    <w:uiPriority w:val="0"/>
    <w:rPr>
      <w:rFonts w:ascii="Calibri" w:hAnsi="Calibri"/>
      <w:szCs w:val="22"/>
    </w:rPr>
  </w:style>
  <w:style w:type="character" w:styleId="45">
    <w:name w:val="Strong"/>
    <w:qFormat/>
    <w:uiPriority w:val="0"/>
    <w:rPr>
      <w:b/>
      <w:bCs/>
    </w:rPr>
  </w:style>
  <w:style w:type="character" w:styleId="46">
    <w:name w:val="page number"/>
    <w:basedOn w:val="43"/>
    <w:qFormat/>
    <w:uiPriority w:val="0"/>
  </w:style>
  <w:style w:type="character" w:styleId="47">
    <w:name w:val="FollowedHyperlink"/>
    <w:qFormat/>
    <w:uiPriority w:val="0"/>
    <w:rPr>
      <w:color w:val="800080"/>
      <w:u w:val="none"/>
    </w:rPr>
  </w:style>
  <w:style w:type="character" w:styleId="48">
    <w:name w:val="Emphasis"/>
    <w:qFormat/>
    <w:uiPriority w:val="0"/>
    <w:rPr>
      <w:i/>
    </w:rPr>
  </w:style>
  <w:style w:type="character" w:styleId="49">
    <w:name w:val="Hyperlink"/>
    <w:qFormat/>
    <w:uiPriority w:val="99"/>
    <w:rPr>
      <w:color w:val="0000FF"/>
      <w:u w:val="none"/>
    </w:rPr>
  </w:style>
  <w:style w:type="character" w:styleId="50">
    <w:name w:val="annotation reference"/>
    <w:basedOn w:val="43"/>
    <w:qFormat/>
    <w:uiPriority w:val="0"/>
    <w:rPr>
      <w:sz w:val="21"/>
      <w:szCs w:val="21"/>
    </w:rPr>
  </w:style>
  <w:style w:type="paragraph" w:customStyle="1" w:styleId="51">
    <w:name w:val="四级条标题"/>
    <w:basedOn w:val="52"/>
    <w:next w:val="56"/>
    <w:qFormat/>
    <w:uiPriority w:val="0"/>
    <w:pPr>
      <w:widowControl/>
      <w:numPr>
        <w:ilvl w:val="3"/>
        <w:numId w:val="0"/>
      </w:numPr>
      <w:outlineLvl w:val="5"/>
    </w:pPr>
    <w:rPr>
      <w:rFonts w:ascii="黑体" w:eastAsia="黑体"/>
      <w:kern w:val="0"/>
      <w:szCs w:val="20"/>
    </w:rPr>
  </w:style>
  <w:style w:type="paragraph" w:customStyle="1" w:styleId="52">
    <w:name w:val="三级条标题"/>
    <w:basedOn w:val="53"/>
    <w:next w:val="56"/>
    <w:qFormat/>
    <w:uiPriority w:val="0"/>
    <w:pPr>
      <w:numPr>
        <w:ilvl w:val="3"/>
        <w:numId w:val="0"/>
      </w:numPr>
      <w:outlineLvl w:val="4"/>
    </w:pPr>
  </w:style>
  <w:style w:type="paragraph" w:customStyle="1" w:styleId="53">
    <w:name w:val="二级条标题"/>
    <w:basedOn w:val="54"/>
    <w:next w:val="56"/>
    <w:qFormat/>
    <w:uiPriority w:val="0"/>
    <w:pPr>
      <w:numPr>
        <w:ilvl w:val="3"/>
        <w:numId w:val="3"/>
      </w:numPr>
      <w:outlineLvl w:val="3"/>
    </w:pPr>
  </w:style>
  <w:style w:type="paragraph" w:customStyle="1" w:styleId="54">
    <w:name w:val="一级条标题"/>
    <w:basedOn w:val="55"/>
    <w:next w:val="56"/>
    <w:qFormat/>
    <w:uiPriority w:val="0"/>
    <w:pPr>
      <w:numPr>
        <w:ilvl w:val="2"/>
        <w:numId w:val="3"/>
      </w:numPr>
      <w:spacing w:before="0" w:beforeLines="0" w:after="0" w:afterLines="0"/>
      <w:outlineLvl w:val="2"/>
    </w:pPr>
  </w:style>
  <w:style w:type="paragraph" w:customStyle="1" w:styleId="55">
    <w:name w:val="章标题"/>
    <w:next w:val="56"/>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56">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7">
    <w:name w:val="font51"/>
    <w:qFormat/>
    <w:uiPriority w:val="0"/>
    <w:rPr>
      <w:rFonts w:hint="eastAsia" w:ascii="宋体" w:hAnsi="宋体" w:eastAsia="宋体" w:cs="宋体"/>
      <w:color w:val="000000"/>
      <w:sz w:val="20"/>
      <w:szCs w:val="20"/>
      <w:u w:val="none"/>
    </w:rPr>
  </w:style>
  <w:style w:type="character" w:customStyle="1" w:styleId="58">
    <w:name w:val="Char Char6"/>
    <w:semiHidden/>
    <w:qFormat/>
    <w:locked/>
    <w:uiPriority w:val="0"/>
    <w:rPr>
      <w:rFonts w:ascii="宋体" w:hAnsi="宋体" w:eastAsia="宋体"/>
      <w:kern w:val="2"/>
      <w:sz w:val="18"/>
      <w:szCs w:val="18"/>
      <w:lang w:val="en-US" w:eastAsia="zh-CN" w:bidi="ar-SA"/>
    </w:rPr>
  </w:style>
  <w:style w:type="character" w:customStyle="1" w:styleId="59">
    <w:name w:val="表 Char"/>
    <w:link w:val="60"/>
    <w:qFormat/>
    <w:uiPriority w:val="0"/>
    <w:rPr>
      <w:sz w:val="24"/>
      <w:lang w:val="en-US" w:eastAsia="zh-CN" w:bidi="ar-SA"/>
    </w:rPr>
  </w:style>
  <w:style w:type="paragraph" w:customStyle="1" w:styleId="60">
    <w:name w:val="表"/>
    <w:link w:val="59"/>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character" w:customStyle="1" w:styleId="61">
    <w:name w:val="正文文本 字符"/>
    <w:link w:val="15"/>
    <w:qFormat/>
    <w:uiPriority w:val="0"/>
    <w:rPr>
      <w:kern w:val="2"/>
      <w:sz w:val="21"/>
    </w:rPr>
  </w:style>
  <w:style w:type="character" w:customStyle="1" w:styleId="62">
    <w:name w:val="postbody1"/>
    <w:qFormat/>
    <w:uiPriority w:val="0"/>
    <w:rPr>
      <w:sz w:val="21"/>
      <w:szCs w:val="21"/>
    </w:rPr>
  </w:style>
  <w:style w:type="character" w:customStyle="1" w:styleId="63">
    <w:name w:val="正文文本缩进 字符"/>
    <w:link w:val="17"/>
    <w:qFormat/>
    <w:uiPriority w:val="0"/>
    <w:rPr>
      <w:kern w:val="2"/>
      <w:sz w:val="21"/>
    </w:rPr>
  </w:style>
  <w:style w:type="character" w:customStyle="1" w:styleId="64">
    <w:name w:val="font31"/>
    <w:basedOn w:val="43"/>
    <w:qFormat/>
    <w:uiPriority w:val="0"/>
    <w:rPr>
      <w:rFonts w:hint="default" w:ascii="Times New Roman" w:hAnsi="Times New Roman" w:cs="Times New Roman"/>
      <w:color w:val="000000"/>
      <w:sz w:val="21"/>
      <w:szCs w:val="21"/>
      <w:u w:val="none"/>
    </w:rPr>
  </w:style>
  <w:style w:type="character" w:customStyle="1" w:styleId="65">
    <w:name w:val="标题 2 字符"/>
    <w:link w:val="5"/>
    <w:qFormat/>
    <w:uiPriority w:val="0"/>
    <w:rPr>
      <w:b/>
      <w:kern w:val="2"/>
      <w:sz w:val="32"/>
    </w:rPr>
  </w:style>
  <w:style w:type="character" w:customStyle="1" w:styleId="66">
    <w:name w:val="普通文字 Char Char1"/>
    <w:qFormat/>
    <w:uiPriority w:val="0"/>
    <w:rPr>
      <w:rFonts w:ascii="宋体" w:hAnsi="Courier New" w:eastAsia="宋体"/>
      <w:kern w:val="2"/>
      <w:sz w:val="21"/>
      <w:lang w:val="en-US" w:eastAsia="zh-CN" w:bidi="ar-SA"/>
    </w:rPr>
  </w:style>
  <w:style w:type="character" w:customStyle="1" w:styleId="67">
    <w:name w:val="纯文本 字符"/>
    <w:link w:val="21"/>
    <w:qFormat/>
    <w:uiPriority w:val="0"/>
    <w:rPr>
      <w:rFonts w:ascii="宋体" w:hAnsi="Courier New" w:eastAsia="宋体"/>
      <w:kern w:val="2"/>
      <w:sz w:val="21"/>
      <w:lang w:val="en-US" w:eastAsia="zh-CN" w:bidi="ar-SA"/>
    </w:rPr>
  </w:style>
  <w:style w:type="character" w:customStyle="1" w:styleId="68">
    <w:name w:val="表格第一行 Char Char"/>
    <w:link w:val="69"/>
    <w:qFormat/>
    <w:uiPriority w:val="0"/>
    <w:rPr>
      <w:b/>
      <w:szCs w:val="21"/>
    </w:rPr>
  </w:style>
  <w:style w:type="paragraph" w:customStyle="1" w:styleId="69">
    <w:name w:val="表格第一行"/>
    <w:basedOn w:val="1"/>
    <w:link w:val="68"/>
    <w:qFormat/>
    <w:uiPriority w:val="0"/>
    <w:pPr>
      <w:widowControl/>
      <w:adjustRightInd w:val="0"/>
      <w:snapToGrid w:val="0"/>
      <w:spacing w:before="156" w:after="156"/>
      <w:jc w:val="center"/>
      <w:textAlignment w:val="baseline"/>
    </w:pPr>
    <w:rPr>
      <w:b/>
      <w:kern w:val="0"/>
      <w:sz w:val="20"/>
      <w:szCs w:val="21"/>
    </w:rPr>
  </w:style>
  <w:style w:type="character" w:customStyle="1" w:styleId="70">
    <w:name w:val="font61"/>
    <w:qFormat/>
    <w:uiPriority w:val="0"/>
    <w:rPr>
      <w:rFonts w:hint="default" w:ascii="Times New Roman" w:hAnsi="Times New Roman" w:cs="Times New Roman"/>
      <w:color w:val="000000"/>
      <w:sz w:val="20"/>
      <w:szCs w:val="20"/>
      <w:u w:val="none"/>
    </w:rPr>
  </w:style>
  <w:style w:type="character" w:customStyle="1" w:styleId="71">
    <w:name w:val="批注文字 字符"/>
    <w:link w:val="14"/>
    <w:qFormat/>
    <w:uiPriority w:val="0"/>
    <w:rPr>
      <w:kern w:val="2"/>
      <w:sz w:val="21"/>
    </w:rPr>
  </w:style>
  <w:style w:type="character" w:customStyle="1" w:styleId="72">
    <w:name w:val="正文缩进 字符"/>
    <w:link w:val="7"/>
    <w:qFormat/>
    <w:uiPriority w:val="0"/>
    <w:rPr>
      <w:rFonts w:eastAsia="黑体"/>
      <w:kern w:val="2"/>
      <w:sz w:val="24"/>
      <w:szCs w:val="21"/>
      <w:lang w:bidi="ar-SA"/>
    </w:rPr>
  </w:style>
  <w:style w:type="character" w:customStyle="1" w:styleId="73">
    <w:name w:val="三级 Char Char"/>
    <w:link w:val="74"/>
    <w:qFormat/>
    <w:locked/>
    <w:uiPriority w:val="0"/>
    <w:rPr>
      <w:b/>
      <w:kern w:val="2"/>
      <w:sz w:val="24"/>
    </w:rPr>
  </w:style>
  <w:style w:type="paragraph" w:customStyle="1" w:styleId="74">
    <w:name w:val="三级"/>
    <w:basedOn w:val="1"/>
    <w:link w:val="73"/>
    <w:qFormat/>
    <w:uiPriority w:val="0"/>
    <w:pPr>
      <w:tabs>
        <w:tab w:val="left" w:pos="567"/>
      </w:tabs>
      <w:spacing w:beforeLines="50" w:afterLines="50" w:line="360" w:lineRule="auto"/>
      <w:ind w:left="720" w:hanging="720"/>
      <w:outlineLvl w:val="2"/>
    </w:pPr>
    <w:rPr>
      <w:b/>
      <w:sz w:val="24"/>
    </w:rPr>
  </w:style>
  <w:style w:type="character" w:customStyle="1" w:styleId="75">
    <w:name w:val="表格文字 Char"/>
    <w:link w:val="76"/>
    <w:qFormat/>
    <w:uiPriority w:val="0"/>
    <w:rPr>
      <w:rFonts w:eastAsia="宋体"/>
      <w:kern w:val="2"/>
      <w:sz w:val="21"/>
      <w:lang w:val="en-US" w:eastAsia="zh-CN" w:bidi="ar-SA"/>
    </w:rPr>
  </w:style>
  <w:style w:type="paragraph" w:customStyle="1" w:styleId="76">
    <w:name w:val="表格文字"/>
    <w:basedOn w:val="1"/>
    <w:link w:val="75"/>
    <w:qFormat/>
    <w:uiPriority w:val="0"/>
    <w:pPr>
      <w:adjustRightInd w:val="0"/>
      <w:snapToGrid w:val="0"/>
      <w:jc w:val="center"/>
      <w:textAlignment w:val="center"/>
    </w:pPr>
  </w:style>
  <w:style w:type="character" w:customStyle="1" w:styleId="77">
    <w:name w:val="中气表头 Char"/>
    <w:link w:val="78"/>
    <w:qFormat/>
    <w:uiPriority w:val="0"/>
    <w:rPr>
      <w:rFonts w:eastAsia="黑体"/>
      <w:b/>
      <w:kern w:val="2"/>
      <w:sz w:val="21"/>
      <w:szCs w:val="21"/>
    </w:rPr>
  </w:style>
  <w:style w:type="paragraph" w:customStyle="1" w:styleId="78">
    <w:name w:val="中气表头"/>
    <w:basedOn w:val="1"/>
    <w:link w:val="77"/>
    <w:qFormat/>
    <w:uiPriority w:val="0"/>
    <w:pPr>
      <w:jc w:val="center"/>
    </w:pPr>
    <w:rPr>
      <w:rFonts w:eastAsia="黑体"/>
      <w:b/>
      <w:szCs w:val="21"/>
    </w:rPr>
  </w:style>
  <w:style w:type="character" w:customStyle="1" w:styleId="79">
    <w:name w:val="hover69"/>
    <w:basedOn w:val="43"/>
    <w:qFormat/>
    <w:uiPriority w:val="0"/>
  </w:style>
  <w:style w:type="character" w:customStyle="1" w:styleId="80">
    <w:name w:val="content1"/>
    <w:qFormat/>
    <w:uiPriority w:val="0"/>
    <w:rPr>
      <w:color w:val="000000"/>
      <w:sz w:val="20"/>
      <w:szCs w:val="20"/>
    </w:rPr>
  </w:style>
  <w:style w:type="character" w:customStyle="1" w:styleId="81">
    <w:name w:val="表格标题 Char"/>
    <w:link w:val="82"/>
    <w:qFormat/>
    <w:uiPriority w:val="0"/>
    <w:rPr>
      <w:rFonts w:eastAsia="黑体"/>
      <w:kern w:val="2"/>
      <w:sz w:val="24"/>
    </w:rPr>
  </w:style>
  <w:style w:type="paragraph" w:customStyle="1" w:styleId="82">
    <w:name w:val="表格标题"/>
    <w:basedOn w:val="15"/>
    <w:link w:val="81"/>
    <w:qFormat/>
    <w:uiPriority w:val="0"/>
    <w:pPr>
      <w:spacing w:before="0" w:beforeLines="0"/>
      <w:ind w:firstLine="0" w:firstLineChars="0"/>
      <w:jc w:val="center"/>
    </w:pPr>
    <w:rPr>
      <w:rFonts w:eastAsia="黑体"/>
    </w:rPr>
  </w:style>
  <w:style w:type="character" w:customStyle="1" w:styleId="83">
    <w:name w:val="批注主题 字符"/>
    <w:link w:val="38"/>
    <w:qFormat/>
    <w:uiPriority w:val="0"/>
    <w:rPr>
      <w:b/>
      <w:bCs/>
      <w:kern w:val="2"/>
      <w:sz w:val="21"/>
    </w:rPr>
  </w:style>
  <w:style w:type="character" w:customStyle="1" w:styleId="84">
    <w:name w:val="apple-converted-space"/>
    <w:basedOn w:val="43"/>
    <w:qFormat/>
    <w:uiPriority w:val="0"/>
  </w:style>
  <w:style w:type="character" w:customStyle="1" w:styleId="85">
    <w:name w:val="ca-21"/>
    <w:basedOn w:val="43"/>
    <w:qFormat/>
    <w:uiPriority w:val="0"/>
  </w:style>
  <w:style w:type="character" w:customStyle="1" w:styleId="86">
    <w:name w:val="批注框文本 字符"/>
    <w:link w:val="25"/>
    <w:qFormat/>
    <w:uiPriority w:val="0"/>
    <w:rPr>
      <w:kern w:val="2"/>
      <w:sz w:val="18"/>
      <w:szCs w:val="18"/>
    </w:rPr>
  </w:style>
  <w:style w:type="character" w:customStyle="1" w:styleId="87">
    <w:name w:val="标题3 Char"/>
    <w:qFormat/>
    <w:locked/>
    <w:uiPriority w:val="0"/>
    <w:rPr>
      <w:rFonts w:ascii="Times New Roman" w:hAnsi="Times New Roman" w:eastAsia="宋体" w:cs="Times New Roman"/>
      <w:kern w:val="2"/>
      <w:sz w:val="32"/>
      <w:szCs w:val="32"/>
    </w:rPr>
  </w:style>
  <w:style w:type="character" w:customStyle="1" w:styleId="88">
    <w:name w:val="表文字 Char"/>
    <w:qFormat/>
    <w:uiPriority w:val="0"/>
    <w:rPr>
      <w:rFonts w:eastAsia="宋体"/>
      <w:sz w:val="24"/>
      <w:lang w:val="en-US" w:eastAsia="zh-CN"/>
    </w:rPr>
  </w:style>
  <w:style w:type="character" w:customStyle="1" w:styleId="89">
    <w:name w:val="Default Char"/>
    <w:link w:val="2"/>
    <w:qFormat/>
    <w:uiPriority w:val="0"/>
    <w:rPr>
      <w:rFonts w:ascii="宋体"/>
      <w:color w:val="000000"/>
      <w:sz w:val="24"/>
      <w:szCs w:val="24"/>
      <w:lang w:val="en-US" w:eastAsia="zh-CN" w:bidi="ar-SA"/>
    </w:rPr>
  </w:style>
  <w:style w:type="character" w:customStyle="1" w:styleId="90">
    <w:name w:val="hover70"/>
    <w:qFormat/>
    <w:uiPriority w:val="0"/>
    <w:rPr>
      <w:color w:val="000000"/>
      <w:shd w:val="clear" w:color="auto" w:fill="FFFFFF"/>
    </w:rPr>
  </w:style>
  <w:style w:type="character" w:customStyle="1" w:styleId="91">
    <w:name w:val="金光华文本正文 Char Char"/>
    <w:link w:val="92"/>
    <w:qFormat/>
    <w:uiPriority w:val="0"/>
    <w:rPr>
      <w:rFonts w:ascii="宋体" w:hAnsi="宋体"/>
      <w:sz w:val="24"/>
      <w:szCs w:val="24"/>
    </w:rPr>
  </w:style>
  <w:style w:type="paragraph" w:customStyle="1" w:styleId="92">
    <w:name w:val="金光华文本正文"/>
    <w:basedOn w:val="1"/>
    <w:link w:val="91"/>
    <w:qFormat/>
    <w:uiPriority w:val="0"/>
    <w:pPr>
      <w:widowControl/>
      <w:tabs>
        <w:tab w:val="left" w:pos="6840"/>
      </w:tabs>
      <w:spacing w:line="360" w:lineRule="auto"/>
      <w:ind w:firstLine="510"/>
      <w:jc w:val="left"/>
    </w:pPr>
    <w:rPr>
      <w:rFonts w:ascii="宋体" w:hAnsi="宋体"/>
      <w:kern w:val="0"/>
      <w:sz w:val="24"/>
      <w:szCs w:val="24"/>
    </w:rPr>
  </w:style>
  <w:style w:type="character" w:customStyle="1" w:styleId="93">
    <w:name w:val="标题 1 字符"/>
    <w:link w:val="3"/>
    <w:qFormat/>
    <w:uiPriority w:val="0"/>
    <w:rPr>
      <w:rFonts w:eastAsia="黑体"/>
      <w:b/>
      <w:kern w:val="44"/>
      <w:sz w:val="32"/>
    </w:rPr>
  </w:style>
  <w:style w:type="character" w:customStyle="1" w:styleId="94">
    <w:name w:val="标准正文 Char"/>
    <w:link w:val="95"/>
    <w:qFormat/>
    <w:uiPriority w:val="0"/>
    <w:rPr>
      <w:rFonts w:eastAsia="宋体"/>
      <w:bCs/>
      <w:kern w:val="2"/>
      <w:sz w:val="24"/>
      <w:lang w:val="en-US" w:eastAsia="zh-CN" w:bidi="ar-SA"/>
    </w:rPr>
  </w:style>
  <w:style w:type="paragraph" w:customStyle="1" w:styleId="95">
    <w:name w:val="标准正文"/>
    <w:basedOn w:val="1"/>
    <w:link w:val="94"/>
    <w:qFormat/>
    <w:uiPriority w:val="0"/>
    <w:pPr>
      <w:spacing w:line="540" w:lineRule="exact"/>
      <w:ind w:firstLine="480" w:firstLineChars="200"/>
    </w:pPr>
    <w:rPr>
      <w:bCs/>
      <w:sz w:val="24"/>
    </w:rPr>
  </w:style>
  <w:style w:type="character" w:customStyle="1" w:styleId="96">
    <w:name w:val="表格文字 Char Char"/>
    <w:qFormat/>
    <w:uiPriority w:val="0"/>
    <w:rPr>
      <w:position w:val="-10"/>
    </w:rPr>
  </w:style>
  <w:style w:type="character" w:customStyle="1" w:styleId="97">
    <w:name w:val="样式 文本正文 + 首行缩进:  2 字符 Char Char"/>
    <w:link w:val="98"/>
    <w:qFormat/>
    <w:uiPriority w:val="0"/>
    <w:rPr>
      <w:rFonts w:ascii="宋体"/>
      <w:spacing w:val="4"/>
      <w:kern w:val="2"/>
      <w:sz w:val="24"/>
      <w:szCs w:val="24"/>
      <w:lang w:val="zh-CN"/>
    </w:rPr>
  </w:style>
  <w:style w:type="paragraph" w:customStyle="1" w:styleId="98">
    <w:name w:val="样式 文本正文 + 首行缩进:  2 字符"/>
    <w:basedOn w:val="1"/>
    <w:link w:val="97"/>
    <w:qFormat/>
    <w:uiPriority w:val="0"/>
    <w:pPr>
      <w:widowControl/>
      <w:adjustRightInd w:val="0"/>
      <w:snapToGrid w:val="0"/>
      <w:spacing w:line="360" w:lineRule="auto"/>
      <w:ind w:firstLine="480" w:firstLineChars="200"/>
      <w:jc w:val="left"/>
    </w:pPr>
    <w:rPr>
      <w:rFonts w:ascii="宋体"/>
      <w:spacing w:val="4"/>
      <w:sz w:val="24"/>
      <w:szCs w:val="24"/>
      <w:lang w:val="zh-CN"/>
    </w:rPr>
  </w:style>
  <w:style w:type="character" w:customStyle="1" w:styleId="99">
    <w:name w:val="font11"/>
    <w:basedOn w:val="43"/>
    <w:qFormat/>
    <w:uiPriority w:val="0"/>
    <w:rPr>
      <w:rFonts w:ascii="font-weight : 400" w:hAnsi="font-weight : 400" w:eastAsia="font-weight : 400" w:cs="font-weight : 400"/>
      <w:color w:val="000000"/>
      <w:sz w:val="22"/>
      <w:szCs w:val="22"/>
      <w:u w:val="none"/>
      <w:vertAlign w:val="superscript"/>
    </w:rPr>
  </w:style>
  <w:style w:type="character" w:customStyle="1" w:styleId="100">
    <w:name w:val="正文首行缩进 字符"/>
    <w:link w:val="4"/>
    <w:qFormat/>
    <w:uiPriority w:val="0"/>
    <w:rPr>
      <w:kern w:val="2"/>
      <w:sz w:val="24"/>
    </w:rPr>
  </w:style>
  <w:style w:type="character" w:customStyle="1" w:styleId="101">
    <w:name w:val="hover68"/>
    <w:basedOn w:val="43"/>
    <w:qFormat/>
    <w:uiPriority w:val="0"/>
  </w:style>
  <w:style w:type="character" w:customStyle="1" w:styleId="102">
    <w:name w:val="页脚 字符"/>
    <w:link w:val="26"/>
    <w:qFormat/>
    <w:uiPriority w:val="99"/>
    <w:rPr>
      <w:kern w:val="2"/>
      <w:sz w:val="18"/>
    </w:rPr>
  </w:style>
  <w:style w:type="character" w:customStyle="1" w:styleId="103">
    <w:name w:val="font01"/>
    <w:basedOn w:val="43"/>
    <w:qFormat/>
    <w:uiPriority w:val="0"/>
    <w:rPr>
      <w:rFonts w:hint="default" w:ascii="Times New Roman" w:hAnsi="Times New Roman" w:cs="Times New Roman"/>
      <w:b/>
      <w:color w:val="000000"/>
      <w:sz w:val="21"/>
      <w:szCs w:val="21"/>
      <w:u w:val="none"/>
    </w:rPr>
  </w:style>
  <w:style w:type="character" w:customStyle="1" w:styleId="104">
    <w:name w:val="font21"/>
    <w:basedOn w:val="43"/>
    <w:qFormat/>
    <w:uiPriority w:val="0"/>
    <w:rPr>
      <w:rFonts w:hint="default" w:ascii="font-weight : 400" w:hAnsi="font-weight : 400" w:eastAsia="font-weight : 400" w:cs="font-weight : 400"/>
      <w:color w:val="000000"/>
      <w:sz w:val="22"/>
      <w:szCs w:val="22"/>
      <w:u w:val="none"/>
    </w:rPr>
  </w:style>
  <w:style w:type="character" w:customStyle="1" w:styleId="105">
    <w:name w:val="报告文本 Char"/>
    <w:link w:val="106"/>
    <w:qFormat/>
    <w:uiPriority w:val="0"/>
    <w:rPr>
      <w:sz w:val="24"/>
      <w:szCs w:val="24"/>
    </w:rPr>
  </w:style>
  <w:style w:type="paragraph" w:customStyle="1" w:styleId="106">
    <w:name w:val="报告文本"/>
    <w:basedOn w:val="107"/>
    <w:link w:val="105"/>
    <w:qFormat/>
    <w:uiPriority w:val="0"/>
    <w:pPr>
      <w:widowControl/>
      <w:spacing w:line="360" w:lineRule="auto"/>
      <w:ind w:firstLine="200" w:firstLineChars="200"/>
      <w:jc w:val="left"/>
    </w:pPr>
    <w:rPr>
      <w:kern w:val="0"/>
      <w:sz w:val="24"/>
      <w:szCs w:val="24"/>
    </w:rPr>
  </w:style>
  <w:style w:type="paragraph" w:customStyle="1" w:styleId="107">
    <w:name w:val="标题二"/>
    <w:basedOn w:val="108"/>
    <w:next w:val="106"/>
    <w:qFormat/>
    <w:uiPriority w:val="0"/>
    <w:pPr>
      <w:numPr>
        <w:ilvl w:val="1"/>
        <w:numId w:val="4"/>
      </w:numPr>
      <w:spacing w:beforeLines="0" w:afterLines="0"/>
      <w:jc w:val="left"/>
      <w:outlineLvl w:val="1"/>
    </w:pPr>
    <w:rPr>
      <w:sz w:val="30"/>
    </w:rPr>
  </w:style>
  <w:style w:type="paragraph" w:customStyle="1" w:styleId="108">
    <w:name w:val="标题1"/>
    <w:basedOn w:val="1"/>
    <w:next w:val="106"/>
    <w:qFormat/>
    <w:uiPriority w:val="0"/>
    <w:pPr>
      <w:numPr>
        <w:ilvl w:val="0"/>
        <w:numId w:val="4"/>
      </w:numPr>
      <w:spacing w:beforeLines="100" w:afterLines="100"/>
      <w:jc w:val="center"/>
      <w:outlineLvl w:val="0"/>
    </w:pPr>
    <w:rPr>
      <w:rFonts w:eastAsia="黑体"/>
      <w:sz w:val="32"/>
    </w:rPr>
  </w:style>
  <w:style w:type="character" w:customStyle="1" w:styleId="109">
    <w:name w:val="Char Char4"/>
    <w:qFormat/>
    <w:uiPriority w:val="0"/>
    <w:rPr>
      <w:rFonts w:ascii="Times New Roman" w:hAnsi="Times New Roman" w:eastAsia="宋体" w:cs="Times New Roman"/>
      <w:kern w:val="2"/>
      <w:sz w:val="28"/>
      <w:szCs w:val="20"/>
      <w:lang w:val="en-US" w:eastAsia="zh-CN" w:bidi="ar-SA"/>
    </w:rPr>
  </w:style>
  <w:style w:type="character" w:customStyle="1" w:styleId="110">
    <w:name w:val="文章正文样式 Char"/>
    <w:link w:val="111"/>
    <w:qFormat/>
    <w:uiPriority w:val="0"/>
    <w:rPr>
      <w:rFonts w:ascii="宋体" w:hAnsi="宋体" w:eastAsia="宋体" w:cs="宋体"/>
      <w:kern w:val="2"/>
      <w:sz w:val="24"/>
      <w:lang w:val="en-US" w:eastAsia="zh-CN" w:bidi="ar-SA"/>
    </w:rPr>
  </w:style>
  <w:style w:type="paragraph" w:customStyle="1" w:styleId="111">
    <w:name w:val="文章正文样式"/>
    <w:basedOn w:val="1"/>
    <w:link w:val="110"/>
    <w:qFormat/>
    <w:uiPriority w:val="0"/>
    <w:pPr>
      <w:spacing w:line="520" w:lineRule="exact"/>
      <w:ind w:firstLine="480" w:firstLineChars="200"/>
      <w:jc w:val="left"/>
    </w:pPr>
    <w:rPr>
      <w:rFonts w:ascii="宋体" w:hAnsi="宋体" w:cs="宋体"/>
      <w:sz w:val="24"/>
    </w:rPr>
  </w:style>
  <w:style w:type="character" w:customStyle="1" w:styleId="112">
    <w:name w:val="宗兴正文 Char Char"/>
    <w:link w:val="113"/>
    <w:qFormat/>
    <w:uiPriority w:val="0"/>
    <w:rPr>
      <w:kern w:val="2"/>
      <w:sz w:val="24"/>
      <w:szCs w:val="24"/>
    </w:rPr>
  </w:style>
  <w:style w:type="paragraph" w:customStyle="1" w:styleId="113">
    <w:name w:val="宗兴正文"/>
    <w:basedOn w:val="1"/>
    <w:link w:val="112"/>
    <w:qFormat/>
    <w:uiPriority w:val="0"/>
    <w:pPr>
      <w:widowControl/>
      <w:spacing w:before="93" w:after="93" w:line="360" w:lineRule="auto"/>
      <w:ind w:firstLine="480" w:firstLineChars="200"/>
      <w:jc w:val="left"/>
    </w:pPr>
    <w:rPr>
      <w:sz w:val="24"/>
      <w:szCs w:val="24"/>
    </w:rPr>
  </w:style>
  <w:style w:type="character" w:customStyle="1" w:styleId="114">
    <w:name w:val="标题 4 字符"/>
    <w:link w:val="8"/>
    <w:qFormat/>
    <w:uiPriority w:val="0"/>
    <w:rPr>
      <w:rFonts w:ascii="Cambria" w:hAnsi="Cambria"/>
      <w:b/>
      <w:bCs/>
      <w:sz w:val="28"/>
      <w:szCs w:val="28"/>
    </w:rPr>
  </w:style>
  <w:style w:type="character" w:customStyle="1" w:styleId="115">
    <w:name w:val="标题 3 字符"/>
    <w:link w:val="6"/>
    <w:qFormat/>
    <w:uiPriority w:val="0"/>
    <w:rPr>
      <w:b/>
      <w:bCs/>
      <w:kern w:val="2"/>
      <w:sz w:val="32"/>
      <w:szCs w:val="32"/>
    </w:rPr>
  </w:style>
  <w:style w:type="character" w:customStyle="1" w:styleId="116">
    <w:name w:val="font41"/>
    <w:basedOn w:val="43"/>
    <w:qFormat/>
    <w:uiPriority w:val="0"/>
    <w:rPr>
      <w:rFonts w:hint="eastAsia" w:ascii="宋体" w:hAnsi="宋体" w:eastAsia="宋体" w:cs="宋体"/>
      <w:color w:val="000000"/>
      <w:sz w:val="21"/>
      <w:szCs w:val="21"/>
      <w:u w:val="none"/>
    </w:rPr>
  </w:style>
  <w:style w:type="paragraph" w:customStyle="1" w:styleId="117">
    <w:name w:val="样式1"/>
    <w:basedOn w:val="1"/>
    <w:qFormat/>
    <w:uiPriority w:val="0"/>
    <w:pPr>
      <w:tabs>
        <w:tab w:val="left" w:pos="8820"/>
      </w:tabs>
    </w:pPr>
    <w:rPr>
      <w:sz w:val="30"/>
    </w:rPr>
  </w:style>
  <w:style w:type="paragraph" w:customStyle="1" w:styleId="118">
    <w:name w:val="CM78"/>
    <w:basedOn w:val="2"/>
    <w:next w:val="2"/>
    <w:qFormat/>
    <w:uiPriority w:val="0"/>
    <w:pPr>
      <w:spacing w:after="173"/>
    </w:pPr>
    <w:rPr>
      <w:rFonts w:hAnsi="Calibri"/>
      <w:color w:val="auto"/>
    </w:rPr>
  </w:style>
  <w:style w:type="paragraph" w:customStyle="1" w:styleId="119">
    <w:name w:val="CM27"/>
    <w:basedOn w:val="2"/>
    <w:next w:val="2"/>
    <w:qFormat/>
    <w:uiPriority w:val="0"/>
    <w:pPr>
      <w:spacing w:line="436" w:lineRule="atLeast"/>
    </w:pPr>
    <w:rPr>
      <w:rFonts w:hAnsi="Calibri"/>
      <w:color w:val="auto"/>
    </w:rPr>
  </w:style>
  <w:style w:type="paragraph" w:customStyle="1" w:styleId="120">
    <w:name w:val="表格1"/>
    <w:basedOn w:val="1"/>
    <w:qFormat/>
    <w:uiPriority w:val="0"/>
    <w:pPr>
      <w:spacing w:line="20" w:lineRule="atLeast"/>
      <w:jc w:val="center"/>
      <w:textAlignment w:val="baseline"/>
    </w:pPr>
    <w:rPr>
      <w:rFonts w:ascii="CG Times (W1)" w:hAnsi="CG Times (W1)"/>
      <w:spacing w:val="-20"/>
      <w:kern w:val="0"/>
    </w:rPr>
  </w:style>
  <w:style w:type="paragraph" w:customStyle="1" w:styleId="121">
    <w:name w:val="CM13"/>
    <w:basedOn w:val="2"/>
    <w:next w:val="2"/>
    <w:qFormat/>
    <w:uiPriority w:val="0"/>
    <w:pPr>
      <w:spacing w:line="466" w:lineRule="atLeast"/>
    </w:pPr>
    <w:rPr>
      <w:rFonts w:hAnsi="Calibri"/>
      <w:color w:val="auto"/>
    </w:rPr>
  </w:style>
  <w:style w:type="paragraph" w:customStyle="1" w:styleId="122">
    <w:name w:val="表文字"/>
    <w:basedOn w:val="1"/>
    <w:qFormat/>
    <w:uiPriority w:val="0"/>
    <w:pPr>
      <w:overflowPunct w:val="0"/>
      <w:autoSpaceDE w:val="0"/>
      <w:autoSpaceDN w:val="0"/>
      <w:adjustRightInd w:val="0"/>
      <w:spacing w:line="240" w:lineRule="atLeast"/>
      <w:textAlignment w:val="baseline"/>
    </w:pPr>
    <w:rPr>
      <w:sz w:val="24"/>
    </w:rPr>
  </w:style>
  <w:style w:type="paragraph" w:customStyle="1" w:styleId="123">
    <w:name w:val="正文01"/>
    <w:basedOn w:val="1"/>
    <w:qFormat/>
    <w:uiPriority w:val="0"/>
    <w:pPr>
      <w:adjustRightInd w:val="0"/>
      <w:spacing w:line="360" w:lineRule="auto"/>
      <w:ind w:firstLine="360" w:firstLineChars="150"/>
      <w:textAlignment w:val="baseline"/>
    </w:pPr>
    <w:rPr>
      <w:bCs/>
      <w:sz w:val="24"/>
      <w:szCs w:val="24"/>
    </w:rPr>
  </w:style>
  <w:style w:type="paragraph" w:customStyle="1" w:styleId="124">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5">
    <w:name w:val="CM14"/>
    <w:basedOn w:val="2"/>
    <w:next w:val="2"/>
    <w:qFormat/>
    <w:uiPriority w:val="0"/>
    <w:pPr>
      <w:spacing w:line="468" w:lineRule="atLeast"/>
    </w:pPr>
    <w:rPr>
      <w:rFonts w:hAnsi="Calibri"/>
      <w:color w:val="auto"/>
    </w:rPr>
  </w:style>
  <w:style w:type="paragraph" w:customStyle="1" w:styleId="126">
    <w:name w:val="简单回函地址"/>
    <w:basedOn w:val="1"/>
    <w:qFormat/>
    <w:uiPriority w:val="0"/>
    <w:rPr>
      <w:rFonts w:ascii="宋体" w:hAnsi="宋体"/>
      <w:sz w:val="24"/>
      <w:szCs w:val="32"/>
    </w:rPr>
  </w:style>
  <w:style w:type="paragraph" w:customStyle="1" w:styleId="127">
    <w:name w:val="表体"/>
    <w:basedOn w:val="1"/>
    <w:qFormat/>
    <w:uiPriority w:val="0"/>
    <w:pPr>
      <w:spacing w:before="40" w:after="40"/>
      <w:jc w:val="center"/>
    </w:pPr>
    <w:rPr>
      <w:color w:val="000080"/>
    </w:rPr>
  </w:style>
  <w:style w:type="paragraph" w:customStyle="1" w:styleId="128">
    <w:name w:val="CM50"/>
    <w:basedOn w:val="2"/>
    <w:next w:val="2"/>
    <w:qFormat/>
    <w:uiPriority w:val="0"/>
    <w:pPr>
      <w:spacing w:line="443" w:lineRule="atLeast"/>
    </w:pPr>
    <w:rPr>
      <w:rFonts w:hAnsi="Calibri"/>
      <w:color w:val="auto"/>
    </w:rPr>
  </w:style>
  <w:style w:type="paragraph" w:customStyle="1" w:styleId="129">
    <w:name w:val="正文样式1"/>
    <w:basedOn w:val="1"/>
    <w:qFormat/>
    <w:uiPriority w:val="0"/>
    <w:pPr>
      <w:adjustRightInd w:val="0"/>
      <w:spacing w:line="360" w:lineRule="auto"/>
      <w:ind w:firstLine="510"/>
      <w:textAlignment w:val="baseline"/>
    </w:pPr>
    <w:rPr>
      <w:spacing w:val="8"/>
      <w:kern w:val="0"/>
      <w:sz w:val="24"/>
    </w:rPr>
  </w:style>
  <w:style w:type="paragraph" w:customStyle="1" w:styleId="130">
    <w:name w:val="样式 小四 首行缩进:  0.85 厘米 行距: 1.5 倍行距"/>
    <w:basedOn w:val="1"/>
    <w:qFormat/>
    <w:uiPriority w:val="0"/>
    <w:pPr>
      <w:spacing w:line="360" w:lineRule="auto"/>
      <w:ind w:firstLine="482"/>
    </w:pPr>
    <w:rPr>
      <w:sz w:val="24"/>
      <w:szCs w:val="24"/>
    </w:rPr>
  </w:style>
  <w:style w:type="paragraph" w:customStyle="1" w:styleId="131">
    <w:name w:val="表字居中O"/>
    <w:next w:val="1"/>
    <w:qFormat/>
    <w:uiPriority w:val="0"/>
    <w:pPr>
      <w:widowControl w:val="0"/>
      <w:adjustRightInd w:val="0"/>
      <w:jc w:val="both"/>
      <w:textAlignment w:val="baseline"/>
    </w:pPr>
    <w:rPr>
      <w:rFonts w:ascii="Times New Roman" w:hAnsi="Times New Roman" w:eastAsia="宋体" w:cs="Times New Roman"/>
      <w:spacing w:val="-4"/>
      <w:sz w:val="21"/>
      <w:szCs w:val="21"/>
      <w:lang w:val="en-US" w:eastAsia="zh-CN" w:bidi="ar-SA"/>
    </w:rPr>
  </w:style>
  <w:style w:type="paragraph" w:customStyle="1" w:styleId="132">
    <w:name w:val="金光华表头"/>
    <w:basedOn w:val="1"/>
    <w:qFormat/>
    <w:uiPriority w:val="0"/>
    <w:pPr>
      <w:widowControl/>
      <w:spacing w:line="360" w:lineRule="auto"/>
      <w:ind w:firstLine="794"/>
      <w:jc w:val="left"/>
    </w:pPr>
    <w:rPr>
      <w:rFonts w:ascii="宋体" w:hAnsi="宋体" w:cs="宋体"/>
      <w:kern w:val="0"/>
      <w:sz w:val="24"/>
      <w:szCs w:val="24"/>
    </w:rPr>
  </w:style>
  <w:style w:type="paragraph" w:customStyle="1" w:styleId="133">
    <w:name w:val="xl22"/>
    <w:basedOn w:val="1"/>
    <w:qFormat/>
    <w:uiPriority w:val="0"/>
    <w:pPr>
      <w:widowControl/>
      <w:spacing w:before="100" w:after="100"/>
      <w:jc w:val="center"/>
    </w:pPr>
    <w:rPr>
      <w:kern w:val="0"/>
      <w:sz w:val="24"/>
      <w:szCs w:val="24"/>
    </w:rPr>
  </w:style>
  <w:style w:type="paragraph" w:customStyle="1" w:styleId="134">
    <w:name w:val="表头文字"/>
    <w:basedOn w:val="1"/>
    <w:next w:val="4"/>
    <w:qFormat/>
    <w:uiPriority w:val="0"/>
    <w:pPr>
      <w:adjustRightInd w:val="0"/>
      <w:snapToGrid w:val="0"/>
      <w:spacing w:before="156" w:beforeLines="50" w:line="360" w:lineRule="auto"/>
      <w:jc w:val="left"/>
    </w:pPr>
    <w:rPr>
      <w:rFonts w:eastAsia="黑体"/>
      <w:sz w:val="24"/>
    </w:rPr>
  </w:style>
  <w:style w:type="paragraph" w:customStyle="1" w:styleId="135">
    <w:name w:val="CM48"/>
    <w:basedOn w:val="2"/>
    <w:next w:val="2"/>
    <w:qFormat/>
    <w:uiPriority w:val="0"/>
    <w:pPr>
      <w:spacing w:line="440" w:lineRule="atLeast"/>
    </w:pPr>
    <w:rPr>
      <w:rFonts w:hAnsi="Calibri"/>
      <w:color w:val="auto"/>
    </w:rPr>
  </w:style>
  <w:style w:type="paragraph" w:customStyle="1" w:styleId="136">
    <w:name w:val="Char"/>
    <w:basedOn w:val="1"/>
    <w:qFormat/>
    <w:uiPriority w:val="0"/>
    <w:rPr>
      <w:szCs w:val="21"/>
    </w:rPr>
  </w:style>
  <w:style w:type="paragraph" w:customStyle="1" w:styleId="137">
    <w:name w:val="中文报告书样式"/>
    <w:basedOn w:val="1"/>
    <w:qFormat/>
    <w:uiPriority w:val="0"/>
    <w:pPr>
      <w:adjustRightInd w:val="0"/>
      <w:spacing w:line="480" w:lineRule="atLeast"/>
      <w:ind w:firstLine="482"/>
      <w:textAlignment w:val="baseline"/>
    </w:pPr>
    <w:rPr>
      <w:kern w:val="24"/>
      <w:sz w:val="24"/>
      <w:szCs w:val="24"/>
    </w:rPr>
  </w:style>
  <w:style w:type="paragraph" w:customStyle="1" w:styleId="138">
    <w:name w:val="表格内容"/>
    <w:basedOn w:val="1"/>
    <w:qFormat/>
    <w:uiPriority w:val="99"/>
    <w:pPr>
      <w:spacing w:line="240" w:lineRule="atLeast"/>
      <w:jc w:val="center"/>
    </w:pPr>
    <w:rPr>
      <w:szCs w:val="24"/>
    </w:rPr>
  </w:style>
  <w:style w:type="paragraph" w:customStyle="1" w:styleId="139">
    <w:name w:val="3"/>
    <w:basedOn w:val="1"/>
    <w:qFormat/>
    <w:uiPriority w:val="0"/>
  </w:style>
  <w:style w:type="paragraph" w:customStyle="1" w:styleId="140">
    <w:name w:val="样式 首行缩进:  1 厘米 行距: 固定值 25 磅"/>
    <w:basedOn w:val="1"/>
    <w:qFormat/>
    <w:uiPriority w:val="0"/>
    <w:pPr>
      <w:adjustRightInd w:val="0"/>
      <w:spacing w:line="360" w:lineRule="auto"/>
      <w:ind w:firstLine="200" w:firstLineChars="200"/>
      <w:jc w:val="left"/>
      <w:textAlignment w:val="baseline"/>
    </w:pPr>
    <w:rPr>
      <w:rFonts w:ascii="宋体" w:cs="宋体"/>
      <w:snapToGrid w:val="0"/>
      <w:kern w:val="24"/>
      <w:sz w:val="24"/>
      <w:szCs w:val="24"/>
    </w:rPr>
  </w:style>
  <w:style w:type="paragraph" w:customStyle="1" w:styleId="141">
    <w:name w:val="表文"/>
    <w:basedOn w:val="1"/>
    <w:qFormat/>
    <w:uiPriority w:val="0"/>
    <w:pPr>
      <w:tabs>
        <w:tab w:val="left" w:pos="1021"/>
      </w:tabs>
      <w:jc w:val="center"/>
    </w:pPr>
    <w:rPr>
      <w:kern w:val="0"/>
      <w:position w:val="-24"/>
      <w:szCs w:val="21"/>
    </w:rPr>
  </w:style>
  <w:style w:type="paragraph" w:customStyle="1" w:styleId="142">
    <w:name w:val="CM26"/>
    <w:basedOn w:val="2"/>
    <w:next w:val="2"/>
    <w:qFormat/>
    <w:uiPriority w:val="0"/>
    <w:pPr>
      <w:spacing w:line="468" w:lineRule="atLeast"/>
    </w:pPr>
    <w:rPr>
      <w:rFonts w:hAnsi="Calibri"/>
      <w:color w:val="auto"/>
    </w:rPr>
  </w:style>
  <w:style w:type="paragraph" w:customStyle="1" w:styleId="143">
    <w:name w:val="表格"/>
    <w:basedOn w:val="1"/>
    <w:qFormat/>
    <w:uiPriority w:val="0"/>
    <w:pPr>
      <w:jc w:val="center"/>
    </w:pPr>
    <w:rPr>
      <w:sz w:val="24"/>
    </w:rPr>
  </w:style>
  <w:style w:type="paragraph" w:customStyle="1" w:styleId="144">
    <w:name w:val="reader-word-layer reader-word-s1-4"/>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45">
    <w:name w:val="表格文字2"/>
    <w:basedOn w:val="1"/>
    <w:qFormat/>
    <w:uiPriority w:val="0"/>
    <w:pPr>
      <w:tabs>
        <w:tab w:val="left" w:pos="277"/>
        <w:tab w:val="left" w:pos="600"/>
        <w:tab w:val="left" w:pos="780"/>
        <w:tab w:val="left" w:pos="2517"/>
      </w:tabs>
      <w:adjustRightInd w:val="0"/>
      <w:jc w:val="center"/>
      <w:textAlignment w:val="baseline"/>
    </w:pPr>
    <w:rPr>
      <w:kern w:val="0"/>
      <w:szCs w:val="21"/>
    </w:rPr>
  </w:style>
  <w:style w:type="paragraph" w:customStyle="1" w:styleId="146">
    <w:name w:val="样式8"/>
    <w:basedOn w:val="1"/>
    <w:qFormat/>
    <w:uiPriority w:val="0"/>
    <w:pPr>
      <w:widowControl/>
      <w:adjustRightInd w:val="0"/>
      <w:snapToGrid w:val="0"/>
      <w:spacing w:before="156" w:beforeLines="50" w:line="288" w:lineRule="auto"/>
      <w:jc w:val="center"/>
    </w:pPr>
    <w:rPr>
      <w:rFonts w:ascii="宋体" w:hAnsi="宋体" w:cs="宋体"/>
      <w:b/>
      <w:kern w:val="0"/>
    </w:rPr>
  </w:style>
  <w:style w:type="paragraph" w:customStyle="1" w:styleId="147">
    <w:name w:val="表格正文"/>
    <w:basedOn w:val="120"/>
    <w:qFormat/>
    <w:uiPriority w:val="0"/>
    <w:pPr>
      <w:spacing w:line="240" w:lineRule="auto"/>
    </w:pPr>
  </w:style>
  <w:style w:type="paragraph" w:customStyle="1" w:styleId="148">
    <w:name w:val="样式 样式 (符号) 宋体 小四 行距: 1.5 倍行距 + 首行缩进:  2 字符"/>
    <w:basedOn w:val="1"/>
    <w:qFormat/>
    <w:uiPriority w:val="0"/>
    <w:pPr>
      <w:spacing w:line="360" w:lineRule="auto"/>
      <w:ind w:firstLine="456" w:firstLineChars="200"/>
    </w:pPr>
    <w:rPr>
      <w:rFonts w:hAnsi="宋体" w:cs="宋体"/>
      <w:sz w:val="24"/>
    </w:rPr>
  </w:style>
  <w:style w:type="paragraph" w:customStyle="1" w:styleId="149">
    <w:name w:val="表头"/>
    <w:basedOn w:val="30"/>
    <w:qFormat/>
    <w:uiPriority w:val="0"/>
    <w:pPr>
      <w:tabs>
        <w:tab w:val="left" w:pos="720"/>
      </w:tabs>
    </w:pPr>
  </w:style>
  <w:style w:type="paragraph" w:customStyle="1" w:styleId="150">
    <w:name w:val="Char Char2"/>
    <w:basedOn w:val="1"/>
    <w:qFormat/>
    <w:uiPriority w:val="0"/>
    <w:pPr>
      <w:spacing w:line="360" w:lineRule="auto"/>
      <w:ind w:firstLine="200" w:firstLineChars="200"/>
    </w:pPr>
    <w:rPr>
      <w:rFonts w:ascii="宋体" w:hAnsi="宋体" w:cs="宋体"/>
      <w:sz w:val="24"/>
      <w:szCs w:val="21"/>
    </w:rPr>
  </w:style>
  <w:style w:type="paragraph" w:customStyle="1" w:styleId="151">
    <w:name w:val="CM74"/>
    <w:basedOn w:val="2"/>
    <w:next w:val="2"/>
    <w:qFormat/>
    <w:uiPriority w:val="0"/>
    <w:pPr>
      <w:spacing w:after="98"/>
    </w:pPr>
    <w:rPr>
      <w:rFonts w:hAnsi="Calibri"/>
      <w:color w:val="auto"/>
    </w:rPr>
  </w:style>
  <w:style w:type="paragraph" w:customStyle="1" w:styleId="152">
    <w:name w:val="样式 四号 加粗 段前: 6 磅 段后: 5 磅 行距: 固定值 23 磅"/>
    <w:basedOn w:val="8"/>
    <w:next w:val="1"/>
    <w:qFormat/>
    <w:uiPriority w:val="0"/>
    <w:pPr>
      <w:keepNext w:val="0"/>
      <w:keepLines w:val="0"/>
      <w:adjustRightInd/>
      <w:snapToGrid/>
      <w:spacing w:before="0" w:after="0" w:line="360" w:lineRule="auto"/>
      <w:ind w:firstLine="482" w:firstLineChars="200"/>
      <w:outlineLvl w:val="9"/>
    </w:pPr>
    <w:rPr>
      <w:rFonts w:ascii="Times New Roman" w:hAnsi="Times New Roman"/>
      <w:bCs w:val="0"/>
      <w:sz w:val="24"/>
      <w:szCs w:val="24"/>
    </w:rPr>
  </w:style>
  <w:style w:type="paragraph" w:customStyle="1" w:styleId="153">
    <w:name w:val="表格 23"/>
    <w:basedOn w:val="1"/>
    <w:qFormat/>
    <w:uiPriority w:val="0"/>
    <w:pPr>
      <w:autoSpaceDE w:val="0"/>
      <w:autoSpaceDN w:val="0"/>
      <w:adjustRightInd w:val="0"/>
      <w:jc w:val="center"/>
    </w:pPr>
    <w:rPr>
      <w:rFonts w:eastAsia="仿宋体"/>
      <w:kern w:val="0"/>
    </w:rPr>
  </w:style>
  <w:style w:type="paragraph" w:customStyle="1" w:styleId="154">
    <w:name w:val="表头 Char"/>
    <w:basedOn w:val="1"/>
    <w:qFormat/>
    <w:uiPriority w:val="0"/>
    <w:pPr>
      <w:tabs>
        <w:tab w:val="left" w:pos="1021"/>
      </w:tabs>
      <w:spacing w:line="360" w:lineRule="auto"/>
      <w:jc w:val="center"/>
    </w:pPr>
    <w:rPr>
      <w:rFonts w:ascii="宋体" w:hAnsi="宋体"/>
      <w:b/>
      <w:bCs/>
      <w:kern w:val="24"/>
      <w:sz w:val="24"/>
      <w:szCs w:val="24"/>
    </w:rPr>
  </w:style>
  <w:style w:type="paragraph" w:customStyle="1" w:styleId="155">
    <w:name w:val="三级标题"/>
    <w:basedOn w:val="1"/>
    <w:next w:val="39"/>
    <w:qFormat/>
    <w:uiPriority w:val="0"/>
    <w:pPr>
      <w:adjustRightInd w:val="0"/>
      <w:snapToGrid w:val="0"/>
      <w:spacing w:line="360" w:lineRule="exact"/>
      <w:jc w:val="center"/>
    </w:pPr>
    <w:rPr>
      <w:bCs/>
      <w:sz w:val="24"/>
    </w:rPr>
  </w:style>
  <w:style w:type="paragraph" w:customStyle="1" w:styleId="156">
    <w:name w:val="默认段落字体 Para Char Char Char Char"/>
    <w:basedOn w:val="1"/>
    <w:qFormat/>
    <w:uiPriority w:val="0"/>
    <w:rPr>
      <w:sz w:val="24"/>
      <w:szCs w:val="24"/>
    </w:rPr>
  </w:style>
  <w:style w:type="paragraph" w:customStyle="1" w:styleId="157">
    <w:name w:val="zhang正文"/>
    <w:basedOn w:val="17"/>
    <w:qFormat/>
    <w:uiPriority w:val="0"/>
    <w:pPr>
      <w:autoSpaceDE w:val="0"/>
      <w:autoSpaceDN w:val="0"/>
      <w:adjustRightInd w:val="0"/>
      <w:snapToGrid w:val="0"/>
      <w:spacing w:after="0" w:line="360" w:lineRule="auto"/>
      <w:ind w:left="0" w:leftChars="0" w:firstLine="539"/>
      <w:textAlignment w:val="baseline"/>
    </w:pPr>
    <w:rPr>
      <w:rFonts w:eastAsia="楷体_GB2312"/>
      <w:kern w:val="0"/>
      <w:sz w:val="28"/>
    </w:rPr>
  </w:style>
  <w:style w:type="paragraph" w:customStyle="1" w:styleId="158">
    <w:name w:val="Char Char Char Char Char"/>
    <w:basedOn w:val="1"/>
    <w:next w:val="1"/>
    <w:semiHidden/>
    <w:qFormat/>
    <w:uiPriority w:val="0"/>
    <w:pPr>
      <w:spacing w:line="336" w:lineRule="auto"/>
      <w:ind w:firstLine="200" w:firstLineChars="200"/>
    </w:pPr>
    <w:rPr>
      <w:rFonts w:ascii="宋体" w:hAnsi="宋体" w:eastAsia="汉鼎简书宋" w:cs="宋体"/>
      <w:sz w:val="24"/>
      <w:szCs w:val="24"/>
    </w:rPr>
  </w:style>
  <w:style w:type="paragraph" w:customStyle="1" w:styleId="159">
    <w:name w:val="样式3"/>
    <w:basedOn w:val="1"/>
    <w:qFormat/>
    <w:uiPriority w:val="0"/>
    <w:pPr>
      <w:autoSpaceDE w:val="0"/>
      <w:autoSpaceDN w:val="0"/>
      <w:snapToGrid w:val="0"/>
      <w:spacing w:before="120" w:line="460" w:lineRule="atLeast"/>
      <w:jc w:val="center"/>
    </w:pPr>
    <w:rPr>
      <w:rFonts w:eastAsia="黑体"/>
      <w:sz w:val="28"/>
      <w:szCs w:val="24"/>
    </w:rPr>
  </w:style>
  <w:style w:type="paragraph" w:customStyle="1" w:styleId="160">
    <w:name w:val="CM6"/>
    <w:basedOn w:val="2"/>
    <w:next w:val="2"/>
    <w:qFormat/>
    <w:uiPriority w:val="0"/>
    <w:pPr>
      <w:spacing w:line="466" w:lineRule="atLeast"/>
    </w:pPr>
    <w:rPr>
      <w:rFonts w:hAnsi="Calibri"/>
      <w:color w:val="auto"/>
    </w:rPr>
  </w:style>
  <w:style w:type="paragraph" w:customStyle="1" w:styleId="161">
    <w:name w:val="CM61"/>
    <w:basedOn w:val="2"/>
    <w:next w:val="2"/>
    <w:qFormat/>
    <w:uiPriority w:val="0"/>
    <w:pPr>
      <w:spacing w:line="468" w:lineRule="atLeast"/>
    </w:pPr>
    <w:rPr>
      <w:rFonts w:hAnsi="Calibri"/>
      <w:color w:val="auto"/>
    </w:rPr>
  </w:style>
  <w:style w:type="paragraph" w:customStyle="1" w:styleId="162">
    <w:name w:val="段落 Char Char Char"/>
    <w:basedOn w:val="1"/>
    <w:qFormat/>
    <w:uiPriority w:val="0"/>
    <w:pPr>
      <w:tabs>
        <w:tab w:val="left" w:pos="1021"/>
      </w:tabs>
      <w:spacing w:line="360" w:lineRule="auto"/>
      <w:ind w:firstLine="480" w:firstLineChars="200"/>
    </w:pPr>
    <w:rPr>
      <w:bCs/>
      <w:sz w:val="24"/>
    </w:rPr>
  </w:style>
  <w:style w:type="paragraph" w:customStyle="1" w:styleId="163">
    <w:name w:val="报告书正文"/>
    <w:basedOn w:val="1"/>
    <w:link w:val="175"/>
    <w:qFormat/>
    <w:uiPriority w:val="0"/>
    <w:pPr>
      <w:adjustRightInd w:val="0"/>
      <w:spacing w:line="360" w:lineRule="auto"/>
      <w:ind w:firstLine="200" w:firstLineChars="200"/>
      <w:textAlignment w:val="baseline"/>
    </w:pPr>
    <w:rPr>
      <w:kern w:val="0"/>
      <w:sz w:val="24"/>
    </w:rPr>
  </w:style>
  <w:style w:type="paragraph" w:customStyle="1" w:styleId="164">
    <w:name w:val="Char1"/>
    <w:basedOn w:val="1"/>
    <w:qFormat/>
    <w:uiPriority w:val="0"/>
    <w:pPr>
      <w:snapToGrid w:val="0"/>
      <w:spacing w:line="360" w:lineRule="auto"/>
      <w:ind w:firstLine="529" w:firstLineChars="200"/>
    </w:pPr>
    <w:rPr>
      <w:szCs w:val="24"/>
    </w:rPr>
  </w:style>
  <w:style w:type="paragraph" w:styleId="165">
    <w:name w:val="List Paragraph"/>
    <w:basedOn w:val="1"/>
    <w:qFormat/>
    <w:uiPriority w:val="99"/>
    <w:pPr>
      <w:ind w:firstLine="420" w:firstLineChars="200"/>
    </w:pPr>
    <w:rPr>
      <w:szCs w:val="24"/>
    </w:rPr>
  </w:style>
  <w:style w:type="paragraph" w:customStyle="1" w:styleId="166">
    <w:name w:val="_Style 24"/>
    <w:basedOn w:val="1"/>
    <w:next w:val="1"/>
    <w:qFormat/>
    <w:uiPriority w:val="0"/>
    <w:pPr>
      <w:spacing w:line="360" w:lineRule="auto"/>
      <w:ind w:firstLine="200" w:firstLineChars="200"/>
    </w:pPr>
    <w:rPr>
      <w:sz w:val="24"/>
    </w:rPr>
  </w:style>
  <w:style w:type="paragraph" w:customStyle="1" w:styleId="167">
    <w:name w:val="p0"/>
    <w:basedOn w:val="1"/>
    <w:qFormat/>
    <w:uiPriority w:val="0"/>
    <w:pPr>
      <w:widowControl/>
    </w:pPr>
    <w:rPr>
      <w:kern w:val="0"/>
      <w:szCs w:val="21"/>
    </w:rPr>
  </w:style>
  <w:style w:type="paragraph" w:customStyle="1" w:styleId="168">
    <w:name w:val="样式 小四 行距: 1.5 倍行距 首行缩进:  2 字符1"/>
    <w:basedOn w:val="1"/>
    <w:qFormat/>
    <w:uiPriority w:val="0"/>
    <w:pPr>
      <w:spacing w:line="360" w:lineRule="auto"/>
      <w:ind w:firstLine="480" w:firstLineChars="200"/>
    </w:pPr>
    <w:rPr>
      <w:rFonts w:cs="宋体"/>
      <w:sz w:val="24"/>
      <w:szCs w:val="21"/>
    </w:rPr>
  </w:style>
  <w:style w:type="paragraph" w:customStyle="1" w:styleId="169">
    <w:name w:val="永环表内格式"/>
    <w:basedOn w:val="1"/>
    <w:qFormat/>
    <w:uiPriority w:val="0"/>
    <w:pPr>
      <w:spacing w:line="360" w:lineRule="exact"/>
      <w:jc w:val="center"/>
    </w:pPr>
    <w:rPr>
      <w:szCs w:val="21"/>
    </w:rPr>
  </w:style>
  <w:style w:type="paragraph" w:customStyle="1" w:styleId="170">
    <w:name w:val="永环图标标题格式"/>
    <w:basedOn w:val="1"/>
    <w:qFormat/>
    <w:uiPriority w:val="0"/>
    <w:pPr>
      <w:spacing w:before="20" w:beforeLines="20" w:after="20" w:afterLines="20" w:line="560" w:lineRule="exact"/>
      <w:jc w:val="center"/>
    </w:pPr>
    <w:rPr>
      <w:rFonts w:eastAsia="黑体"/>
      <w:bCs/>
      <w:sz w:val="24"/>
      <w:szCs w:val="24"/>
    </w:rPr>
  </w:style>
  <w:style w:type="paragraph" w:customStyle="1" w:styleId="171">
    <w:name w:val="永环正文格式"/>
    <w:basedOn w:val="1"/>
    <w:qFormat/>
    <w:uiPriority w:val="0"/>
    <w:pPr>
      <w:spacing w:line="540" w:lineRule="exact"/>
      <w:ind w:firstLine="200" w:firstLineChars="200"/>
    </w:pPr>
    <w:rPr>
      <w:sz w:val="24"/>
      <w:szCs w:val="21"/>
    </w:rPr>
  </w:style>
  <w:style w:type="paragraph" w:customStyle="1" w:styleId="172">
    <w:name w:val="正文1"/>
    <w:link w:val="187"/>
    <w:qFormat/>
    <w:uiPriority w:val="0"/>
    <w:pPr>
      <w:jc w:val="both"/>
    </w:pPr>
    <w:rPr>
      <w:rFonts w:ascii="Times New Roman" w:hAnsi="Times New Roman" w:eastAsia="宋体" w:cs="Times New Roman"/>
      <w:kern w:val="2"/>
      <w:sz w:val="21"/>
      <w:szCs w:val="21"/>
      <w:lang w:val="en-US" w:eastAsia="zh-CN" w:bidi="ar-SA"/>
    </w:rPr>
  </w:style>
  <w:style w:type="paragraph" w:customStyle="1" w:styleId="173">
    <w:name w:val="样式 行距: 1.5 倍行距"/>
    <w:basedOn w:val="1"/>
    <w:qFormat/>
    <w:uiPriority w:val="0"/>
    <w:pPr>
      <w:spacing w:line="360" w:lineRule="auto"/>
      <w:ind w:firstLine="480" w:firstLineChars="200"/>
    </w:pPr>
    <w:rPr>
      <w:rFonts w:eastAsia="仿宋_GB2312" w:cs="宋体"/>
      <w:kern w:val="0"/>
      <w:sz w:val="24"/>
    </w:rPr>
  </w:style>
  <w:style w:type="paragraph" w:customStyle="1" w:styleId="174">
    <w:name w:val="Char1 Char Char1 Char"/>
    <w:basedOn w:val="1"/>
    <w:qFormat/>
    <w:uiPriority w:val="0"/>
    <w:rPr>
      <w:sz w:val="24"/>
      <w:szCs w:val="24"/>
    </w:rPr>
  </w:style>
  <w:style w:type="character" w:customStyle="1" w:styleId="175">
    <w:name w:val="报告书正文 Char"/>
    <w:link w:val="163"/>
    <w:qFormat/>
    <w:uiPriority w:val="0"/>
    <w:rPr>
      <w:sz w:val="24"/>
    </w:rPr>
  </w:style>
  <w:style w:type="paragraph" w:customStyle="1" w:styleId="176">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77">
    <w:name w:val="样式 行距: 固定值 24 磅 首行缩进:  2 字符"/>
    <w:basedOn w:val="1"/>
    <w:qFormat/>
    <w:uiPriority w:val="0"/>
    <w:pPr>
      <w:spacing w:line="480" w:lineRule="exact"/>
      <w:ind w:firstLine="480" w:firstLineChars="200"/>
    </w:pPr>
    <w:rPr>
      <w:rFonts w:cs="宋体"/>
      <w:sz w:val="24"/>
    </w:rPr>
  </w:style>
  <w:style w:type="paragraph" w:customStyle="1" w:styleId="178">
    <w:name w:val="列出段落8"/>
    <w:basedOn w:val="1"/>
    <w:qFormat/>
    <w:uiPriority w:val="0"/>
    <w:pPr>
      <w:ind w:firstLine="420" w:firstLineChars="200"/>
    </w:pPr>
    <w:rPr>
      <w:rFonts w:ascii="Calibri" w:hAnsi="Calibri"/>
      <w:szCs w:val="22"/>
    </w:rPr>
  </w:style>
  <w:style w:type="paragraph" w:customStyle="1" w:styleId="179">
    <w:name w:val="Table Paragraph"/>
    <w:basedOn w:val="1"/>
    <w:qFormat/>
    <w:uiPriority w:val="1"/>
    <w:pPr>
      <w:autoSpaceDE w:val="0"/>
      <w:autoSpaceDN w:val="0"/>
      <w:jc w:val="left"/>
    </w:pPr>
    <w:rPr>
      <w:rFonts w:ascii="宋体" w:hAnsi="宋体" w:cs="宋体"/>
      <w:kern w:val="0"/>
      <w:sz w:val="22"/>
      <w:szCs w:val="22"/>
      <w:lang w:eastAsia="en-US"/>
    </w:rPr>
  </w:style>
  <w:style w:type="paragraph" w:customStyle="1" w:styleId="180">
    <w:name w:val="报告正文-连续目录"/>
    <w:basedOn w:val="1"/>
    <w:qFormat/>
    <w:uiPriority w:val="0"/>
    <w:pPr>
      <w:spacing w:line="440" w:lineRule="exact"/>
      <w:ind w:firstLine="200" w:firstLineChars="200"/>
    </w:pPr>
    <w:rPr>
      <w:rFonts w:ascii="Arial" w:hAnsi="Arial"/>
      <w:snapToGrid w:val="0"/>
      <w:kern w:val="0"/>
      <w:sz w:val="24"/>
      <w:szCs w:val="24"/>
    </w:rPr>
  </w:style>
  <w:style w:type="character" w:customStyle="1" w:styleId="181">
    <w:name w:val="纯文本 Char1"/>
    <w:qFormat/>
    <w:uiPriority w:val="0"/>
    <w:rPr>
      <w:rFonts w:ascii="宋体" w:hAnsi="Courier New" w:eastAsia="宋体" w:cs="Courier New"/>
      <w:szCs w:val="21"/>
    </w:rPr>
  </w:style>
  <w:style w:type="paragraph" w:customStyle="1" w:styleId="182">
    <w:name w:val="标题 41"/>
    <w:basedOn w:val="1"/>
    <w:qFormat/>
    <w:uiPriority w:val="1"/>
    <w:pPr>
      <w:autoSpaceDE w:val="0"/>
      <w:autoSpaceDN w:val="0"/>
      <w:ind w:left="1017"/>
      <w:jc w:val="left"/>
      <w:outlineLvl w:val="4"/>
    </w:pPr>
    <w:rPr>
      <w:rFonts w:ascii="宋体" w:hAnsi="宋体" w:cs="宋体"/>
      <w:b/>
      <w:bCs/>
      <w:kern w:val="0"/>
      <w:sz w:val="24"/>
      <w:szCs w:val="24"/>
      <w:lang w:eastAsia="en-US"/>
    </w:rPr>
  </w:style>
  <w:style w:type="paragraph" w:customStyle="1" w:styleId="183">
    <w:name w:val="报告表正文"/>
    <w:basedOn w:val="1"/>
    <w:qFormat/>
    <w:uiPriority w:val="0"/>
    <w:pPr>
      <w:adjustRightInd w:val="0"/>
      <w:spacing w:line="312" w:lineRule="auto"/>
      <w:ind w:left="113" w:right="113" w:firstLine="482"/>
      <w:jc w:val="left"/>
      <w:textAlignment w:val="baseline"/>
    </w:pPr>
    <w:rPr>
      <w:kern w:val="0"/>
      <w:sz w:val="24"/>
    </w:rPr>
  </w:style>
  <w:style w:type="paragraph" w:customStyle="1" w:styleId="184">
    <w:name w:val="表字体"/>
    <w:basedOn w:val="1"/>
    <w:next w:val="1"/>
    <w:qFormat/>
    <w:uiPriority w:val="0"/>
    <w:pPr>
      <w:jc w:val="center"/>
    </w:pPr>
    <w:rPr>
      <w:rFonts w:ascii="Times New Roman" w:hAnsi="Times New Roman" w:eastAsia="宋体"/>
    </w:rPr>
  </w:style>
  <w:style w:type="paragraph" w:customStyle="1" w:styleId="185">
    <w:name w:val="1标题"/>
    <w:basedOn w:val="1"/>
    <w:qFormat/>
    <w:uiPriority w:val="0"/>
    <w:pPr>
      <w:spacing w:line="360" w:lineRule="auto"/>
      <w:ind w:firstLine="723" w:firstLineChars="200"/>
    </w:pPr>
    <w:rPr>
      <w:rFonts w:ascii="Times New Roman" w:hAnsi="Times New Roman" w:eastAsia="宋体"/>
      <w:b/>
      <w:sz w:val="24"/>
    </w:rPr>
  </w:style>
  <w:style w:type="paragraph" w:customStyle="1" w:styleId="186">
    <w:name w:val="表标题"/>
    <w:basedOn w:val="1"/>
    <w:qFormat/>
    <w:uiPriority w:val="0"/>
    <w:pPr>
      <w:jc w:val="center"/>
    </w:pPr>
    <w:rPr>
      <w:rFonts w:ascii="Times New Roman" w:hAnsi="Times New Roman" w:eastAsia="宋体"/>
      <w:b/>
    </w:rPr>
  </w:style>
  <w:style w:type="character" w:customStyle="1" w:styleId="187">
    <w:name w:val="正文1 Char"/>
    <w:link w:val="172"/>
    <w:qFormat/>
    <w:uiPriority w:val="0"/>
    <w:rPr>
      <w:rFonts w:ascii="Times New Roman" w:hAnsi="Times New Roman" w:eastAsia="宋体" w:cs="Times New Roman"/>
      <w:kern w:val="2"/>
      <w:sz w:val="21"/>
      <w:szCs w:val="21"/>
      <w:lang w:val="en-US" w:eastAsia="zh-CN" w:bidi="ar-SA"/>
    </w:rPr>
  </w:style>
  <w:style w:type="paragraph" w:customStyle="1" w:styleId="188">
    <w:name w:val="样式 小四 黑色 行距: 固定值 26 磅"/>
    <w:basedOn w:val="1"/>
    <w:qFormat/>
    <w:uiPriority w:val="0"/>
    <w:pPr>
      <w:spacing w:line="520" w:lineRule="exact"/>
      <w:ind w:firstLine="504" w:firstLineChars="200"/>
    </w:pPr>
    <w:rPr>
      <w:rFonts w:cs="宋体"/>
      <w:color w:val="000000"/>
      <w:spacing w:val="6"/>
      <w:sz w:val="24"/>
      <w:szCs w:val="20"/>
    </w:rPr>
  </w:style>
  <w:style w:type="paragraph" w:customStyle="1" w:styleId="189">
    <w:name w:val="九晟表格"/>
    <w:basedOn w:val="1"/>
    <w:qFormat/>
    <w:uiPriority w:val="0"/>
    <w:pPr>
      <w:jc w:val="center"/>
    </w:pPr>
    <w:rPr>
      <w:szCs w:val="21"/>
    </w:rPr>
  </w:style>
  <w:style w:type="paragraph" w:customStyle="1" w:styleId="190">
    <w:name w:val="样式 正文文本缩进 2 + Times New Roman 首行缩进:  2 字符"/>
    <w:basedOn w:val="24"/>
    <w:qFormat/>
    <w:uiPriority w:val="0"/>
    <w:pPr>
      <w:widowControl/>
      <w:spacing w:after="0" w:line="360" w:lineRule="auto"/>
      <w:ind w:left="0" w:leftChars="0" w:firstLine="480"/>
    </w:pPr>
    <w:rPr>
      <w:rFonts w:cs="宋体"/>
      <w:kern w:val="0"/>
      <w:szCs w:val="20"/>
    </w:rPr>
  </w:style>
  <w:style w:type="paragraph" w:customStyle="1" w:styleId="191">
    <w:name w:val="段落1"/>
    <w:basedOn w:val="1"/>
    <w:qFormat/>
    <w:uiPriority w:val="0"/>
    <w:pPr>
      <w:adjustRightInd w:val="0"/>
      <w:spacing w:line="440" w:lineRule="exact"/>
      <w:ind w:firstLine="200" w:firstLineChars="200"/>
    </w:pPr>
    <w:rPr>
      <w:rFonts w:ascii="Calibri" w:hAnsi="Calibri" w:eastAsia="宋体" w:cs="Times New Roman"/>
      <w:spacing w:val="8"/>
      <w:sz w:val="28"/>
    </w:rPr>
  </w:style>
  <w:style w:type="character" w:customStyle="1" w:styleId="192">
    <w:name w:val="font81"/>
    <w:qFormat/>
    <w:uiPriority w:val="0"/>
    <w:rPr>
      <w:rFonts w:hint="default" w:ascii="Times New Roman" w:hAnsi="Times New Roman" w:cs="Times New Roman"/>
      <w:color w:val="auto"/>
      <w:sz w:val="21"/>
      <w:szCs w:val="21"/>
      <w:u w:val="none"/>
    </w:rPr>
  </w:style>
  <w:style w:type="character" w:customStyle="1" w:styleId="193">
    <w:name w:val="font91"/>
    <w:qFormat/>
    <w:uiPriority w:val="0"/>
    <w:rPr>
      <w:rFonts w:hint="default" w:ascii="Times New Roman" w:hAnsi="Times New Roman" w:cs="Times New Roman"/>
      <w:color w:val="auto"/>
      <w:sz w:val="21"/>
      <w:szCs w:val="21"/>
      <w:u w:val="none"/>
    </w:rPr>
  </w:style>
  <w:style w:type="character" w:customStyle="1" w:styleId="194">
    <w:name w:val="font71"/>
    <w:qFormat/>
    <w:uiPriority w:val="0"/>
    <w:rPr>
      <w:rFonts w:hint="eastAsia" w:ascii="宋体" w:hAnsi="宋体" w:eastAsia="宋体" w:cs="宋体"/>
      <w:color w:val="auto"/>
      <w:sz w:val="21"/>
      <w:szCs w:val="21"/>
      <w:u w:val="none"/>
    </w:rPr>
  </w:style>
  <w:style w:type="paragraph" w:customStyle="1" w:styleId="195">
    <w:name w:val="A0正文"/>
    <w:basedOn w:val="1"/>
    <w:qFormat/>
    <w:uiPriority w:val="0"/>
    <w:pPr>
      <w:spacing w:line="360" w:lineRule="auto"/>
      <w:ind w:firstLine="200" w:firstLineChars="200"/>
    </w:pPr>
    <w:rPr>
      <w:rFonts w:ascii="Calibri" w:hAnsi="Calibri" w:cs="宋体"/>
      <w:sz w:val="24"/>
      <w:szCs w:val="20"/>
      <w:lang w:val="zh-CN"/>
    </w:rPr>
  </w:style>
  <w:style w:type="paragraph" w:customStyle="1" w:styleId="196">
    <w:name w:val="报告表 段"/>
    <w:basedOn w:val="1"/>
    <w:qFormat/>
    <w:uiPriority w:val="0"/>
    <w:pPr>
      <w:spacing w:line="360" w:lineRule="auto"/>
      <w:ind w:firstLine="470" w:firstLineChars="196"/>
    </w:pPr>
    <w:rPr>
      <w:rFonts w:ascii="宋体" w:hAnsi="宋体"/>
      <w:bCs/>
      <w:sz w:val="24"/>
    </w:rPr>
  </w:style>
  <w:style w:type="paragraph" w:customStyle="1" w:styleId="197">
    <w:name w:val="正文001"/>
    <w:basedOn w:val="1"/>
    <w:qFormat/>
    <w:uiPriority w:val="0"/>
    <w:pPr>
      <w:spacing w:before="60" w:line="420" w:lineRule="exact"/>
      <w:ind w:firstLine="482"/>
    </w:pPr>
    <w:rPr>
      <w:sz w:val="24"/>
      <w:szCs w:val="20"/>
    </w:rPr>
  </w:style>
  <w:style w:type="paragraph" w:customStyle="1" w:styleId="198">
    <w:name w:val="九晟正文"/>
    <w:basedOn w:val="1"/>
    <w:qFormat/>
    <w:uiPriority w:val="0"/>
    <w:pPr>
      <w:spacing w:line="360" w:lineRule="auto"/>
      <w:ind w:firstLine="480" w:firstLineChars="200"/>
      <w:jc w:val="left"/>
    </w:pPr>
    <w:rPr>
      <w:sz w:val="24"/>
    </w:rPr>
  </w:style>
  <w:style w:type="paragraph" w:customStyle="1" w:styleId="199">
    <w:name w:val="九晟表格标题"/>
    <w:basedOn w:val="1"/>
    <w:qFormat/>
    <w:uiPriority w:val="0"/>
    <w:pPr>
      <w:spacing w:line="360" w:lineRule="auto"/>
      <w:jc w:val="center"/>
    </w:pPr>
    <w:rPr>
      <w:b/>
      <w:color w:val="FF000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header" Target="header1.xml"/><Relationship Id="rId55" Type="http://schemas.openxmlformats.org/officeDocument/2006/relationships/fontTable" Target="fontTable.xml"/><Relationship Id="rId54" Type="http://schemas.openxmlformats.org/officeDocument/2006/relationships/customXml" Target="../customXml/item2.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3.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emf"/><Relationship Id="rId16" Type="http://schemas.openxmlformats.org/officeDocument/2006/relationships/oleObject" Target="embeddings/oleObject2.bin"/><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2050" textRotate="1"/>
    <customShpInfo spid="_x0000_s205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04B223-AC68-4AEF-A9E0-371EE7A0DD5F}">
  <ds:schemaRefs/>
</ds:datastoreItem>
</file>

<file path=docProps/app.xml><?xml version="1.0" encoding="utf-8"?>
<Properties xmlns="http://schemas.openxmlformats.org/officeDocument/2006/extended-properties" xmlns:vt="http://schemas.openxmlformats.org/officeDocument/2006/docPropsVTypes">
  <Template>Normal</Template>
  <Company>微软系统</Company>
  <Pages>121</Pages>
  <Words>45136</Words>
  <Characters>52789</Characters>
  <Lines>279</Lines>
  <Paragraphs>78</Paragraphs>
  <TotalTime>6</TotalTime>
  <ScaleCrop>false</ScaleCrop>
  <LinksUpToDate>false</LinksUpToDate>
  <CharactersWithSpaces>55808</CharactersWithSpaces>
  <Application>WPS Office_11.1.0.9513_F1E327BC-269C-435d-A152-05C5408002CA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2018-11-01T10:26:00Z</dcterms:created>
  <dc:creator>微软用户</dc:creator>
  <cp:lastModifiedBy>浮生若梦</cp:lastModifiedBy>
  <cp:lastPrinted>2020-02-24T07:39:00Z</cp:lastPrinted>
  <dcterms:modified xsi:type="dcterms:W3CDTF">2020-03-18T02:15:13Z</dcterms:modified>
  <dc:title>建设项目环境影响报告表</dc:title>
  <cp:revision>102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