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p>
    <w:p>
      <w:pPr>
        <w:spacing w:line="600" w:lineRule="exact"/>
        <w:ind w:right="67" w:rightChars="32"/>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关于湘阴县水务局湘阴县烂泥湖涝区排涝能力建设配套工程项目环境影响报告表的批复</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湘阴县水务局：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你单位《关于申请“湘阴县水务局湘阴县烂泥湖涝区排涝能力建设配套工程建设项目环境影响报告表”批复的报告》及有关附件已收悉。根据国家环境保护有关法律、法规、政策和项目所在地环境功能区划的要求，经研究，现批复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一、湘阴县水务局湘阴县烂泥湖涝区排涝能力建设配套工程建设项目拟建于湘阴县烂泥湖涝区，其中包括湘阴县新泉镇湘资垸，岭北镇岭北垸、沙田垸。该项目主要建设内容包括：内湖堤防加固工程 4 处，总长14.0km（其中湘资垸泊湖</w:t>
      </w:r>
      <w:r>
        <w:rPr>
          <w:rFonts w:hint="eastAsia" w:ascii="仿宋" w:hAnsi="仿宋" w:eastAsia="仿宋" w:cs="仿宋"/>
          <w:sz w:val="32"/>
          <w:szCs w:val="32"/>
          <w:lang w:val="en-US" w:eastAsia="zh-CN"/>
        </w:rPr>
        <w:t>4km，下荆湖2</w:t>
      </w:r>
      <w:r>
        <w:rPr>
          <w:rFonts w:hint="eastAsia" w:ascii="仿宋" w:hAnsi="仿宋" w:eastAsia="仿宋" w:cs="仿宋"/>
          <w:sz w:val="32"/>
          <w:szCs w:val="32"/>
          <w:lang w:eastAsia="zh-CN"/>
        </w:rPr>
        <w:t>km</w:t>
      </w:r>
      <w:r>
        <w:rPr>
          <w:rFonts w:hint="eastAsia" w:ascii="仿宋" w:hAnsi="仿宋" w:eastAsia="仿宋" w:cs="仿宋"/>
          <w:sz w:val="32"/>
          <w:szCs w:val="32"/>
          <w:lang w:val="en-US" w:eastAsia="zh-CN"/>
        </w:rPr>
        <w:t>，岭北垸夹洲哑河6km，沙田垸长劲湖2km</w:t>
      </w:r>
      <w:r>
        <w:rPr>
          <w:rFonts w:hint="eastAsia" w:ascii="仿宋" w:hAnsi="仿宋" w:eastAsia="仿宋" w:cs="仿宋"/>
          <w:sz w:val="32"/>
          <w:szCs w:val="32"/>
          <w:lang w:eastAsia="zh-CN"/>
        </w:rPr>
        <w:t>）；排水渠系工程 7 处，总长 27.0km（其中湘资垸复兴渠5.1km，官路咀渠3.5km，义成渠4.4km，岭北垸纵干渠2.6km，东港大排渠3.2km，北干渠4.2km，沙田垸大石港支水渠4.0km）；配套工程 6 处（其中：湘资垸 3 处，分别为泊湖排湖闸、团柱节制闸、红旗湖节制闸；岭北垸 3 处，分别为大岭排湖闸、腐肥厂节制闸、双湖排湖闸），均为控水闸改建。项目总投资8823.15万元，其中环保投资</w:t>
      </w:r>
      <w:r>
        <w:rPr>
          <w:rFonts w:hint="eastAsia" w:ascii="仿宋" w:hAnsi="仿宋" w:eastAsia="仿宋" w:cs="仿宋"/>
          <w:sz w:val="32"/>
          <w:szCs w:val="32"/>
          <w:lang w:val="en-US" w:eastAsia="zh-CN"/>
        </w:rPr>
        <w:t>78万元。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该项目为水利工程基础设施建设，其主要发挥防洪保安和排涝功能，符合国家产业政策，根据湖南汇恒环境保护科技发展有限公司编制的该项目环境影响报告表基本内容、评价结论及专家评审意见，从环保角度考虑，同意该项目在拟建地建设。</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项目营运过程中须认真落实环评报告表、专家意见及批复中提出的各项污染防治和生态保护措施，加强环境管理，确保外排污染物稳定达标排放，建设单位应重点做好以下环保工作：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优化建设方案与工程布置。科学规划、合理布局，严格按照国家相关防洪标准与技术规范，实施设计和建设，确保堤防稳固安全，发挥其应有防洪排涝功能。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2、项目施工废水管理。施工场地建立导排和引流措施，施工场地内开挖临时排水沟，修建临时沉淀池，施工废水、淤泥干化余水经沉淀后外排。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加强施工期扬尘管理。限定施工场、物料场所，并设置好护栏、挡（隔离）板、简易材料棚、安全提示标记等，在进行土石方施工时，应进行洒水防尘，对出入的运输车辆定点清洗、蓬覆式遮盖、密闭运输，易产生扬尘物料覆盖堆放，防止物料散落或扬尘污染；淤泥堆场主要进行遮盖，干化防臭；淤泥运输应避开学校、医院等环境敏感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4.加强施工噪声管理。施工机械选用低噪声设备，合理布局，尽量缩短施工期，严禁在中午（12:00-14:00）和夜间（22：00- 次日6：00）进行产生高噪声污染的设备施工作业，避免在同一时间内集中使用大量的动力机械设备，确保场界满足《建筑施工场界环境噪声排放标准》（GB12523-2011）的标准要求。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加强固体废物管理。施工期产生的工程弃渣、弃土及建筑垃圾，按照相关规定外运至指定地点。强化日常环境管理，做好固废的分类收集和综合利用，规范建设好固体废物临时堆放暂存场所，清淤后的淤泥自然晾干后运到湘阴县渣土公司指定的消纳场所；生活垃圾集中收集后交由当地环卫部门处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加强区域生态环境保护。严防对堤防、河床、水体、植被、水生动植物资源、景观等造成破坏。制定水土保持方案，切实落实水土保持方案及环评文件提出的各项生态恢复措施及水土保持措施；采用工程措施、植被措施、临时防护措施相结合的方式防治水土流失，必要时采取人工生态补偿措施；强化临时堆场管理，临时占地应避开环境敏感点，合理利用表层土壤，及时进行取弃土场的生态恢复；合理安排施工时间，雨季应尽量减少开挖，土料随挖随运，减少堆土、裸土的暴露时间，避免受降水的直接冲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7、加强环境风险管理。加强沿线巡查，建立健全各项规章制度、岗位责任制度，确保施工期不发生任何环境风险。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三、你公司应在收到本批复后15个工作日内，将批复及批准的环评报告文本送至湘阴县岭北镇、新泉镇人民政府、湘阴县环境监察大队、湖南汇恒环境保护科技发展有限公司。</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四、由湘阴县环境监察大队负责该项目环境监管。</w:t>
      </w:r>
    </w:p>
    <w:p>
      <w:pPr>
        <w:rPr>
          <w:rFonts w:hint="eastAsia" w:ascii="仿宋" w:hAnsi="仿宋" w:eastAsia="仿宋" w:cs="仿宋"/>
          <w:sz w:val="32"/>
          <w:szCs w:val="32"/>
          <w:lang w:eastAsia="zh-CN"/>
        </w:rPr>
      </w:pPr>
    </w:p>
    <w:p>
      <w:pPr>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湘阴县环境保护局</w:t>
      </w:r>
    </w:p>
    <w:p>
      <w:pPr>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2018年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日</w:t>
      </w:r>
    </w:p>
    <w:p>
      <w:pPr>
        <w:rPr>
          <w:rFonts w:hint="eastAsia" w:ascii="仿宋" w:hAnsi="仿宋" w:eastAsia="仿宋" w:cs="仿宋"/>
          <w:sz w:val="32"/>
          <w:szCs w:val="32"/>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1213" w:right="1349" w:bottom="110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E5A4"/>
    <w:multiLevelType w:val="singleLevel"/>
    <w:tmpl w:val="6D3FE5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82F60"/>
    <w:rsid w:val="10E146C9"/>
    <w:rsid w:val="19FA5A00"/>
    <w:rsid w:val="1CC82F60"/>
    <w:rsid w:val="1F4D7B75"/>
    <w:rsid w:val="2E197691"/>
    <w:rsid w:val="3A22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2018-06-11T13:40:00Z</dcterms:created>
  <dc:creator>Administrator</dc:creator>
  <cp:lastModifiedBy>Administrator</cp:lastModifiedBy>
  <cp:lastPrinted>2018-07-04T07:58:00Z</cp:lastPrinted>
  <dcterms:modified xsi:type="dcterms:W3CDTF">2018-07-20T00:59:54Z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