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bookmarkStart w:id="0" w:name="_GoBack"/>
      <w:bookmarkEnd w:id="0"/>
    </w:p>
    <w:p>
      <w:pPr>
        <w:spacing w:line="600" w:lineRule="exact"/>
        <w:ind w:right="67" w:rightChars="32"/>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关于湘阴县山锋废旧农机回收有限公司</w:t>
      </w:r>
    </w:p>
    <w:p>
      <w:pPr>
        <w:spacing w:line="600" w:lineRule="exact"/>
        <w:ind w:right="67" w:rightChars="32"/>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年报废800台废旧农机设备建设项目</w:t>
      </w:r>
    </w:p>
    <w:p>
      <w:pPr>
        <w:spacing w:line="600" w:lineRule="exact"/>
        <w:ind w:right="67" w:rightChars="32"/>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环境影响报告表的批复</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湘阴县山锋废旧农机回收有限公司：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你公司《关于申请“湘阴县山锋废旧农机回收有限公司年报废800台废旧农机设备建设项目环境影响报告表”批复的报告》及有关附件已收悉。根据国家环境保护有关法律、法规、政策和项目所在地环境功能区划的要求，经研究，现批复如下：</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湘阴县山锋废旧农机回收有限公司年报废800台废旧农机设备建设项目拟建于湘阴县洋沙湖街道办事处（</w:t>
      </w:r>
      <w:r>
        <w:rPr>
          <w:rFonts w:hint="eastAsia" w:ascii="仿宋" w:hAnsi="仿宋" w:eastAsia="仿宋" w:cs="仿宋"/>
          <w:sz w:val="32"/>
          <w:szCs w:val="32"/>
          <w:lang w:val="en-US" w:eastAsia="zh-CN"/>
        </w:rPr>
        <w:t>原</w:t>
      </w:r>
      <w:r>
        <w:rPr>
          <w:rFonts w:hint="eastAsia" w:ascii="仿宋" w:hAnsi="仿宋" w:eastAsia="仿宋" w:cs="仿宋"/>
          <w:sz w:val="32"/>
          <w:szCs w:val="32"/>
        </w:rPr>
        <w:t>袁家铺镇新南村十组</w:t>
      </w:r>
      <w:r>
        <w:rPr>
          <w:rFonts w:hint="eastAsia" w:ascii="仿宋" w:hAnsi="仿宋" w:eastAsia="仿宋" w:cs="仿宋"/>
          <w:sz w:val="32"/>
          <w:szCs w:val="32"/>
          <w:lang w:eastAsia="zh-CN"/>
        </w:rPr>
        <w:t>，租赁厂房，出租方李正奇，原为湘阴县永裕废旧农机回收有限公司租赁地（该项目已办理环评手续，但因故撤资未建设运营）</w:t>
      </w:r>
      <w:r>
        <w:rPr>
          <w:rFonts w:hint="eastAsia" w:ascii="仿宋" w:hAnsi="仿宋" w:eastAsia="仿宋" w:cs="仿宋"/>
          <w:sz w:val="32"/>
          <w:szCs w:val="32"/>
        </w:rPr>
        <w:t>，总占地面积1580m</w:t>
      </w:r>
      <w:r>
        <w:rPr>
          <w:rFonts w:hint="eastAsia" w:ascii="仿宋" w:hAnsi="仿宋" w:eastAsia="仿宋" w:cs="仿宋"/>
          <w:sz w:val="32"/>
          <w:szCs w:val="32"/>
          <w:vertAlign w:val="superscript"/>
        </w:rPr>
        <w:t>2</w:t>
      </w:r>
      <w:r>
        <w:rPr>
          <w:rFonts w:hint="eastAsia" w:ascii="仿宋" w:hAnsi="仿宋" w:eastAsia="仿宋" w:cs="仿宋"/>
          <w:sz w:val="32"/>
          <w:szCs w:val="32"/>
        </w:rPr>
        <w:t>，总建筑面积625m</w:t>
      </w:r>
      <w:r>
        <w:rPr>
          <w:rFonts w:hint="eastAsia" w:ascii="仿宋" w:hAnsi="仿宋" w:eastAsia="仿宋" w:cs="仿宋"/>
          <w:sz w:val="32"/>
          <w:szCs w:val="32"/>
          <w:vertAlign w:val="superscript"/>
        </w:rPr>
        <w:t>2</w:t>
      </w:r>
      <w:r>
        <w:rPr>
          <w:rFonts w:hint="eastAsia" w:ascii="仿宋" w:hAnsi="仿宋" w:eastAsia="仿宋" w:cs="仿宋"/>
          <w:sz w:val="32"/>
          <w:szCs w:val="32"/>
        </w:rPr>
        <w:t>，总投资</w:t>
      </w:r>
      <w:r>
        <w:rPr>
          <w:rFonts w:hint="eastAsia" w:ascii="仿宋" w:hAnsi="仿宋" w:eastAsia="仿宋" w:cs="仿宋"/>
          <w:sz w:val="32"/>
          <w:szCs w:val="32"/>
          <w:lang w:val="en-US" w:eastAsia="zh-CN"/>
        </w:rPr>
        <w:t>500</w:t>
      </w:r>
      <w:r>
        <w:rPr>
          <w:rFonts w:hint="eastAsia" w:ascii="仿宋" w:hAnsi="仿宋" w:eastAsia="仿宋" w:cs="仿宋"/>
          <w:sz w:val="32"/>
          <w:szCs w:val="32"/>
        </w:rPr>
        <w:t>万元。该项目主要建设内容包括：</w:t>
      </w:r>
      <w:r>
        <w:rPr>
          <w:rFonts w:hint="eastAsia" w:ascii="仿宋" w:hAnsi="仿宋" w:eastAsia="仿宋" w:cs="仿宋"/>
          <w:sz w:val="32"/>
          <w:szCs w:val="32"/>
          <w:lang w:eastAsia="zh-CN"/>
        </w:rPr>
        <w:t>在</w:t>
      </w:r>
      <w:r>
        <w:rPr>
          <w:rFonts w:hint="eastAsia" w:ascii="仿宋" w:hAnsi="仿宋" w:eastAsia="仿宋" w:cs="仿宋"/>
          <w:sz w:val="32"/>
          <w:szCs w:val="32"/>
        </w:rPr>
        <w:t>租赁场地总用地面积</w:t>
      </w:r>
      <w:r>
        <w:rPr>
          <w:rFonts w:hint="eastAsia" w:ascii="仿宋" w:hAnsi="仿宋" w:eastAsia="仿宋" w:cs="仿宋"/>
          <w:sz w:val="32"/>
          <w:szCs w:val="32"/>
          <w:lang w:eastAsia="zh-CN"/>
        </w:rPr>
        <w:t>中</w:t>
      </w:r>
      <w:r>
        <w:rPr>
          <w:rFonts w:hint="eastAsia" w:ascii="仿宋" w:hAnsi="仿宋" w:eastAsia="仿宋" w:cs="仿宋"/>
          <w:sz w:val="32"/>
          <w:szCs w:val="32"/>
        </w:rPr>
        <w:t>建设报废车间、成品堆放区、仓库等辅助工程，总建筑面积为625m</w:t>
      </w:r>
      <w:r>
        <w:rPr>
          <w:rFonts w:hint="eastAsia" w:ascii="仿宋" w:hAnsi="仿宋" w:eastAsia="仿宋" w:cs="仿宋"/>
          <w:sz w:val="32"/>
          <w:szCs w:val="32"/>
          <w:vertAlign w:val="superscript"/>
        </w:rPr>
        <w:t>2</w:t>
      </w:r>
      <w:r>
        <w:rPr>
          <w:rFonts w:hint="eastAsia" w:ascii="仿宋" w:hAnsi="仿宋" w:eastAsia="仿宋" w:cs="仿宋"/>
          <w:sz w:val="32"/>
          <w:szCs w:val="32"/>
        </w:rPr>
        <w:t>，</w:t>
      </w:r>
      <w:r>
        <w:rPr>
          <w:rFonts w:hint="eastAsia" w:ascii="仿宋" w:hAnsi="仿宋" w:eastAsia="仿宋" w:cs="仿宋"/>
          <w:sz w:val="32"/>
          <w:szCs w:val="32"/>
          <w:lang w:eastAsia="zh-CN"/>
        </w:rPr>
        <w:t>其中报废车间240</w:t>
      </w:r>
      <w:r>
        <w:rPr>
          <w:rFonts w:hint="eastAsia" w:ascii="仿宋" w:hAnsi="仿宋" w:eastAsia="仿宋" w:cs="仿宋"/>
          <w:sz w:val="32"/>
          <w:szCs w:val="32"/>
        </w:rPr>
        <w:t>m</w:t>
      </w:r>
      <w:r>
        <w:rPr>
          <w:rFonts w:hint="eastAsia" w:ascii="仿宋" w:hAnsi="仿宋" w:eastAsia="仿宋" w:cs="仿宋"/>
          <w:sz w:val="32"/>
          <w:szCs w:val="32"/>
          <w:vertAlign w:val="superscript"/>
        </w:rPr>
        <w:t>2</w:t>
      </w:r>
      <w:r>
        <w:rPr>
          <w:rFonts w:hint="eastAsia" w:ascii="仿宋" w:hAnsi="仿宋" w:eastAsia="仿宋" w:cs="仿宋"/>
          <w:sz w:val="32"/>
          <w:szCs w:val="32"/>
          <w:lang w:eastAsia="zh-CN"/>
        </w:rPr>
        <w:t>、仓库用房180</w:t>
      </w:r>
      <w:r>
        <w:rPr>
          <w:rFonts w:hint="eastAsia" w:ascii="仿宋" w:hAnsi="仿宋" w:eastAsia="仿宋" w:cs="仿宋"/>
          <w:sz w:val="32"/>
          <w:szCs w:val="32"/>
        </w:rPr>
        <w:t>m</w:t>
      </w:r>
      <w:r>
        <w:rPr>
          <w:rFonts w:hint="eastAsia" w:ascii="仿宋" w:hAnsi="仿宋" w:eastAsia="仿宋" w:cs="仿宋"/>
          <w:sz w:val="32"/>
          <w:szCs w:val="32"/>
          <w:vertAlign w:val="superscript"/>
        </w:rPr>
        <w:t>2</w:t>
      </w:r>
      <w:r>
        <w:rPr>
          <w:rFonts w:hint="eastAsia" w:ascii="仿宋" w:hAnsi="仿宋" w:eastAsia="仿宋" w:cs="仿宋"/>
          <w:sz w:val="32"/>
          <w:szCs w:val="32"/>
          <w:lang w:eastAsia="zh-CN"/>
        </w:rPr>
        <w:t>、办公用房125</w:t>
      </w:r>
      <w:r>
        <w:rPr>
          <w:rFonts w:hint="eastAsia" w:ascii="仿宋" w:hAnsi="仿宋" w:eastAsia="仿宋" w:cs="仿宋"/>
          <w:sz w:val="32"/>
          <w:szCs w:val="32"/>
        </w:rPr>
        <w:t>m</w:t>
      </w:r>
      <w:r>
        <w:rPr>
          <w:rFonts w:hint="eastAsia" w:ascii="仿宋" w:hAnsi="仿宋" w:eastAsia="仿宋" w:cs="仿宋"/>
          <w:sz w:val="32"/>
          <w:szCs w:val="32"/>
          <w:vertAlign w:val="superscript"/>
        </w:rPr>
        <w:t>2</w:t>
      </w:r>
      <w:r>
        <w:rPr>
          <w:rFonts w:hint="eastAsia" w:ascii="仿宋" w:hAnsi="仿宋" w:eastAsia="仿宋" w:cs="仿宋"/>
          <w:sz w:val="32"/>
          <w:szCs w:val="32"/>
          <w:lang w:eastAsia="zh-CN"/>
        </w:rPr>
        <w:t>和食堂用房80</w:t>
      </w:r>
      <w:r>
        <w:rPr>
          <w:rFonts w:hint="eastAsia" w:ascii="仿宋" w:hAnsi="仿宋" w:eastAsia="仿宋" w:cs="仿宋"/>
          <w:sz w:val="32"/>
          <w:szCs w:val="32"/>
        </w:rPr>
        <w:t>m</w:t>
      </w:r>
      <w:r>
        <w:rPr>
          <w:rFonts w:hint="eastAsia" w:ascii="仿宋" w:hAnsi="仿宋" w:eastAsia="仿宋" w:cs="仿宋"/>
          <w:sz w:val="32"/>
          <w:szCs w:val="32"/>
          <w:vertAlign w:val="superscript"/>
        </w:rPr>
        <w:t>2</w:t>
      </w:r>
      <w:r>
        <w:rPr>
          <w:rFonts w:hint="eastAsia" w:ascii="仿宋" w:hAnsi="仿宋" w:eastAsia="仿宋" w:cs="仿宋"/>
          <w:sz w:val="32"/>
          <w:szCs w:val="32"/>
          <w:lang w:eastAsia="zh-CN"/>
        </w:rPr>
        <w:t>；项目投产后每年可报废废旧农机800台，</w:t>
      </w:r>
      <w:r>
        <w:rPr>
          <w:rFonts w:hint="eastAsia" w:ascii="仿宋" w:hAnsi="仿宋" w:eastAsia="仿宋" w:cs="仿宋"/>
          <w:sz w:val="32"/>
          <w:szCs w:val="32"/>
        </w:rPr>
        <w:t>主要生产工艺为：废旧农机登记、报审、拆卸动力、上报确认报废、寄送证明、外运。项目仅限对废旧农机人工拆卸动力部分（动力与机体分离），不涉及切割、整体拆解、回收、加工和再生利用。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该项目符合国家产业政策，根据湖南道和环保科技有限公司编制的该项目环境影响报告表评价结论及专家评审意见，从环保角度考虑，同意该项目在拟建地建设，同时建设单位应重点做好以下环保工作：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一、项目建设及营运过程中须认真落实环评报告表、专家意见及批复意见中提出的各项污染防治措施，配套建设污染防治设施，加强环境管理，确保外排污染物长期稳定达标排放。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加强水污染防治。</w:t>
      </w:r>
      <w:r>
        <w:rPr>
          <w:rFonts w:hint="eastAsia" w:ascii="仿宋" w:hAnsi="仿宋" w:eastAsia="仿宋" w:cs="仿宋"/>
          <w:sz w:val="32"/>
          <w:szCs w:val="32"/>
        </w:rPr>
        <w:t>建设好雨污分流系统</w:t>
      </w:r>
      <w:r>
        <w:rPr>
          <w:rFonts w:hint="eastAsia" w:ascii="仿宋" w:hAnsi="仿宋" w:eastAsia="仿宋" w:cs="仿宋"/>
          <w:sz w:val="32"/>
          <w:szCs w:val="32"/>
          <w:lang w:eastAsia="zh-CN"/>
        </w:rPr>
        <w:t>，</w:t>
      </w:r>
      <w:r>
        <w:rPr>
          <w:rFonts w:hint="eastAsia" w:ascii="仿宋" w:hAnsi="仿宋" w:eastAsia="仿宋" w:cs="仿宋"/>
          <w:sz w:val="32"/>
          <w:szCs w:val="32"/>
        </w:rPr>
        <w:t>食堂废水和生活污水经隔油沉淀池+标准化粪池处理后，用于周边农林灌溉。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加强大气污染防治</w:t>
      </w:r>
      <w:r>
        <w:rPr>
          <w:rFonts w:hint="eastAsia" w:ascii="仿宋" w:hAnsi="仿宋" w:eastAsia="仿宋" w:cs="仿宋"/>
          <w:sz w:val="32"/>
          <w:szCs w:val="32"/>
          <w:lang w:eastAsia="zh-CN"/>
        </w:rPr>
        <w:t>。</w:t>
      </w:r>
      <w:r>
        <w:rPr>
          <w:rFonts w:hint="eastAsia" w:ascii="仿宋" w:hAnsi="仿宋" w:eastAsia="仿宋" w:cs="仿宋"/>
          <w:sz w:val="32"/>
          <w:szCs w:val="32"/>
        </w:rPr>
        <w:t>做好车间强制通风措施，尽量减少使用氧割机，最大限度降低生产过程中的无组织排放废气，确保厂界无组织排放废气满足《大气污染物综合排放标准》（GB16297-1996）中无组织排放监控浓度限值要求。食堂厨房油烟废气须通过油烟净化器有效收集处理，达到《饮食业油烟排放标准》（GB18483-2001）中要求后由专用管道引至屋顶高空排放。</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加强噪声污染防治。选用低噪声机械设备，做好基础隔振、隔音、屏障和降噪等防治措施，噪声须达到《工业企业厂界环境噪声排放标准》（GB12348-2008）中2类标准后排放。严禁在夜间22：00至次日清晨6：00，进行产生噪声污染的生产作业。</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4、强化固废处理措施。</w:t>
      </w:r>
      <w:r>
        <w:rPr>
          <w:rFonts w:hint="eastAsia" w:ascii="仿宋" w:hAnsi="仿宋" w:eastAsia="仿宋" w:cs="仿宋"/>
          <w:sz w:val="32"/>
          <w:szCs w:val="32"/>
          <w:lang w:val="en-US" w:eastAsia="zh-CN"/>
        </w:rPr>
        <w:t>严格</w:t>
      </w:r>
      <w:r>
        <w:rPr>
          <w:rFonts w:hint="eastAsia" w:ascii="仿宋" w:hAnsi="仿宋" w:eastAsia="仿宋" w:cs="仿宋"/>
          <w:sz w:val="32"/>
          <w:szCs w:val="32"/>
        </w:rPr>
        <w:t>日常环境管理和固体废物防治工作</w:t>
      </w:r>
      <w:r>
        <w:rPr>
          <w:rFonts w:hint="eastAsia" w:ascii="仿宋" w:hAnsi="仿宋" w:eastAsia="仿宋" w:cs="仿宋"/>
          <w:sz w:val="32"/>
          <w:szCs w:val="32"/>
          <w:lang w:eastAsia="zh-CN"/>
        </w:rPr>
        <w:t>，</w:t>
      </w:r>
      <w:r>
        <w:rPr>
          <w:rFonts w:hint="eastAsia" w:ascii="仿宋" w:hAnsi="仿宋" w:eastAsia="仿宋" w:cs="仿宋"/>
          <w:sz w:val="32"/>
          <w:szCs w:val="32"/>
        </w:rPr>
        <w:t>规范建设好固体废物临时堆放和危险废物分区暂存场所，建立固体废物、危险废物产生、处置管理台帐。废矿物油等危险废物送有资质的单位安全处置；报废农机机体外运相关企业回收；生活垃圾集中收集后交由</w:t>
      </w:r>
      <w:r>
        <w:rPr>
          <w:rFonts w:hint="eastAsia" w:ascii="仿宋" w:hAnsi="仿宋" w:eastAsia="仿宋" w:cs="仿宋"/>
          <w:sz w:val="32"/>
          <w:szCs w:val="32"/>
          <w:lang w:val="en-US" w:eastAsia="zh-CN"/>
        </w:rPr>
        <w:t>当地</w:t>
      </w:r>
      <w:r>
        <w:rPr>
          <w:rFonts w:hint="eastAsia" w:ascii="仿宋" w:hAnsi="仿宋" w:eastAsia="仿宋" w:cs="仿宋"/>
          <w:sz w:val="32"/>
          <w:szCs w:val="32"/>
        </w:rPr>
        <w:t>环卫部门处置。</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5、因该项目是租赁场地经营，项目建成后不改变用地性质，若遇政策性拆迁，应无条件拆除。</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二、你公司应在收到本批复后15个工作日内，将批复及批准的环评报告文本送至湘阴县洋沙湖街道办事处、湘阴县城南环境监察中队、湖南道和环保科技有限公司。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三、由湘阴县环境监察</w:t>
      </w:r>
      <w:r>
        <w:rPr>
          <w:rFonts w:hint="eastAsia" w:ascii="仿宋" w:hAnsi="仿宋" w:eastAsia="仿宋" w:cs="仿宋"/>
          <w:sz w:val="32"/>
          <w:szCs w:val="32"/>
          <w:lang w:eastAsia="zh-CN"/>
        </w:rPr>
        <w:t>大</w:t>
      </w:r>
      <w:r>
        <w:rPr>
          <w:rFonts w:hint="eastAsia" w:ascii="仿宋" w:hAnsi="仿宋" w:eastAsia="仿宋" w:cs="仿宋"/>
          <w:sz w:val="32"/>
          <w:szCs w:val="32"/>
        </w:rPr>
        <w:t>队负责该项目日常环境监管。</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湘阴县环境保护局</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2018年4月26日</w:t>
      </w:r>
    </w:p>
    <w:p>
      <w:r>
        <w:rPr>
          <w:rFonts w:hint="eastAsia"/>
        </w:rPr>
        <w:t xml:space="preserve">       </w:t>
      </w:r>
    </w:p>
    <w:sectPr>
      <w:pgSz w:w="11906" w:h="16838"/>
      <w:pgMar w:top="1157" w:right="1633" w:bottom="1157" w:left="163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E170E5"/>
    <w:rsid w:val="01E170E5"/>
    <w:rsid w:val="03F92312"/>
    <w:rsid w:val="1ACB6AF2"/>
    <w:rsid w:val="4C307935"/>
    <w:rsid w:val="5FDB512A"/>
    <w:rsid w:val="5FDC7540"/>
    <w:rsid w:val="71D02770"/>
    <w:rsid w:val="7CB13D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2018-04-22T01:25:00Z</dcterms:created>
  <dc:creator>15876</dc:creator>
  <cp:lastModifiedBy>Administrator</cp:lastModifiedBy>
  <cp:lastPrinted>2018-05-04T00:57:00Z</cp:lastPrinted>
  <dcterms:modified xsi:type="dcterms:W3CDTF">2018-05-23T08:27:28Z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