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384"/>
        <w:tblOverlap w:val="never"/>
        <w:tblW w:w="148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44"/>
        <w:gridCol w:w="1485"/>
        <w:gridCol w:w="1350"/>
        <w:gridCol w:w="675"/>
        <w:gridCol w:w="1140"/>
        <w:gridCol w:w="975"/>
        <w:gridCol w:w="1695"/>
        <w:gridCol w:w="1635"/>
        <w:gridCol w:w="1230"/>
        <w:gridCol w:w="1260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8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附件1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bidi="ar"/>
              </w:rPr>
              <w:t>2023年湘阴县城市发展集团有限公司公开招聘合同制工作人员一览表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招聘部门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招聘职位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计划招聘人数</w:t>
            </w:r>
          </w:p>
        </w:tc>
        <w:tc>
          <w:tcPr>
            <w:tcW w:w="8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报考条件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性别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年龄要求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最低学历要求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专业要求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职称或职业资格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从业经验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其他要求</w:t>
            </w:r>
          </w:p>
        </w:tc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财务管理部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财务专员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30-35周岁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会计、财务类相关专业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具有中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级会计职称，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级会计职称优先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5年以上企业会计工作经验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8万-9万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资本运营部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投融资专员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金融、财务、审计、工程类相关专业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2年以上</w:t>
            </w:r>
            <w:r>
              <w:rPr>
                <w:rFonts w:ascii="宋体" w:hAnsi="宋体" w:eastAsia="宋体" w:cs="宋体"/>
                <w:sz w:val="18"/>
                <w:szCs w:val="18"/>
                <w:lang w:bidi="ar"/>
              </w:rPr>
              <w:t>融资项目策划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相关岗位从业经验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需长期外勤出差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6万-7万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合计</w:t>
            </w:r>
          </w:p>
        </w:tc>
        <w:tc>
          <w:tcPr>
            <w:tcW w:w="113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41" w:type="dxa"/>
            <w:gridSpan w:val="1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注：30周岁以下即1993年8月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日以后出生，35周岁以下即1988年8月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日以后出生。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1" w:type="dxa"/>
          <w:trHeight w:val="580" w:hRule="atLeast"/>
        </w:trPr>
        <w:tc>
          <w:tcPr>
            <w:tcW w:w="13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DkxYzUxOGQ1OTBhYWNiZTA5ZmViMjgyYWRkZDYifQ=="/>
  </w:docVars>
  <w:rsids>
    <w:rsidRoot w:val="45B8320E"/>
    <w:rsid w:val="45B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spacing w:line="357" w:lineRule="atLeast"/>
      <w:jc w:val="both"/>
    </w:pPr>
    <w:rPr>
      <w:rFonts w:ascii="Cambria" w:hAnsi="Cambria" w:eastAsia="黑体" w:cs="Times New Roman"/>
      <w:color w:val="000000"/>
      <w:sz w:val="20"/>
      <w:lang w:val="en-US" w:eastAsia="zh-CN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color w:val="000000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宋体" w:cs="Times New Roman"/>
      <w:color w:val="000000"/>
      <w:sz w:val="18"/>
      <w:szCs w:val="18"/>
      <w:lang w:val="en-US" w:eastAsia="zh-CN" w:bidi="ar-SA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 w:line="357" w:lineRule="atLeast"/>
      <w:jc w:val="lef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2023-08-16T00:30:00Z</dcterms:created>
  <dc:creator>程振宇</dc:creator>
  <cp:lastModifiedBy>程振宇</cp:lastModifiedBy>
  <dcterms:modified xsi:type="dcterms:W3CDTF">2023-08-16T00:30:21Z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4E27A29278874027A9E8BB6870280215_11</vt:lpwstr>
  </property>
</Properties>
</file>