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hint="eastAsia" w:eastAsia="方正小标宋简体"/>
          <w:bCs/>
          <w:sz w:val="46"/>
          <w:szCs w:val="46"/>
        </w:rPr>
      </w:pPr>
      <w:r>
        <w:rPr>
          <w:rFonts w:hint="eastAsia" w:eastAsia="方正小标宋简体"/>
          <w:bCs/>
          <w:sz w:val="46"/>
          <w:szCs w:val="46"/>
        </w:rPr>
        <w:t>湘阴县20</w:t>
      </w:r>
      <w:r>
        <w:rPr>
          <w:rFonts w:hint="eastAsia" w:eastAsia="方正小标宋简体"/>
          <w:bCs/>
          <w:sz w:val="46"/>
          <w:szCs w:val="46"/>
          <w:u w:val="single"/>
          <w:lang w:val="en-US" w:eastAsia="zh-CN"/>
        </w:rPr>
        <w:t>20</w:t>
      </w:r>
      <w:r>
        <w:rPr>
          <w:rFonts w:hint="eastAsia" w:eastAsia="方正小标宋简体"/>
          <w:bCs/>
          <w:sz w:val="46"/>
          <w:szCs w:val="46"/>
        </w:rPr>
        <w:t>年度部门（单位）整体支出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u w:val="single"/>
        </w:rPr>
      </w:pPr>
      <w:r>
        <w:rPr>
          <w:rFonts w:hint="eastAsia" w:eastAsia="仿宋_GB2312"/>
          <w:sz w:val="32"/>
        </w:rPr>
        <w:t>部门(单位)名称</w:t>
      </w:r>
      <w:r>
        <w:rPr>
          <w:rFonts w:hint="eastAsia" w:eastAsia="仿宋_GB2312"/>
          <w:sz w:val="32"/>
          <w:u w:val="single"/>
        </w:rPr>
        <w:t xml:space="preserve"> </w:t>
      </w:r>
      <w:r>
        <w:rPr>
          <w:rFonts w:hint="eastAsia" w:eastAsia="仿宋_GB2312"/>
          <w:sz w:val="32"/>
          <w:u w:val="single"/>
          <w:lang w:val="en-US" w:eastAsia="zh-CN"/>
        </w:rPr>
        <w:t xml:space="preserve">     </w:t>
      </w:r>
      <w:r>
        <w:rPr>
          <w:rFonts w:hint="eastAsia" w:eastAsia="仿宋_GB2312"/>
          <w:sz w:val="32"/>
          <w:u w:val="single"/>
        </w:rPr>
        <w:t>中共</w:t>
      </w:r>
      <w:r>
        <w:rPr>
          <w:rFonts w:hint="eastAsia" w:eastAsia="仿宋_GB2312"/>
          <w:sz w:val="32"/>
          <w:u w:val="single"/>
          <w:lang w:eastAsia="zh-CN"/>
        </w:rPr>
        <w:t>湘阴</w:t>
      </w:r>
      <w:r>
        <w:rPr>
          <w:rFonts w:hint="eastAsia" w:eastAsia="仿宋_GB2312"/>
          <w:sz w:val="32"/>
          <w:u w:val="single"/>
        </w:rPr>
        <w:t>县委政法委</w:t>
      </w:r>
      <w:r>
        <w:rPr>
          <w:rFonts w:hint="eastAsia" w:eastAsia="仿宋_GB2312"/>
          <w:sz w:val="32"/>
          <w:u w:val="single"/>
          <w:lang w:eastAsia="zh-CN"/>
        </w:rPr>
        <w:t>员会</w:t>
      </w:r>
      <w:r>
        <w:rPr>
          <w:rFonts w:hint="eastAsia" w:eastAsia="仿宋_GB2312"/>
          <w:sz w:val="32"/>
          <w:u w:val="single"/>
          <w:lang w:val="en-US" w:eastAsia="zh-CN"/>
        </w:rPr>
        <w:t xml:space="preserve"> </w:t>
      </w:r>
      <w:r>
        <w:rPr>
          <w:rFonts w:hint="eastAsia" w:eastAsia="仿宋_GB2312"/>
          <w:sz w:val="32"/>
          <w:u w:val="single"/>
        </w:rPr>
        <w:t xml:space="preserve">       </w:t>
      </w:r>
    </w:p>
    <w:p>
      <w:pPr>
        <w:spacing w:before="301" w:beforeLines="50" w:line="348" w:lineRule="auto"/>
        <w:ind w:firstLine="476" w:firstLineChars="150"/>
        <w:rPr>
          <w:rFonts w:hint="eastAsia" w:eastAsia="仿宋_GB2312"/>
          <w:sz w:val="32"/>
        </w:rPr>
      </w:pPr>
      <w:r>
        <w:rPr>
          <w:rFonts w:hint="eastAsia" w:eastAsia="仿宋_GB2312"/>
          <w:sz w:val="32"/>
        </w:rPr>
        <w:t>预算编码</w:t>
      </w:r>
      <w:r>
        <w:rPr>
          <w:rFonts w:hint="eastAsia" w:eastAsia="仿宋_GB2312"/>
          <w:sz w:val="32"/>
          <w:u w:val="single"/>
        </w:rPr>
        <w:t xml:space="preserve">              </w:t>
      </w:r>
      <w:r>
        <w:rPr>
          <w:rFonts w:hint="eastAsia" w:eastAsia="仿宋_GB2312"/>
          <w:sz w:val="32"/>
          <w:u w:val="single"/>
          <w:lang w:val="en-US" w:eastAsia="zh-CN"/>
        </w:rPr>
        <w:t>111001</w:t>
      </w:r>
      <w:r>
        <w:rPr>
          <w:rFonts w:hint="eastAsia" w:eastAsia="仿宋_GB2312"/>
          <w:sz w:val="32"/>
          <w:u w:val="single"/>
        </w:rPr>
        <w:t xml:space="preserve">                      </w:t>
      </w:r>
    </w:p>
    <w:p>
      <w:pPr>
        <w:spacing w:before="301" w:beforeLines="50" w:line="348" w:lineRule="auto"/>
        <w:ind w:firstLine="476" w:firstLineChars="150"/>
        <w:rPr>
          <w:rFonts w:hint="eastAsia" w:eastAsia="仿宋_GB2312"/>
          <w:sz w:val="32"/>
        </w:rPr>
      </w:pPr>
      <w:r>
        <w:rPr>
          <w:rFonts w:hint="eastAsia" w:eastAsia="仿宋_GB2312"/>
          <w:sz w:val="32"/>
        </w:rPr>
        <w:t>评价方式：</w:t>
      </w:r>
      <w:r>
        <w:rPr>
          <w:rFonts w:hint="eastAsia" w:eastAsia="仿宋_GB2312"/>
          <w:sz w:val="32"/>
          <w:szCs w:val="32"/>
        </w:rPr>
        <w:t>部门（单位）绩效自评</w:t>
      </w:r>
    </w:p>
    <w:p>
      <w:pPr>
        <w:spacing w:before="301" w:beforeLines="50" w:line="348" w:lineRule="auto"/>
        <w:ind w:firstLine="476" w:firstLineChars="150"/>
        <w:rPr>
          <w:rFonts w:hint="eastAsia" w:eastAsia="仿宋_GB2312"/>
          <w:sz w:val="32"/>
        </w:rPr>
      </w:pPr>
      <w:r>
        <w:rPr>
          <w:rFonts w:hint="eastAsia" w:eastAsia="仿宋_GB2312"/>
          <w:sz w:val="32"/>
          <w:szCs w:val="32"/>
        </w:rPr>
        <w:t xml:space="preserve">评价机构：部门（单位）评价组 </w:t>
      </w:r>
      <w:r>
        <w:rPr>
          <w:rFonts w:hint="eastAsia" w:eastAsia="仿宋_GB2312"/>
          <w:sz w:val="28"/>
          <w:szCs w:val="28"/>
        </w:rPr>
        <w:t xml:space="preserve">  </w:t>
      </w: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r>
        <w:rPr>
          <w:rFonts w:hint="eastAsia" w:eastAsia="仿宋_GB2312"/>
          <w:sz w:val="32"/>
        </w:rPr>
        <w:t>报告日期：</w:t>
      </w:r>
      <w:r>
        <w:rPr>
          <w:rFonts w:hint="eastAsia" w:eastAsia="仿宋_GB2312"/>
          <w:sz w:val="32"/>
          <w:lang w:val="en-US" w:eastAsia="zh-CN"/>
        </w:rPr>
        <w:t>2021</w:t>
      </w:r>
      <w:r>
        <w:rPr>
          <w:rFonts w:hint="eastAsia" w:eastAsia="仿宋_GB2312"/>
          <w:sz w:val="32"/>
        </w:rPr>
        <w:t>年</w:t>
      </w:r>
      <w:r>
        <w:rPr>
          <w:rFonts w:hint="eastAsia" w:eastAsia="仿宋_GB2312"/>
          <w:sz w:val="32"/>
          <w:lang w:val="en-US" w:eastAsia="zh-CN"/>
        </w:rPr>
        <w:t>5</w:t>
      </w:r>
      <w:r>
        <w:rPr>
          <w:rFonts w:hint="eastAsia" w:eastAsia="仿宋_GB2312"/>
          <w:sz w:val="32"/>
        </w:rPr>
        <w:t>月</w:t>
      </w:r>
      <w:r>
        <w:rPr>
          <w:rFonts w:hint="eastAsia" w:eastAsia="仿宋_GB2312"/>
          <w:sz w:val="32"/>
          <w:lang w:val="en-US" w:eastAsia="zh-CN"/>
        </w:rPr>
        <w:t>17</w:t>
      </w:r>
      <w:r>
        <w:rPr>
          <w:rFonts w:hint="eastAsia" w:eastAsia="仿宋_GB2312"/>
          <w:sz w:val="32"/>
        </w:rPr>
        <w:t>日</w:t>
      </w:r>
    </w:p>
    <w:p>
      <w:pPr>
        <w:autoSpaceDN w:val="0"/>
        <w:jc w:val="center"/>
        <w:textAlignment w:val="center"/>
        <w:rPr>
          <w:rFonts w:hint="eastAsia" w:eastAsia="仿宋_GB2312"/>
          <w:sz w:val="32"/>
          <w:szCs w:val="32"/>
        </w:rPr>
      </w:pPr>
      <w:r>
        <w:rPr>
          <w:rFonts w:hint="eastAsia" w:eastAsia="仿宋_GB2312"/>
          <w:sz w:val="32"/>
        </w:rPr>
        <w:t>湘阴县财政</w:t>
      </w:r>
      <w:r>
        <w:rPr>
          <w:rFonts w:hint="eastAsia" w:eastAsia="仿宋_GB2312"/>
          <w:sz w:val="32"/>
          <w:szCs w:val="32"/>
        </w:rPr>
        <w:t>局（制）</w:t>
      </w:r>
    </w:p>
    <w:p>
      <w:pPr>
        <w:autoSpaceDN w:val="0"/>
        <w:jc w:val="center"/>
        <w:textAlignment w:val="center"/>
        <w:rPr>
          <w:rFonts w:hint="eastAsia" w:eastAsia="仿宋_GB2312"/>
          <w:sz w:val="32"/>
          <w:szCs w:val="32"/>
        </w:rPr>
        <w:sectPr>
          <w:footerReference r:id="rId3" w:type="even"/>
          <w:pgSz w:w="11906" w:h="16838"/>
          <w:pgMar w:top="1701" w:right="1417" w:bottom="1701" w:left="1417" w:header="851" w:footer="992" w:gutter="0"/>
          <w:pgNumType w:fmt="numberInDash" w:start="8"/>
          <w:cols w:space="720" w:num="1"/>
          <w:docGrid w:type="linesAndChars" w:linePitch="602" w:charSpace="-782"/>
        </w:sectPr>
      </w:pPr>
    </w:p>
    <w:tbl>
      <w:tblPr>
        <w:tblStyle w:val="3"/>
        <w:tblW w:w="9561" w:type="dxa"/>
        <w:tblInd w:w="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381"/>
        <w:gridCol w:w="57"/>
        <w:gridCol w:w="26"/>
        <w:gridCol w:w="540"/>
        <w:gridCol w:w="593"/>
        <w:gridCol w:w="79"/>
        <w:gridCol w:w="254"/>
        <w:gridCol w:w="1000"/>
        <w:gridCol w:w="722"/>
        <w:gridCol w:w="403"/>
        <w:gridCol w:w="325"/>
        <w:gridCol w:w="301"/>
        <w:gridCol w:w="432"/>
        <w:gridCol w:w="637"/>
        <w:gridCol w:w="247"/>
        <w:gridCol w:w="922"/>
        <w:gridCol w:w="370"/>
        <w:gridCol w:w="25"/>
        <w:gridCol w:w="384"/>
        <w:gridCol w:w="8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2" w:hRule="atLeast"/>
        </w:trPr>
        <w:tc>
          <w:tcPr>
            <w:tcW w:w="9561" w:type="dxa"/>
            <w:gridSpan w:val="20"/>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黑体" w:hAnsi="黑体" w:eastAsia="黑体" w:cs="黑体"/>
                <w:b/>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2" w:hRule="atLeast"/>
        </w:trPr>
        <w:tc>
          <w:tcPr>
            <w:tcW w:w="1438"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214" w:type="dxa"/>
            <w:gridSpan w:val="7"/>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周令</w:t>
            </w:r>
          </w:p>
        </w:tc>
        <w:tc>
          <w:tcPr>
            <w:tcW w:w="1461"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448" w:type="dxa"/>
            <w:gridSpan w:val="7"/>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13874059567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trPr>
        <w:tc>
          <w:tcPr>
            <w:tcW w:w="1438"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214" w:type="dxa"/>
            <w:gridSpan w:val="7"/>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w:t>
            </w:r>
          </w:p>
        </w:tc>
        <w:tc>
          <w:tcPr>
            <w:tcW w:w="1461"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448" w:type="dxa"/>
            <w:gridSpan w:val="7"/>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80" w:hRule="atLeast"/>
        </w:trPr>
        <w:tc>
          <w:tcPr>
            <w:tcW w:w="1438"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职能职责概述</w:t>
            </w:r>
          </w:p>
        </w:tc>
        <w:tc>
          <w:tcPr>
            <w:tcW w:w="8123" w:type="dxa"/>
            <w:gridSpan w:val="18"/>
            <w:noWrap w:val="0"/>
            <w:vAlign w:val="center"/>
          </w:tcPr>
          <w:p>
            <w:pPr>
              <w:autoSpaceDN w:val="0"/>
              <w:spacing w:line="400" w:lineRule="exact"/>
              <w:ind w:firstLine="480" w:firstLineChars="200"/>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政法委的主要职能有：政法委是党委领导、组织、监督和协调政法各部门，组织、协调全县各单位开展社会治安综合治理和维护社会稳定的工作部门。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919" w:hRule="atLeast"/>
        </w:trPr>
        <w:tc>
          <w:tcPr>
            <w:tcW w:w="1438"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工作内容</w:t>
            </w:r>
          </w:p>
        </w:tc>
        <w:tc>
          <w:tcPr>
            <w:tcW w:w="8123" w:type="dxa"/>
            <w:gridSpan w:val="18"/>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任务1：开展全县社会治安综合治理、综治民调及综治中心建设；</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任务2：开展全县扫黑除恶工作；</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任务3：维护全县社会稳定；</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任务4：开展涉法涉诉工作；</w:t>
            </w:r>
          </w:p>
          <w:p>
            <w:pPr>
              <w:autoSpaceDN w:val="0"/>
              <w:spacing w:line="40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任务5：开展政法系统干部队伍建设。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trPr>
        <w:tc>
          <w:tcPr>
            <w:tcW w:w="1438"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年度部门（单位）总体运行情况及取得的成绩</w:t>
            </w:r>
          </w:p>
        </w:tc>
        <w:tc>
          <w:tcPr>
            <w:tcW w:w="8123" w:type="dxa"/>
            <w:gridSpan w:val="18"/>
            <w:noWrap w:val="0"/>
            <w:vAlign w:val="center"/>
          </w:tcPr>
          <w:p>
            <w:pPr>
              <w:autoSpaceDN w:val="0"/>
              <w:spacing w:line="400" w:lineRule="exact"/>
              <w:ind w:firstLine="480" w:firstLineChars="20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一年来，为加快“平安湘阴”建设进程，以安全防范为重点，以平安宣传为基础，综合施策，整体推进，取得了一定的效果，有效地提高了人民群众对平安建设的知晓率、参与率、满意率，积极开展“全面提升公众安全感”活动。主要做了如下工作：</w:t>
            </w:r>
          </w:p>
          <w:p>
            <w:pPr>
              <w:numPr>
                <w:ilvl w:val="0"/>
                <w:numId w:val="1"/>
              </w:numPr>
              <w:autoSpaceDN w:val="0"/>
              <w:spacing w:line="400" w:lineRule="exact"/>
              <w:ind w:firstLine="480" w:firstLineChars="200"/>
              <w:jc w:val="left"/>
              <w:textAlignment w:val="center"/>
              <w:rPr>
                <w:rFonts w:hint="default" w:ascii="仿宋_GB2312" w:hAnsi="仿宋_GB2312" w:eastAsia="仿宋_GB2312" w:cs="仿宋_GB2312"/>
                <w:color w:val="000000"/>
                <w:sz w:val="24"/>
                <w:lang w:val="en-US" w:eastAsia="zh-CN"/>
              </w:rPr>
            </w:pPr>
            <w:r>
              <w:rPr>
                <w:rFonts w:hint="default" w:ascii="仿宋_GB2312" w:hAnsi="仿宋_GB2312" w:eastAsia="仿宋_GB2312" w:cs="仿宋_GB2312"/>
                <w:color w:val="000000"/>
                <w:sz w:val="24"/>
                <w:lang w:val="en-US" w:eastAsia="zh-CN"/>
              </w:rPr>
              <w:t>服务保障经济高质量发展的能力进一步提升。 紧紧围绕“三大攻坚战”和“六稳”“六保”工作履职尽责， 依法严厉打击强揽工程、阻工闹事等犯罪人员 19 人，依法 有序帮扶处置了一批投融资公司和问题楼盘。</w:t>
            </w:r>
          </w:p>
          <w:p>
            <w:pPr>
              <w:numPr>
                <w:ilvl w:val="0"/>
                <w:numId w:val="0"/>
              </w:numPr>
              <w:autoSpaceDN w:val="0"/>
              <w:spacing w:line="40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 xml:space="preserve">2、维护社会稳定、防范管控风 </w:t>
            </w:r>
            <w:r>
              <w:rPr>
                <w:rFonts w:hint="default" w:ascii="仿宋_GB2312" w:hAnsi="仿宋_GB2312" w:eastAsia="仿宋_GB2312" w:cs="仿宋_GB2312"/>
                <w:color w:val="000000"/>
                <w:sz w:val="24"/>
                <w:lang w:val="en-US" w:eastAsia="zh-CN"/>
              </w:rPr>
              <w:t>险的机制进一步优化</w:t>
            </w:r>
            <w:r>
              <w:rPr>
                <w:rFonts w:hint="eastAsia" w:ascii="仿宋_GB2312" w:hAnsi="仿宋_GB2312" w:eastAsia="仿宋_GB2312" w:cs="仿宋_GB2312"/>
                <w:color w:val="000000"/>
                <w:sz w:val="24"/>
                <w:lang w:val="en-US" w:eastAsia="zh-CN"/>
              </w:rPr>
              <w:t xml:space="preserve">。深入推进“矛盾纠纷多元化解”，全 </w:t>
            </w:r>
            <w:r>
              <w:rPr>
                <w:rFonts w:hint="default" w:ascii="仿宋_GB2312" w:hAnsi="仿宋_GB2312" w:eastAsia="仿宋_GB2312" w:cs="仿宋_GB2312"/>
                <w:color w:val="000000"/>
                <w:sz w:val="24"/>
                <w:lang w:val="en-US" w:eastAsia="zh-CN"/>
              </w:rPr>
              <w:t>年调处案件 1354 件，调解成功 1351 件，调解成功率 99%； 坚持以人为本，依法、快速、稳妥处置交通肇事和医疗纠纷 等引发的突发性事件 70 余起，确保了社会大局和谐稳定； 全年接处访 379 批 1235 人次，化解信访积案 29 件，进京上 访批次与去年同期同比下降52％、人次下降 53％。</w:t>
            </w:r>
          </w:p>
          <w:p>
            <w:pPr>
              <w:numPr>
                <w:ilvl w:val="0"/>
                <w:numId w:val="0"/>
              </w:numPr>
              <w:autoSpaceDN w:val="0"/>
              <w:spacing w:line="400" w:lineRule="exact"/>
              <w:ind w:leftChars="200"/>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w:t>
            </w:r>
            <w:r>
              <w:rPr>
                <w:rFonts w:hint="default" w:ascii="仿宋_GB2312" w:hAnsi="仿宋_GB2312" w:eastAsia="仿宋_GB2312" w:cs="仿宋_GB2312"/>
                <w:color w:val="000000"/>
                <w:sz w:val="24"/>
                <w:lang w:val="en-US" w:eastAsia="zh-CN"/>
              </w:rPr>
              <w:t>扫黑除恶专项斗争成效进一步显现。深入实施“一十百千万” 工程</w:t>
            </w:r>
          </w:p>
          <w:p>
            <w:pPr>
              <w:numPr>
                <w:ilvl w:val="0"/>
                <w:numId w:val="0"/>
              </w:numPr>
              <w:autoSpaceDN w:val="0"/>
              <w:spacing w:line="400" w:lineRule="exact"/>
              <w:jc w:val="left"/>
              <w:textAlignment w:val="center"/>
              <w:rPr>
                <w:rFonts w:hint="default" w:ascii="仿宋_GB2312" w:hAnsi="仿宋_GB2312" w:eastAsia="仿宋_GB2312" w:cs="仿宋_GB2312"/>
                <w:color w:val="000000"/>
                <w:sz w:val="24"/>
                <w:lang w:val="en-US" w:eastAsia="zh-CN"/>
              </w:rPr>
            </w:pPr>
            <w:r>
              <w:rPr>
                <w:rFonts w:hint="default" w:ascii="仿宋_GB2312" w:hAnsi="仿宋_GB2312" w:eastAsia="仿宋_GB2312" w:cs="仿宋_GB2312"/>
                <w:color w:val="000000"/>
                <w:sz w:val="24"/>
                <w:lang w:val="en-US" w:eastAsia="zh-CN"/>
              </w:rPr>
              <w:t>和“六清”行动，三年来共侦办涉黑涉恶犯罪团伙案 16 个;起诉涉黑涉恶团伙案件 17 件 63 人，批准逮捕 81 人;一审 判处财产刑 2881.91 万元; 查处涉黑涉恶腐败和“保护伞”问题线索 34 件;涉黑涉恶存量线索全部办结，打出了声威、打 出了平安、打出了群众满意度。</w:t>
            </w:r>
          </w:p>
          <w:p>
            <w:pPr>
              <w:numPr>
                <w:ilvl w:val="0"/>
                <w:numId w:val="2"/>
              </w:numPr>
              <w:autoSpaceDN w:val="0"/>
              <w:spacing w:line="400" w:lineRule="exact"/>
              <w:ind w:leftChars="20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平安湘阴建设基础进一步夯</w:t>
            </w:r>
            <w:r>
              <w:rPr>
                <w:rFonts w:hint="default" w:ascii="仿宋_GB2312" w:hAnsi="仿宋_GB2312" w:eastAsia="仿宋_GB2312" w:cs="仿宋_GB2312"/>
                <w:color w:val="000000"/>
                <w:sz w:val="24"/>
                <w:lang w:val="en-US" w:eastAsia="zh-CN"/>
              </w:rPr>
              <w:t>实</w:t>
            </w:r>
            <w:r>
              <w:rPr>
                <w:rFonts w:hint="eastAsia" w:ascii="仿宋_GB2312" w:hAnsi="仿宋_GB2312" w:eastAsia="仿宋_GB2312" w:cs="仿宋_GB2312"/>
                <w:color w:val="000000"/>
                <w:sz w:val="24"/>
                <w:lang w:val="en-US" w:eastAsia="zh-CN"/>
              </w:rPr>
              <w:t>。深入开展“百日会战”“黄赌毒”整</w:t>
            </w:r>
          </w:p>
          <w:p>
            <w:pPr>
              <w:numPr>
                <w:ilvl w:val="0"/>
                <w:numId w:val="0"/>
              </w:num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 xml:space="preserve">治等专项行动，社会治安形势进一步好转，人民群 </w:t>
            </w:r>
            <w:r>
              <w:rPr>
                <w:rFonts w:hint="default" w:ascii="仿宋_GB2312" w:hAnsi="仿宋_GB2312" w:eastAsia="仿宋_GB2312" w:cs="仿宋_GB2312"/>
                <w:color w:val="000000"/>
                <w:sz w:val="24"/>
                <w:lang w:val="en-US" w:eastAsia="zh-CN"/>
              </w:rPr>
              <w:t>众安全感、满意度进一步提高。</w:t>
            </w:r>
          </w:p>
          <w:p>
            <w:pPr>
              <w:autoSpaceDN w:val="0"/>
              <w:spacing w:line="400" w:lineRule="exact"/>
              <w:ind w:firstLine="480" w:firstLineChars="200"/>
              <w:jc w:val="left"/>
              <w:textAlignment w:val="center"/>
              <w:rPr>
                <w:rFonts w:hint="eastAsia" w:ascii="仿宋_GB2312" w:hAnsi="仿宋_GB2312" w:eastAsia="仿宋_GB2312" w:cs="仿宋_GB2312"/>
                <w:color w:val="000000"/>
                <w:kern w:val="2"/>
                <w:sz w:val="24"/>
                <w:szCs w:val="24"/>
                <w:lang w:val="en-US" w:eastAsia="zh-CN" w:bidi="ar-SA"/>
              </w:rPr>
            </w:pPr>
          </w:p>
          <w:p>
            <w:pPr>
              <w:autoSpaceDN w:val="0"/>
              <w:spacing w:line="400" w:lineRule="exact"/>
              <w:ind w:firstLine="480" w:firstLineChars="200"/>
              <w:jc w:val="left"/>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9561" w:type="dxa"/>
            <w:gridSpan w:val="20"/>
            <w:noWrap w:val="0"/>
            <w:vAlign w:val="center"/>
          </w:tcPr>
          <w:p>
            <w:pPr>
              <w:autoSpaceDN w:val="0"/>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黑体" w:hAnsi="黑体" w:eastAsia="黑体" w:cs="黑体"/>
                <w:b/>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9561" w:type="dxa"/>
            <w:gridSpan w:val="20"/>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464" w:type="dxa"/>
            <w:gridSpan w:val="3"/>
            <w:vMerge w:val="restart"/>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机构名称</w:t>
            </w:r>
          </w:p>
          <w:p>
            <w:pPr>
              <w:autoSpaceDN w:val="0"/>
              <w:spacing w:line="400" w:lineRule="exact"/>
              <w:jc w:val="center"/>
              <w:textAlignment w:val="center"/>
              <w:rPr>
                <w:rFonts w:hint="eastAsia" w:ascii="仿宋_GB2312" w:hAnsi="仿宋_GB2312" w:eastAsia="仿宋_GB2312" w:cs="仿宋_GB2312"/>
                <w:color w:val="000000"/>
                <w:sz w:val="24"/>
              </w:rPr>
            </w:pPr>
          </w:p>
        </w:tc>
        <w:tc>
          <w:tcPr>
            <w:tcW w:w="1212" w:type="dxa"/>
            <w:gridSpan w:val="3"/>
            <w:vMerge w:val="restart"/>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收入合计</w:t>
            </w:r>
          </w:p>
          <w:p>
            <w:pPr>
              <w:autoSpaceDN w:val="0"/>
              <w:spacing w:line="400" w:lineRule="exact"/>
              <w:jc w:val="center"/>
              <w:textAlignment w:val="center"/>
              <w:rPr>
                <w:rFonts w:hint="eastAsia" w:ascii="仿宋_GB2312" w:hAnsi="仿宋_GB2312" w:eastAsia="仿宋_GB2312" w:cs="仿宋_GB2312"/>
                <w:color w:val="000000"/>
                <w:sz w:val="24"/>
              </w:rPr>
            </w:pPr>
          </w:p>
        </w:tc>
        <w:tc>
          <w:tcPr>
            <w:tcW w:w="6885" w:type="dxa"/>
            <w:gridSpan w:val="14"/>
            <w:tcBorders>
              <w:left w:val="single" w:color="auto" w:sz="4" w:space="0"/>
            </w:tcBorders>
            <w:noWrap w:val="0"/>
            <w:vAlign w:val="center"/>
          </w:tcPr>
          <w:p>
            <w:pPr>
              <w:autoSpaceDN w:val="0"/>
              <w:spacing w:line="400" w:lineRule="exact"/>
              <w:ind w:firstLine="960" w:firstLineChars="400"/>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464" w:type="dxa"/>
            <w:gridSpan w:val="3"/>
            <w:vMerge w:val="continue"/>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212" w:type="dxa"/>
            <w:gridSpan w:val="3"/>
            <w:vMerge w:val="continue"/>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254" w:type="dxa"/>
            <w:gridSpan w:val="2"/>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上年结转</w:t>
            </w:r>
          </w:p>
        </w:tc>
        <w:tc>
          <w:tcPr>
            <w:tcW w:w="1450"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公共财政拨款</w:t>
            </w:r>
          </w:p>
        </w:tc>
        <w:tc>
          <w:tcPr>
            <w:tcW w:w="1617"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政府基金拨款</w:t>
            </w:r>
          </w:p>
        </w:tc>
        <w:tc>
          <w:tcPr>
            <w:tcW w:w="1292"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纳入专户管理的非税收入拨款</w:t>
            </w:r>
          </w:p>
        </w:tc>
        <w:tc>
          <w:tcPr>
            <w:tcW w:w="1272"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2" w:hRule="atLeast"/>
        </w:trPr>
        <w:tc>
          <w:tcPr>
            <w:tcW w:w="1464"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机关</w:t>
            </w:r>
          </w:p>
        </w:tc>
        <w:tc>
          <w:tcPr>
            <w:tcW w:w="1212" w:type="dxa"/>
            <w:gridSpan w:val="3"/>
            <w:tcBorders>
              <w:righ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727.8</w:t>
            </w:r>
          </w:p>
        </w:tc>
        <w:tc>
          <w:tcPr>
            <w:tcW w:w="1254" w:type="dxa"/>
            <w:gridSpan w:val="2"/>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450" w:type="dxa"/>
            <w:gridSpan w:val="3"/>
            <w:noWrap w:val="0"/>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727.8</w:t>
            </w:r>
          </w:p>
        </w:tc>
        <w:tc>
          <w:tcPr>
            <w:tcW w:w="1617"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292"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272"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2" w:hRule="atLeast"/>
        </w:trPr>
        <w:tc>
          <w:tcPr>
            <w:tcW w:w="1464"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212" w:type="dxa"/>
            <w:gridSpan w:val="3"/>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254" w:type="dxa"/>
            <w:gridSpan w:val="2"/>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450"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8"/>
                <w:szCs w:val="28"/>
                <w:lang w:val="en-US" w:eastAsia="zh-CN" w:bidi="ar-SA"/>
              </w:rPr>
            </w:pPr>
          </w:p>
        </w:tc>
        <w:tc>
          <w:tcPr>
            <w:tcW w:w="1617"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292"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272"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9561" w:type="dxa"/>
            <w:gridSpan w:val="20"/>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464" w:type="dxa"/>
            <w:gridSpan w:val="3"/>
            <w:vMerge w:val="restart"/>
            <w:noWrap w:val="0"/>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133" w:type="dxa"/>
            <w:gridSpan w:val="2"/>
            <w:vMerge w:val="restart"/>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322" w:type="dxa"/>
            <w:gridSpan w:val="11"/>
            <w:tcBorders>
              <w:left w:val="single" w:color="auto" w:sz="4" w:space="0"/>
              <w:bottom w:val="single" w:color="auto" w:sz="4" w:space="0"/>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642" w:type="dxa"/>
            <w:gridSpan w:val="4"/>
            <w:tcBorders>
              <w:left w:val="single" w:color="auto" w:sz="4" w:space="0"/>
              <w:bottom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464" w:type="dxa"/>
            <w:gridSpan w:val="3"/>
            <w:vMerge w:val="continue"/>
            <w:noWrap w:val="0"/>
            <w:vAlign w:val="center"/>
          </w:tcPr>
          <w:p>
            <w:pPr>
              <w:spacing w:line="400" w:lineRule="exact"/>
              <w:jc w:val="center"/>
              <w:rPr>
                <w:rFonts w:hint="eastAsia" w:ascii="仿宋_GB2312" w:hAnsi="仿宋_GB2312" w:eastAsia="仿宋_GB2312" w:cs="仿宋_GB2312"/>
                <w:sz w:val="24"/>
              </w:rPr>
            </w:pPr>
          </w:p>
        </w:tc>
        <w:tc>
          <w:tcPr>
            <w:tcW w:w="1133" w:type="dxa"/>
            <w:gridSpan w:val="2"/>
            <w:vMerge w:val="continue"/>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33" w:type="dxa"/>
            <w:gridSpan w:val="3"/>
            <w:vMerge w:val="restart"/>
            <w:tcBorders>
              <w:top w:val="single" w:color="auto" w:sz="4" w:space="0"/>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2820" w:type="dxa"/>
            <w:gridSpan w:val="6"/>
            <w:tcBorders>
              <w:top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169" w:type="dxa"/>
            <w:gridSpan w:val="2"/>
            <w:vMerge w:val="restart"/>
            <w:tcBorders>
              <w:top w:val="single" w:color="auto" w:sz="4" w:space="0"/>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79" w:type="dxa"/>
            <w:gridSpan w:val="3"/>
            <w:vMerge w:val="restart"/>
            <w:tcBorders>
              <w:top w:val="single" w:color="auto" w:sz="4" w:space="0"/>
              <w:left w:val="single" w:color="auto" w:sz="4" w:space="0"/>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863" w:type="dxa"/>
            <w:vMerge w:val="restart"/>
            <w:tcBorders>
              <w:top w:val="single" w:color="auto" w:sz="4" w:space="0"/>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464" w:type="dxa"/>
            <w:gridSpan w:val="3"/>
            <w:vMerge w:val="continue"/>
            <w:noWrap w:val="0"/>
            <w:vAlign w:val="center"/>
          </w:tcPr>
          <w:p>
            <w:pPr>
              <w:spacing w:line="400" w:lineRule="exact"/>
              <w:jc w:val="center"/>
              <w:rPr>
                <w:rFonts w:hint="eastAsia" w:ascii="仿宋_GB2312" w:hAnsi="仿宋_GB2312" w:eastAsia="仿宋_GB2312" w:cs="仿宋_GB2312"/>
                <w:sz w:val="24"/>
              </w:rPr>
            </w:pPr>
          </w:p>
        </w:tc>
        <w:tc>
          <w:tcPr>
            <w:tcW w:w="1133" w:type="dxa"/>
            <w:gridSpan w:val="2"/>
            <w:vMerge w:val="continue"/>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33" w:type="dxa"/>
            <w:gridSpan w:val="3"/>
            <w:vMerge w:val="continue"/>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125"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695"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169" w:type="dxa"/>
            <w:gridSpan w:val="2"/>
            <w:vMerge w:val="continue"/>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779" w:type="dxa"/>
            <w:gridSpan w:val="3"/>
            <w:vMerge w:val="continue"/>
            <w:tcBorders>
              <w:left w:val="single" w:color="auto" w:sz="4" w:space="0"/>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863" w:type="dxa"/>
            <w:vMerge w:val="continue"/>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464" w:type="dxa"/>
            <w:gridSpan w:val="3"/>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rPr>
              <w:t>机关</w:t>
            </w:r>
          </w:p>
        </w:tc>
        <w:tc>
          <w:tcPr>
            <w:tcW w:w="1133" w:type="dxa"/>
            <w:gridSpan w:val="2"/>
            <w:tcBorders>
              <w:righ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727.8</w:t>
            </w:r>
          </w:p>
        </w:tc>
        <w:tc>
          <w:tcPr>
            <w:tcW w:w="1333" w:type="dxa"/>
            <w:gridSpan w:val="3"/>
            <w:tcBorders>
              <w:lef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274.86</w:t>
            </w:r>
          </w:p>
        </w:tc>
        <w:tc>
          <w:tcPr>
            <w:tcW w:w="1125" w:type="dxa"/>
            <w:gridSpan w:val="2"/>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223.8</w:t>
            </w:r>
          </w:p>
        </w:tc>
        <w:tc>
          <w:tcPr>
            <w:tcW w:w="1695" w:type="dxa"/>
            <w:gridSpan w:val="4"/>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51.06</w:t>
            </w:r>
          </w:p>
        </w:tc>
        <w:tc>
          <w:tcPr>
            <w:tcW w:w="1169" w:type="dxa"/>
            <w:gridSpan w:val="2"/>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452.94</w:t>
            </w:r>
          </w:p>
        </w:tc>
        <w:tc>
          <w:tcPr>
            <w:tcW w:w="779" w:type="dxa"/>
            <w:gridSpan w:val="3"/>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863" w:type="dxa"/>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464" w:type="dxa"/>
            <w:gridSpan w:val="3"/>
            <w:noWrap w:val="0"/>
            <w:vAlign w:val="center"/>
          </w:tcPr>
          <w:p>
            <w:pPr>
              <w:spacing w:line="400" w:lineRule="exact"/>
              <w:jc w:val="left"/>
              <w:rPr>
                <w:rFonts w:hint="eastAsia" w:ascii="仿宋_GB2312" w:hAnsi="仿宋_GB2312" w:eastAsia="仿宋_GB2312" w:cs="仿宋_GB2312"/>
                <w:color w:val="000000"/>
                <w:sz w:val="24"/>
              </w:rPr>
            </w:pPr>
          </w:p>
        </w:tc>
        <w:tc>
          <w:tcPr>
            <w:tcW w:w="1133" w:type="dxa"/>
            <w:gridSpan w:val="2"/>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33" w:type="dxa"/>
            <w:gridSpan w:val="3"/>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125"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695"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169"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779" w:type="dxa"/>
            <w:gridSpan w:val="3"/>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863" w:type="dxa"/>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trPr>
        <w:tc>
          <w:tcPr>
            <w:tcW w:w="1464" w:type="dxa"/>
            <w:gridSpan w:val="3"/>
            <w:noWrap w:val="0"/>
            <w:vAlign w:val="center"/>
          </w:tcPr>
          <w:p>
            <w:pPr>
              <w:spacing w:line="400" w:lineRule="exact"/>
              <w:jc w:val="left"/>
              <w:rPr>
                <w:rFonts w:hint="eastAsia" w:ascii="仿宋_GB2312" w:hAnsi="仿宋_GB2312" w:eastAsia="仿宋_GB2312" w:cs="仿宋_GB2312"/>
                <w:color w:val="000000"/>
                <w:sz w:val="24"/>
              </w:rPr>
            </w:pPr>
          </w:p>
        </w:tc>
        <w:tc>
          <w:tcPr>
            <w:tcW w:w="1133" w:type="dxa"/>
            <w:gridSpan w:val="2"/>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33" w:type="dxa"/>
            <w:gridSpan w:val="3"/>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125"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695"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169"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779" w:type="dxa"/>
            <w:gridSpan w:val="3"/>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863" w:type="dxa"/>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464" w:type="dxa"/>
            <w:gridSpan w:val="3"/>
            <w:vMerge w:val="restart"/>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133" w:type="dxa"/>
            <w:gridSpan w:val="2"/>
            <w:vMerge w:val="restart"/>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964" w:type="dxa"/>
            <w:gridSpan w:val="15"/>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464" w:type="dxa"/>
            <w:gridSpan w:val="3"/>
            <w:vMerge w:val="continue"/>
            <w:noWrap w:val="0"/>
            <w:vAlign w:val="center"/>
          </w:tcPr>
          <w:p>
            <w:pPr>
              <w:spacing w:line="400" w:lineRule="exact"/>
              <w:jc w:val="center"/>
              <w:rPr>
                <w:rFonts w:hint="eastAsia" w:ascii="仿宋_GB2312" w:hAnsi="仿宋_GB2312" w:eastAsia="仿宋_GB2312" w:cs="仿宋_GB2312"/>
                <w:sz w:val="24"/>
              </w:rPr>
            </w:pPr>
          </w:p>
        </w:tc>
        <w:tc>
          <w:tcPr>
            <w:tcW w:w="1133" w:type="dxa"/>
            <w:gridSpan w:val="2"/>
            <w:vMerge w:val="continue"/>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33" w:type="dxa"/>
            <w:gridSpan w:val="3"/>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125"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695"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811"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4" w:hRule="atLeast"/>
        </w:trPr>
        <w:tc>
          <w:tcPr>
            <w:tcW w:w="1464" w:type="dxa"/>
            <w:gridSpan w:val="3"/>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rPr>
              <w:t>机关</w:t>
            </w:r>
          </w:p>
        </w:tc>
        <w:tc>
          <w:tcPr>
            <w:tcW w:w="1133" w:type="dxa"/>
            <w:gridSpan w:val="2"/>
            <w:tcBorders>
              <w:righ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3.8</w:t>
            </w:r>
          </w:p>
        </w:tc>
        <w:tc>
          <w:tcPr>
            <w:tcW w:w="1333" w:type="dxa"/>
            <w:gridSpan w:val="3"/>
            <w:tcBorders>
              <w:lef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3.8</w:t>
            </w:r>
          </w:p>
        </w:tc>
        <w:tc>
          <w:tcPr>
            <w:tcW w:w="1125" w:type="dxa"/>
            <w:gridSpan w:val="2"/>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p>
        </w:tc>
        <w:tc>
          <w:tcPr>
            <w:tcW w:w="1695"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2811"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4" w:hRule="atLeast"/>
        </w:trPr>
        <w:tc>
          <w:tcPr>
            <w:tcW w:w="1464" w:type="dxa"/>
            <w:gridSpan w:val="3"/>
            <w:noWrap w:val="0"/>
            <w:vAlign w:val="center"/>
          </w:tcPr>
          <w:p>
            <w:pPr>
              <w:spacing w:line="400" w:lineRule="exact"/>
              <w:jc w:val="left"/>
              <w:rPr>
                <w:rFonts w:hint="eastAsia" w:ascii="仿宋_GB2312" w:hAnsi="仿宋_GB2312" w:eastAsia="仿宋_GB2312" w:cs="仿宋_GB2312"/>
                <w:sz w:val="24"/>
              </w:rPr>
            </w:pPr>
          </w:p>
        </w:tc>
        <w:tc>
          <w:tcPr>
            <w:tcW w:w="1133" w:type="dxa"/>
            <w:gridSpan w:val="2"/>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33" w:type="dxa"/>
            <w:gridSpan w:val="3"/>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125"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695"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2811"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79" w:hRule="atLeast"/>
        </w:trPr>
        <w:tc>
          <w:tcPr>
            <w:tcW w:w="1464" w:type="dxa"/>
            <w:gridSpan w:val="3"/>
            <w:noWrap w:val="0"/>
            <w:vAlign w:val="center"/>
          </w:tcPr>
          <w:p>
            <w:pPr>
              <w:spacing w:line="400" w:lineRule="exact"/>
              <w:jc w:val="left"/>
              <w:rPr>
                <w:rFonts w:hint="eastAsia" w:ascii="仿宋_GB2312" w:hAnsi="仿宋_GB2312" w:eastAsia="仿宋_GB2312" w:cs="仿宋_GB2312"/>
                <w:sz w:val="24"/>
              </w:rPr>
            </w:pPr>
          </w:p>
        </w:tc>
        <w:tc>
          <w:tcPr>
            <w:tcW w:w="1133" w:type="dxa"/>
            <w:gridSpan w:val="2"/>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33" w:type="dxa"/>
            <w:gridSpan w:val="3"/>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125"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695"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2811"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464" w:type="dxa"/>
            <w:gridSpan w:val="3"/>
            <w:vMerge w:val="restart"/>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133" w:type="dxa"/>
            <w:gridSpan w:val="2"/>
            <w:vMerge w:val="restart"/>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5322" w:type="dxa"/>
            <w:gridSpan w:val="11"/>
            <w:tcBorders>
              <w:left w:val="single" w:color="auto" w:sz="4" w:space="0"/>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642" w:type="dxa"/>
            <w:gridSpan w:val="4"/>
            <w:vMerge w:val="restart"/>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464" w:type="dxa"/>
            <w:gridSpan w:val="3"/>
            <w:vMerge w:val="continue"/>
            <w:noWrap w:val="0"/>
            <w:vAlign w:val="center"/>
          </w:tcPr>
          <w:p>
            <w:pPr>
              <w:spacing w:line="400" w:lineRule="exact"/>
              <w:jc w:val="center"/>
              <w:rPr>
                <w:rFonts w:hint="eastAsia" w:ascii="仿宋_GB2312" w:hAnsi="仿宋_GB2312" w:eastAsia="仿宋_GB2312" w:cs="仿宋_GB2312"/>
                <w:sz w:val="24"/>
              </w:rPr>
            </w:pPr>
          </w:p>
        </w:tc>
        <w:tc>
          <w:tcPr>
            <w:tcW w:w="1133" w:type="dxa"/>
            <w:gridSpan w:val="2"/>
            <w:vMerge w:val="continue"/>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3084" w:type="dxa"/>
            <w:gridSpan w:val="7"/>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2238" w:type="dxa"/>
            <w:gridSpan w:val="4"/>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1642" w:type="dxa"/>
            <w:gridSpan w:val="4"/>
            <w:vMerge w:val="continue"/>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464" w:type="dxa"/>
            <w:gridSpan w:val="3"/>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rPr>
              <w:t>机关</w:t>
            </w:r>
          </w:p>
        </w:tc>
        <w:tc>
          <w:tcPr>
            <w:tcW w:w="1133" w:type="dxa"/>
            <w:gridSpan w:val="2"/>
            <w:tcBorders>
              <w:righ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54.45</w:t>
            </w:r>
          </w:p>
        </w:tc>
        <w:tc>
          <w:tcPr>
            <w:tcW w:w="3084" w:type="dxa"/>
            <w:gridSpan w:val="7"/>
            <w:tcBorders>
              <w:lef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54.45</w:t>
            </w:r>
          </w:p>
        </w:tc>
        <w:tc>
          <w:tcPr>
            <w:tcW w:w="2238"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642"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29" w:hRule="atLeast"/>
        </w:trPr>
        <w:tc>
          <w:tcPr>
            <w:tcW w:w="1464" w:type="dxa"/>
            <w:gridSpan w:val="3"/>
            <w:noWrap w:val="0"/>
            <w:vAlign w:val="center"/>
          </w:tcPr>
          <w:p>
            <w:pPr>
              <w:spacing w:line="400" w:lineRule="exact"/>
              <w:jc w:val="left"/>
              <w:rPr>
                <w:rFonts w:hint="eastAsia" w:ascii="仿宋_GB2312" w:hAnsi="仿宋_GB2312" w:eastAsia="仿宋_GB2312" w:cs="仿宋_GB2312"/>
                <w:sz w:val="24"/>
              </w:rPr>
            </w:pPr>
          </w:p>
        </w:tc>
        <w:tc>
          <w:tcPr>
            <w:tcW w:w="1133" w:type="dxa"/>
            <w:gridSpan w:val="2"/>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3084" w:type="dxa"/>
            <w:gridSpan w:val="7"/>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2238"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642"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95" w:hRule="atLeast"/>
        </w:trPr>
        <w:tc>
          <w:tcPr>
            <w:tcW w:w="9561" w:type="dxa"/>
            <w:gridSpan w:val="20"/>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黑体" w:hAnsi="黑体" w:eastAsia="黑体" w:cs="黑体"/>
                <w:b/>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47" w:hRule="atLeast"/>
        </w:trPr>
        <w:tc>
          <w:tcPr>
            <w:tcW w:w="1381" w:type="dxa"/>
            <w:vMerge w:val="restart"/>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271" w:type="dxa"/>
            <w:gridSpan w:val="8"/>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909" w:type="dxa"/>
            <w:gridSpan w:val="11"/>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934" w:hRule="atLeast"/>
        </w:trPr>
        <w:tc>
          <w:tcPr>
            <w:tcW w:w="1381" w:type="dxa"/>
            <w:vMerge w:val="continue"/>
            <w:noWrap w:val="0"/>
            <w:vAlign w:val="center"/>
          </w:tcPr>
          <w:p>
            <w:pPr>
              <w:spacing w:line="400" w:lineRule="exact"/>
              <w:rPr>
                <w:rFonts w:hint="eastAsia" w:ascii="仿宋_GB2312" w:hAnsi="仿宋_GB2312" w:eastAsia="仿宋_GB2312" w:cs="仿宋_GB2312"/>
                <w:sz w:val="24"/>
              </w:rPr>
            </w:pPr>
          </w:p>
        </w:tc>
        <w:tc>
          <w:tcPr>
            <w:tcW w:w="3271" w:type="dxa"/>
            <w:gridSpan w:val="8"/>
            <w:noWrap w:val="0"/>
            <w:vAlign w:val="center"/>
          </w:tcPr>
          <w:p>
            <w:pPr>
              <w:spacing w:line="120" w:lineRule="auto"/>
              <w:ind w:firstLine="480" w:firstLineChars="200"/>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紧紧围绕发展大局，牢牢把握稳定主题，积极推进“法治湘阴”、“平安湘阴”和政法队伍建设，深入开展“扫黑除恶”工作，打击各类违法犯罪行为，开展矛盾纠纷排查化解，不断加强和创新社会治理，维护了全县社会大局和谐稳定。</w:t>
            </w:r>
          </w:p>
        </w:tc>
        <w:tc>
          <w:tcPr>
            <w:tcW w:w="4909" w:type="dxa"/>
            <w:gridSpan w:val="11"/>
            <w:noWrap w:val="0"/>
            <w:vAlign w:val="center"/>
          </w:tcPr>
          <w:p>
            <w:pPr>
              <w:autoSpaceDN w:val="0"/>
              <w:spacing w:line="400" w:lineRule="exact"/>
              <w:ind w:firstLine="480" w:firstLineChars="200"/>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一是黑恶势力违法犯罪特别是农村涉黑涉恶问题得到根本遏制，涉黑涉恶治安乱点得到全面整治，重点行业、领域管理得到明显加强，人民群众安全感、满意度明显提升；二是黑恶势力“保护伞”得以铲除，基层组织建设的环境明显优化；三是基层社会治理能力明显提升，涉黑涉恶违法犯罪防范打击长效机制更加健全，扫黑除恶工作法治化、规范化、专业化水平进一步提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00" w:hRule="atLeast"/>
        </w:trPr>
        <w:tc>
          <w:tcPr>
            <w:tcW w:w="1381" w:type="dxa"/>
            <w:vMerge w:val="restart"/>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w:t>
            </w:r>
            <w:r>
              <w:rPr>
                <w:rFonts w:hint="eastAsia" w:ascii="仿宋_GB2312" w:hAnsi="仿宋_GB2312" w:eastAsia="仿宋_GB2312" w:cs="仿宋_GB2312"/>
                <w:color w:val="000000"/>
                <w:sz w:val="24"/>
                <w:lang w:eastAsia="zh-CN"/>
              </w:rPr>
              <w:t>计划</w:t>
            </w:r>
            <w:r>
              <w:rPr>
                <w:rFonts w:hint="eastAsia" w:ascii="仿宋_GB2312" w:hAnsi="仿宋_GB2312" w:eastAsia="仿宋_GB2312" w:cs="仿宋_GB2312"/>
                <w:color w:val="000000"/>
                <w:sz w:val="24"/>
              </w:rPr>
              <w:t>完成情况</w:t>
            </w:r>
          </w:p>
        </w:tc>
        <w:tc>
          <w:tcPr>
            <w:tcW w:w="3271" w:type="dxa"/>
            <w:gridSpan w:val="8"/>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3662" w:type="dxa"/>
            <w:gridSpan w:val="9"/>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1247"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47" w:hRule="atLeast"/>
        </w:trPr>
        <w:tc>
          <w:tcPr>
            <w:tcW w:w="1381" w:type="dxa"/>
            <w:vMerge w:val="continue"/>
            <w:noWrap w:val="0"/>
            <w:vAlign w:val="center"/>
          </w:tcPr>
          <w:p>
            <w:pPr>
              <w:spacing w:line="400" w:lineRule="exact"/>
              <w:rPr>
                <w:rFonts w:hint="eastAsia" w:ascii="仿宋_GB2312" w:hAnsi="仿宋_GB2312" w:eastAsia="仿宋_GB2312" w:cs="仿宋_GB2312"/>
                <w:sz w:val="24"/>
              </w:rPr>
            </w:pPr>
          </w:p>
        </w:tc>
        <w:tc>
          <w:tcPr>
            <w:tcW w:w="1549" w:type="dxa"/>
            <w:gridSpan w:val="6"/>
            <w:vMerge w:val="restart"/>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722"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3662" w:type="dxa"/>
            <w:gridSpan w:val="9"/>
            <w:noWrap w:val="0"/>
            <w:vAlign w:val="center"/>
          </w:tcPr>
          <w:p>
            <w:pPr>
              <w:autoSpaceDN w:val="0"/>
              <w:spacing w:line="400" w:lineRule="exact"/>
              <w:ind w:firstLine="214" w:firstLineChars="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综治民调工作全省先进。</w:t>
            </w:r>
          </w:p>
        </w:tc>
        <w:tc>
          <w:tcPr>
            <w:tcW w:w="1247" w:type="dxa"/>
            <w:gridSpan w:val="2"/>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11" w:hRule="atLeast"/>
        </w:trPr>
        <w:tc>
          <w:tcPr>
            <w:tcW w:w="1381" w:type="dxa"/>
            <w:vMerge w:val="continue"/>
            <w:noWrap w:val="0"/>
            <w:vAlign w:val="center"/>
          </w:tcPr>
          <w:p>
            <w:pPr>
              <w:spacing w:line="400" w:lineRule="exact"/>
              <w:rPr>
                <w:rFonts w:hint="eastAsia" w:ascii="仿宋_GB2312" w:hAnsi="仿宋_GB2312" w:eastAsia="仿宋_GB2312" w:cs="仿宋_GB2312"/>
                <w:sz w:val="24"/>
              </w:rPr>
            </w:pPr>
          </w:p>
        </w:tc>
        <w:tc>
          <w:tcPr>
            <w:tcW w:w="1549" w:type="dxa"/>
            <w:gridSpan w:val="6"/>
            <w:vMerge w:val="continue"/>
            <w:noWrap w:val="0"/>
            <w:vAlign w:val="center"/>
          </w:tcPr>
          <w:p>
            <w:pPr>
              <w:autoSpaceDN w:val="0"/>
              <w:spacing w:line="400" w:lineRule="exact"/>
              <w:rPr>
                <w:rFonts w:hint="eastAsia" w:ascii="仿宋_GB2312" w:hAnsi="仿宋_GB2312" w:eastAsia="仿宋_GB2312" w:cs="仿宋_GB2312"/>
                <w:sz w:val="24"/>
              </w:rPr>
            </w:pPr>
          </w:p>
        </w:tc>
        <w:tc>
          <w:tcPr>
            <w:tcW w:w="1722"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3662" w:type="dxa"/>
            <w:gridSpan w:val="9"/>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指标1：信访积案化解</w:t>
            </w:r>
            <w:r>
              <w:rPr>
                <w:rFonts w:hint="eastAsia" w:ascii="仿宋_GB2312" w:hAnsi="仿宋_GB2312" w:eastAsia="仿宋_GB2312" w:cs="仿宋_GB2312"/>
                <w:color w:val="000000"/>
                <w:sz w:val="24"/>
                <w:lang w:val="en-US" w:eastAsia="zh-CN"/>
              </w:rPr>
              <w:t>20</w:t>
            </w:r>
            <w:r>
              <w:rPr>
                <w:rFonts w:hint="eastAsia" w:ascii="仿宋_GB2312" w:hAnsi="仿宋_GB2312" w:eastAsia="仿宋_GB2312" w:cs="仿宋_GB2312"/>
                <w:color w:val="000000"/>
                <w:sz w:val="24"/>
              </w:rPr>
              <w:t>起。</w:t>
            </w:r>
          </w:p>
          <w:p>
            <w:pPr>
              <w:autoSpaceDN w:val="0"/>
              <w:spacing w:line="40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扫黑除恶在逃案件清零。</w:t>
            </w:r>
          </w:p>
        </w:tc>
        <w:tc>
          <w:tcPr>
            <w:tcW w:w="1247" w:type="dxa"/>
            <w:gridSpan w:val="2"/>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98</w:t>
            </w:r>
            <w:r>
              <w:rPr>
                <w:rFonts w:hint="eastAsia" w:ascii="仿宋_GB2312" w:hAnsi="仿宋_GB2312" w:eastAsia="仿宋_GB2312" w:cs="仿宋_GB2312"/>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15" w:hRule="atLeast"/>
        </w:trPr>
        <w:tc>
          <w:tcPr>
            <w:tcW w:w="1381" w:type="dxa"/>
            <w:vMerge w:val="continue"/>
            <w:noWrap w:val="0"/>
            <w:vAlign w:val="center"/>
          </w:tcPr>
          <w:p>
            <w:pPr>
              <w:spacing w:line="400" w:lineRule="exact"/>
              <w:rPr>
                <w:rFonts w:hint="eastAsia" w:ascii="仿宋_GB2312" w:hAnsi="仿宋_GB2312" w:eastAsia="仿宋_GB2312" w:cs="仿宋_GB2312"/>
                <w:sz w:val="24"/>
              </w:rPr>
            </w:pPr>
          </w:p>
        </w:tc>
        <w:tc>
          <w:tcPr>
            <w:tcW w:w="1549" w:type="dxa"/>
            <w:gridSpan w:val="6"/>
            <w:vMerge w:val="continue"/>
            <w:noWrap w:val="0"/>
            <w:vAlign w:val="center"/>
          </w:tcPr>
          <w:p>
            <w:pPr>
              <w:autoSpaceDN w:val="0"/>
              <w:spacing w:line="400" w:lineRule="exact"/>
              <w:rPr>
                <w:rFonts w:hint="eastAsia" w:ascii="仿宋_GB2312" w:hAnsi="仿宋_GB2312" w:eastAsia="仿宋_GB2312" w:cs="仿宋_GB2312"/>
                <w:sz w:val="24"/>
              </w:rPr>
            </w:pPr>
          </w:p>
        </w:tc>
        <w:tc>
          <w:tcPr>
            <w:tcW w:w="1722"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3662" w:type="dxa"/>
            <w:gridSpan w:val="9"/>
            <w:noWrap w:val="0"/>
            <w:vAlign w:val="center"/>
          </w:tcPr>
          <w:p>
            <w:pPr>
              <w:autoSpaceDN w:val="0"/>
              <w:spacing w:line="400" w:lineRule="exact"/>
              <w:ind w:firstLine="480" w:firstLineChars="200"/>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指标1：6-9月下半年综治民调宣传发动</w:t>
            </w:r>
            <w:r>
              <w:rPr>
                <w:rFonts w:hint="eastAsia" w:ascii="仿宋_GB2312" w:hAnsi="仿宋_GB2312" w:eastAsia="仿宋_GB2312" w:cs="仿宋_GB2312"/>
                <w:color w:val="000000"/>
                <w:sz w:val="24"/>
                <w:lang w:eastAsia="zh-CN"/>
              </w:rPr>
              <w:t>。</w:t>
            </w:r>
          </w:p>
          <w:p>
            <w:pPr>
              <w:autoSpaceDN w:val="0"/>
              <w:spacing w:line="400" w:lineRule="exact"/>
              <w:ind w:left="706" w:leftChars="222" w:hanging="240" w:hangingChars="1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：11-12月全年综治、维稳、</w:t>
            </w:r>
          </w:p>
          <w:p>
            <w:pPr>
              <w:autoSpaceDN w:val="0"/>
              <w:spacing w:line="40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反邪工作年度考核</w:t>
            </w:r>
            <w:r>
              <w:rPr>
                <w:rFonts w:hint="eastAsia" w:ascii="仿宋_GB2312" w:hAnsi="仿宋_GB2312" w:eastAsia="仿宋_GB2312" w:cs="仿宋_GB2312"/>
                <w:color w:val="000000"/>
                <w:sz w:val="24"/>
                <w:lang w:val="en-US" w:eastAsia="zh-CN"/>
              </w:rPr>
              <w:t>.</w:t>
            </w:r>
          </w:p>
        </w:tc>
        <w:tc>
          <w:tcPr>
            <w:tcW w:w="1247" w:type="dxa"/>
            <w:gridSpan w:val="2"/>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2" w:hRule="atLeast"/>
        </w:trPr>
        <w:tc>
          <w:tcPr>
            <w:tcW w:w="1381" w:type="dxa"/>
            <w:vMerge w:val="continue"/>
            <w:noWrap w:val="0"/>
            <w:vAlign w:val="center"/>
          </w:tcPr>
          <w:p>
            <w:pPr>
              <w:spacing w:line="400" w:lineRule="exact"/>
              <w:rPr>
                <w:rFonts w:hint="eastAsia" w:ascii="仿宋_GB2312" w:hAnsi="仿宋_GB2312" w:eastAsia="仿宋_GB2312" w:cs="仿宋_GB2312"/>
                <w:sz w:val="24"/>
              </w:rPr>
            </w:pPr>
          </w:p>
        </w:tc>
        <w:tc>
          <w:tcPr>
            <w:tcW w:w="1549" w:type="dxa"/>
            <w:gridSpan w:val="6"/>
            <w:vMerge w:val="continue"/>
            <w:noWrap w:val="0"/>
            <w:vAlign w:val="center"/>
          </w:tcPr>
          <w:p>
            <w:pPr>
              <w:autoSpaceDN w:val="0"/>
              <w:spacing w:line="400" w:lineRule="exact"/>
              <w:rPr>
                <w:rFonts w:hint="eastAsia" w:ascii="仿宋_GB2312" w:hAnsi="仿宋_GB2312" w:eastAsia="仿宋_GB2312" w:cs="仿宋_GB2312"/>
                <w:sz w:val="24"/>
              </w:rPr>
            </w:pPr>
          </w:p>
        </w:tc>
        <w:tc>
          <w:tcPr>
            <w:tcW w:w="1722"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3662" w:type="dxa"/>
            <w:gridSpan w:val="9"/>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控制预算内</w:t>
            </w:r>
          </w:p>
        </w:tc>
        <w:tc>
          <w:tcPr>
            <w:tcW w:w="1247" w:type="dxa"/>
            <w:gridSpan w:val="2"/>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98</w:t>
            </w:r>
            <w:r>
              <w:rPr>
                <w:rFonts w:hint="eastAsia" w:ascii="仿宋_GB2312" w:hAnsi="仿宋_GB2312" w:eastAsia="仿宋_GB2312" w:cs="仿宋_GB2312"/>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5" w:hRule="atLeast"/>
        </w:trPr>
        <w:tc>
          <w:tcPr>
            <w:tcW w:w="1381" w:type="dxa"/>
            <w:vMerge w:val="continue"/>
            <w:noWrap w:val="0"/>
            <w:vAlign w:val="center"/>
          </w:tcPr>
          <w:p>
            <w:pPr>
              <w:spacing w:line="400" w:lineRule="exact"/>
              <w:rPr>
                <w:rFonts w:hint="eastAsia" w:ascii="仿宋_GB2312" w:hAnsi="仿宋_GB2312" w:eastAsia="仿宋_GB2312" w:cs="仿宋_GB2312"/>
                <w:sz w:val="24"/>
              </w:rPr>
            </w:pPr>
          </w:p>
        </w:tc>
        <w:tc>
          <w:tcPr>
            <w:tcW w:w="1549" w:type="dxa"/>
            <w:gridSpan w:val="6"/>
            <w:vMerge w:val="restart"/>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722"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3662" w:type="dxa"/>
            <w:gridSpan w:val="9"/>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指标1：社会治安大局稳定。</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指标2：人民满意度大幅提升。</w:t>
            </w:r>
          </w:p>
        </w:tc>
        <w:tc>
          <w:tcPr>
            <w:tcW w:w="1247" w:type="dxa"/>
            <w:gridSpan w:val="2"/>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4" w:hRule="atLeast"/>
        </w:trPr>
        <w:tc>
          <w:tcPr>
            <w:tcW w:w="1381" w:type="dxa"/>
            <w:vMerge w:val="continue"/>
            <w:noWrap w:val="0"/>
            <w:vAlign w:val="center"/>
          </w:tcPr>
          <w:p>
            <w:pPr>
              <w:spacing w:line="400" w:lineRule="exact"/>
              <w:rPr>
                <w:rFonts w:hint="eastAsia" w:ascii="仿宋_GB2312" w:hAnsi="仿宋_GB2312" w:eastAsia="仿宋_GB2312" w:cs="仿宋_GB2312"/>
                <w:sz w:val="24"/>
              </w:rPr>
            </w:pPr>
          </w:p>
        </w:tc>
        <w:tc>
          <w:tcPr>
            <w:tcW w:w="1549" w:type="dxa"/>
            <w:gridSpan w:val="6"/>
            <w:vMerge w:val="continue"/>
            <w:noWrap w:val="0"/>
            <w:vAlign w:val="center"/>
          </w:tcPr>
          <w:p>
            <w:pPr>
              <w:autoSpaceDN w:val="0"/>
              <w:spacing w:line="400" w:lineRule="exact"/>
              <w:rPr>
                <w:rFonts w:hint="eastAsia" w:ascii="仿宋_GB2312" w:hAnsi="仿宋_GB2312" w:eastAsia="仿宋_GB2312" w:cs="仿宋_GB2312"/>
                <w:sz w:val="24"/>
              </w:rPr>
            </w:pPr>
          </w:p>
        </w:tc>
        <w:tc>
          <w:tcPr>
            <w:tcW w:w="1722"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3662" w:type="dxa"/>
            <w:gridSpan w:val="9"/>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社会大局稳定，人民安居乐业</w:t>
            </w:r>
          </w:p>
        </w:tc>
        <w:tc>
          <w:tcPr>
            <w:tcW w:w="1247" w:type="dxa"/>
            <w:gridSpan w:val="2"/>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25" w:hRule="atLeast"/>
        </w:trPr>
        <w:tc>
          <w:tcPr>
            <w:tcW w:w="1381" w:type="dxa"/>
            <w:vMerge w:val="continue"/>
            <w:noWrap w:val="0"/>
            <w:vAlign w:val="center"/>
          </w:tcPr>
          <w:p>
            <w:pPr>
              <w:spacing w:line="400" w:lineRule="exact"/>
              <w:rPr>
                <w:rFonts w:hint="eastAsia" w:ascii="仿宋_GB2312" w:hAnsi="仿宋_GB2312" w:eastAsia="仿宋_GB2312" w:cs="仿宋_GB2312"/>
                <w:sz w:val="24"/>
              </w:rPr>
            </w:pPr>
          </w:p>
        </w:tc>
        <w:tc>
          <w:tcPr>
            <w:tcW w:w="1549" w:type="dxa"/>
            <w:gridSpan w:val="6"/>
            <w:vMerge w:val="continue"/>
            <w:noWrap w:val="0"/>
            <w:vAlign w:val="center"/>
          </w:tcPr>
          <w:p>
            <w:pPr>
              <w:autoSpaceDN w:val="0"/>
              <w:spacing w:line="400" w:lineRule="exact"/>
              <w:rPr>
                <w:rFonts w:hint="eastAsia" w:ascii="仿宋_GB2312" w:hAnsi="仿宋_GB2312" w:eastAsia="仿宋_GB2312" w:cs="仿宋_GB2312"/>
                <w:sz w:val="24"/>
              </w:rPr>
            </w:pPr>
          </w:p>
        </w:tc>
        <w:tc>
          <w:tcPr>
            <w:tcW w:w="1722"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3662" w:type="dxa"/>
            <w:gridSpan w:val="9"/>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社会大局稳定，人民安居乐业</w:t>
            </w:r>
          </w:p>
        </w:tc>
        <w:tc>
          <w:tcPr>
            <w:tcW w:w="1247" w:type="dxa"/>
            <w:gridSpan w:val="2"/>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60" w:hRule="atLeast"/>
        </w:trPr>
        <w:tc>
          <w:tcPr>
            <w:tcW w:w="1381" w:type="dxa"/>
            <w:vMerge w:val="continue"/>
            <w:noWrap w:val="0"/>
            <w:vAlign w:val="center"/>
          </w:tcPr>
          <w:p>
            <w:pPr>
              <w:spacing w:line="400" w:lineRule="exact"/>
              <w:rPr>
                <w:rFonts w:hint="eastAsia" w:ascii="仿宋_GB2312" w:hAnsi="仿宋_GB2312" w:eastAsia="仿宋_GB2312" w:cs="仿宋_GB2312"/>
                <w:sz w:val="24"/>
              </w:rPr>
            </w:pPr>
          </w:p>
        </w:tc>
        <w:tc>
          <w:tcPr>
            <w:tcW w:w="1549" w:type="dxa"/>
            <w:gridSpan w:val="6"/>
            <w:vMerge w:val="continue"/>
            <w:noWrap w:val="0"/>
            <w:vAlign w:val="center"/>
          </w:tcPr>
          <w:p>
            <w:pPr>
              <w:autoSpaceDN w:val="0"/>
              <w:spacing w:line="400" w:lineRule="exact"/>
              <w:rPr>
                <w:rFonts w:hint="eastAsia" w:ascii="仿宋_GB2312" w:hAnsi="仿宋_GB2312" w:eastAsia="仿宋_GB2312" w:cs="仿宋_GB2312"/>
                <w:sz w:val="24"/>
              </w:rPr>
            </w:pPr>
          </w:p>
        </w:tc>
        <w:tc>
          <w:tcPr>
            <w:tcW w:w="1722"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w:t>
            </w:r>
          </w:p>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对象满意度</w:t>
            </w:r>
          </w:p>
        </w:tc>
        <w:tc>
          <w:tcPr>
            <w:tcW w:w="3662" w:type="dxa"/>
            <w:gridSpan w:val="9"/>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指标1：人民群众的满意度大幅提升。</w:t>
            </w:r>
          </w:p>
          <w:p>
            <w:pPr>
              <w:autoSpaceDN w:val="0"/>
              <w:spacing w:line="40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指标2：公众对综治民调和平安创建工作的认识度和支持度大幅提升</w:t>
            </w:r>
            <w:r>
              <w:rPr>
                <w:rFonts w:hint="eastAsia" w:ascii="仿宋_GB2312" w:hAnsi="仿宋_GB2312" w:eastAsia="仿宋_GB2312" w:cs="仿宋_GB2312"/>
                <w:color w:val="000000"/>
                <w:sz w:val="24"/>
                <w:lang w:eastAsia="zh-CN"/>
              </w:rPr>
              <w:t>。</w:t>
            </w:r>
          </w:p>
        </w:tc>
        <w:tc>
          <w:tcPr>
            <w:tcW w:w="1247" w:type="dxa"/>
            <w:gridSpan w:val="2"/>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2930" w:type="dxa"/>
            <w:gridSpan w:val="7"/>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631" w:type="dxa"/>
            <w:gridSpan w:val="13"/>
            <w:noWrap w:val="0"/>
            <w:vAlign w:val="center"/>
          </w:tcPr>
          <w:p>
            <w:pPr>
              <w:autoSpaceDN w:val="0"/>
              <w:spacing w:line="400" w:lineRule="exact"/>
              <w:ind w:firstLine="2880" w:firstLineChars="1200"/>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438"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8123" w:type="dxa"/>
            <w:gridSpan w:val="18"/>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lang w:eastAsia="zh-CN"/>
              </w:rPr>
              <w:t>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trPr>
        <w:tc>
          <w:tcPr>
            <w:tcW w:w="9561" w:type="dxa"/>
            <w:gridSpan w:val="20"/>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黑体" w:hAnsi="黑体" w:eastAsia="黑体" w:cs="黑体"/>
                <w:b/>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2004"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2648"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61"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448" w:type="dxa"/>
            <w:gridSpan w:val="7"/>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trPr>
        <w:tc>
          <w:tcPr>
            <w:tcW w:w="2004"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蔡志伟</w:t>
            </w:r>
          </w:p>
        </w:tc>
        <w:tc>
          <w:tcPr>
            <w:tcW w:w="2648"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县委政法委副书记</w:t>
            </w:r>
          </w:p>
        </w:tc>
        <w:tc>
          <w:tcPr>
            <w:tcW w:w="1461"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政法委</w:t>
            </w:r>
          </w:p>
        </w:tc>
        <w:tc>
          <w:tcPr>
            <w:tcW w:w="3448" w:type="dxa"/>
            <w:gridSpan w:val="7"/>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trPr>
        <w:tc>
          <w:tcPr>
            <w:tcW w:w="2004"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皮周彦</w:t>
            </w:r>
          </w:p>
        </w:tc>
        <w:tc>
          <w:tcPr>
            <w:tcW w:w="2648"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县委政法委副书记</w:t>
            </w:r>
          </w:p>
        </w:tc>
        <w:tc>
          <w:tcPr>
            <w:tcW w:w="1461"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政法委</w:t>
            </w:r>
          </w:p>
        </w:tc>
        <w:tc>
          <w:tcPr>
            <w:tcW w:w="3448" w:type="dxa"/>
            <w:gridSpan w:val="7"/>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trPr>
        <w:tc>
          <w:tcPr>
            <w:tcW w:w="2004"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窦志辉</w:t>
            </w:r>
          </w:p>
        </w:tc>
        <w:tc>
          <w:tcPr>
            <w:tcW w:w="2648"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县委政法委副书记</w:t>
            </w:r>
          </w:p>
        </w:tc>
        <w:tc>
          <w:tcPr>
            <w:tcW w:w="1461"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政法委</w:t>
            </w:r>
          </w:p>
        </w:tc>
        <w:tc>
          <w:tcPr>
            <w:tcW w:w="3448" w:type="dxa"/>
            <w:gridSpan w:val="7"/>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trPr>
        <w:tc>
          <w:tcPr>
            <w:tcW w:w="2004"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易承志</w:t>
            </w:r>
          </w:p>
        </w:tc>
        <w:tc>
          <w:tcPr>
            <w:tcW w:w="2648"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湘阴县网格化服务中心主任</w:t>
            </w:r>
          </w:p>
        </w:tc>
        <w:tc>
          <w:tcPr>
            <w:tcW w:w="1461"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政法委</w:t>
            </w:r>
          </w:p>
        </w:tc>
        <w:tc>
          <w:tcPr>
            <w:tcW w:w="3448" w:type="dxa"/>
            <w:gridSpan w:val="7"/>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trPr>
        <w:tc>
          <w:tcPr>
            <w:tcW w:w="2004"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蒋曙辉</w:t>
            </w:r>
          </w:p>
        </w:tc>
        <w:tc>
          <w:tcPr>
            <w:tcW w:w="2648"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县委政法委综治督导室主任</w:t>
            </w:r>
          </w:p>
        </w:tc>
        <w:tc>
          <w:tcPr>
            <w:tcW w:w="1461"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政法委</w:t>
            </w:r>
          </w:p>
        </w:tc>
        <w:tc>
          <w:tcPr>
            <w:tcW w:w="3448" w:type="dxa"/>
            <w:gridSpan w:val="7"/>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73" w:hRule="atLeast"/>
        </w:trPr>
        <w:tc>
          <w:tcPr>
            <w:tcW w:w="2004"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周必胜</w:t>
            </w:r>
          </w:p>
        </w:tc>
        <w:tc>
          <w:tcPr>
            <w:tcW w:w="2648"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县委政法委执法监督室主任</w:t>
            </w:r>
          </w:p>
        </w:tc>
        <w:tc>
          <w:tcPr>
            <w:tcW w:w="1461"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政法委</w:t>
            </w:r>
          </w:p>
        </w:tc>
        <w:tc>
          <w:tcPr>
            <w:tcW w:w="3448" w:type="dxa"/>
            <w:gridSpan w:val="7"/>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077" w:hRule="atLeast"/>
        </w:trPr>
        <w:tc>
          <w:tcPr>
            <w:tcW w:w="9561" w:type="dxa"/>
            <w:gridSpan w:val="20"/>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400" w:lineRule="exact"/>
              <w:jc w:val="left"/>
              <w:textAlignment w:val="center"/>
              <w:rPr>
                <w:rFonts w:hint="eastAsia" w:ascii="仿宋_GB2312" w:hAnsi="仿宋_GB2312" w:eastAsia="仿宋_GB2312" w:cs="仿宋_GB2312"/>
                <w:color w:val="000000"/>
                <w:sz w:val="24"/>
              </w:rPr>
            </w:pPr>
          </w:p>
          <w:p>
            <w:pPr>
              <w:autoSpaceDN w:val="0"/>
              <w:spacing w:line="400" w:lineRule="exact"/>
              <w:jc w:val="left"/>
              <w:textAlignment w:val="center"/>
              <w:rPr>
                <w:rFonts w:hint="eastAsia" w:ascii="仿宋_GB2312" w:hAnsi="仿宋_GB2312" w:eastAsia="仿宋_GB2312" w:cs="仿宋_GB2312"/>
                <w:color w:val="000000"/>
                <w:sz w:val="24"/>
              </w:rPr>
            </w:pPr>
          </w:p>
          <w:p>
            <w:pPr>
              <w:autoSpaceDN w:val="0"/>
              <w:spacing w:line="400" w:lineRule="exact"/>
              <w:jc w:val="left"/>
              <w:textAlignment w:val="center"/>
              <w:rPr>
                <w:rFonts w:hint="eastAsia" w:ascii="仿宋_GB2312" w:hAnsi="仿宋_GB2312" w:eastAsia="仿宋_GB2312" w:cs="仿宋_GB2312"/>
                <w:color w:val="000000"/>
                <w:sz w:val="24"/>
              </w:rPr>
            </w:pP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58" w:hRule="atLeast"/>
        </w:trPr>
        <w:tc>
          <w:tcPr>
            <w:tcW w:w="9561" w:type="dxa"/>
            <w:gridSpan w:val="20"/>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400" w:lineRule="exact"/>
              <w:jc w:val="left"/>
              <w:textAlignment w:val="center"/>
              <w:rPr>
                <w:rFonts w:hint="eastAsia" w:ascii="仿宋_GB2312" w:hAnsi="仿宋_GB2312" w:eastAsia="仿宋_GB2312" w:cs="仿宋_GB2312"/>
                <w:color w:val="000000"/>
                <w:sz w:val="24"/>
              </w:rPr>
            </w:pPr>
          </w:p>
          <w:p>
            <w:pPr>
              <w:autoSpaceDN w:val="0"/>
              <w:spacing w:line="400" w:lineRule="exact"/>
              <w:jc w:val="left"/>
              <w:textAlignment w:val="center"/>
              <w:rPr>
                <w:rFonts w:hint="eastAsia" w:ascii="仿宋_GB2312" w:hAnsi="仿宋_GB2312" w:eastAsia="仿宋_GB2312" w:cs="仿宋_GB2312"/>
                <w:color w:val="000000"/>
                <w:sz w:val="24"/>
              </w:rPr>
            </w:pPr>
          </w:p>
          <w:p>
            <w:pPr>
              <w:autoSpaceDN w:val="0"/>
              <w:spacing w:line="400" w:lineRule="exact"/>
              <w:jc w:val="left"/>
              <w:textAlignment w:val="center"/>
              <w:rPr>
                <w:rFonts w:hint="eastAsia" w:ascii="仿宋_GB2312" w:hAnsi="仿宋_GB2312" w:eastAsia="仿宋_GB2312" w:cs="仿宋_GB2312"/>
                <w:color w:val="000000"/>
                <w:sz w:val="24"/>
              </w:rPr>
            </w:pP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538" w:hRule="atLeast"/>
        </w:trPr>
        <w:tc>
          <w:tcPr>
            <w:tcW w:w="9561" w:type="dxa"/>
            <w:gridSpan w:val="20"/>
            <w:noWrap w:val="0"/>
            <w:vAlign w:val="center"/>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eastAsia="zh-CN"/>
        </w:rPr>
        <w:t>周令</w:t>
      </w:r>
      <w:r>
        <w:rPr>
          <w:rFonts w:hint="eastAsia" w:eastAsia="仿宋_GB2312" w:cs="仿宋_GB2312"/>
          <w:bCs/>
          <w:sz w:val="28"/>
          <w:szCs w:val="28"/>
        </w:rPr>
        <w:t xml:space="preserve">                          </w:t>
      </w:r>
      <w:r>
        <w:rPr>
          <w:rFonts w:hint="eastAsia" w:eastAsia="仿宋_GB2312" w:cs="仿宋_GB2312"/>
          <w:bCs/>
          <w:sz w:val="28"/>
          <w:szCs w:val="28"/>
          <w:lang w:eastAsia="zh-CN"/>
        </w:rPr>
        <w:t>联</w:t>
      </w:r>
      <w:r>
        <w:rPr>
          <w:rFonts w:hint="eastAsia" w:eastAsia="仿宋_GB2312" w:cs="仿宋_GB2312"/>
          <w:bCs/>
          <w:sz w:val="28"/>
          <w:szCs w:val="28"/>
        </w:rPr>
        <w:t>系电话：</w:t>
      </w:r>
      <w:r>
        <w:rPr>
          <w:rFonts w:hint="eastAsia" w:eastAsia="仿宋_GB2312" w:cs="仿宋_GB2312"/>
          <w:bCs/>
          <w:sz w:val="28"/>
          <w:szCs w:val="28"/>
          <w:lang w:val="en-US" w:eastAsia="zh-CN"/>
        </w:rPr>
        <w:t>13874059567</w:t>
      </w:r>
    </w:p>
    <w:tbl>
      <w:tblPr>
        <w:tblStyle w:val="3"/>
        <w:tblW w:w="9235" w:type="dxa"/>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trPr>
        <w:tc>
          <w:tcPr>
            <w:tcW w:w="9235" w:type="dxa"/>
            <w:noWrap w:val="0"/>
            <w:vAlign w:val="top"/>
          </w:tcPr>
          <w:p>
            <w:pPr>
              <w:jc w:val="center"/>
              <w:rPr>
                <w:rFonts w:hint="eastAsia" w:eastAsia="仿宋_GB2312"/>
                <w:sz w:val="32"/>
                <w:szCs w:val="32"/>
              </w:rPr>
            </w:pPr>
            <w:r>
              <w:rPr>
                <w:rFonts w:hint="eastAsia" w:ascii="黑体" w:hAnsi="黑体" w:eastAsia="黑体" w:cs="黑体"/>
                <w:b/>
                <w:bCs/>
                <w:sz w:val="28"/>
                <w:szCs w:val="28"/>
              </w:rPr>
              <w:t>五、评价报告综述（文字部分）</w:t>
            </w:r>
            <w:bookmarkStart w:id="0" w:name="_GoBack"/>
            <w:bookmarkEnd w:id="0"/>
          </w:p>
          <w:p>
            <w:pPr>
              <w:numPr>
                <w:ilvl w:val="0"/>
                <w:numId w:val="3"/>
              </w:numPr>
              <w:spacing w:line="400" w:lineRule="exact"/>
              <w:ind w:firstLine="602" w:firstLineChars="200"/>
              <w:rPr>
                <w:rFonts w:hint="eastAsia" w:ascii="仿宋_GB2312" w:hAnsi="仿宋_GB2312" w:eastAsia="仿宋_GB2312" w:cs="仿宋_GB2312"/>
                <w:bCs/>
                <w:sz w:val="30"/>
                <w:szCs w:val="30"/>
              </w:rPr>
            </w:pPr>
            <w:r>
              <w:rPr>
                <w:rFonts w:hint="eastAsia" w:ascii="黑体" w:hAnsi="黑体" w:eastAsia="黑体" w:cs="仿宋_GB2312"/>
                <w:b/>
                <w:sz w:val="30"/>
                <w:szCs w:val="30"/>
              </w:rPr>
              <w:t>概况</w:t>
            </w:r>
          </w:p>
          <w:p>
            <w:pPr>
              <w:numPr>
                <w:ilvl w:val="0"/>
                <w:numId w:val="4"/>
              </w:numPr>
              <w:autoSpaceDN w:val="0"/>
              <w:spacing w:line="400" w:lineRule="exact"/>
              <w:ind w:firstLine="602" w:firstLineChars="200"/>
              <w:jc w:val="left"/>
              <w:textAlignment w:val="center"/>
              <w:rPr>
                <w:rFonts w:hint="eastAsia" w:ascii="仿宋" w:hAnsi="仿宋" w:eastAsia="仿宋" w:cs="仿宋_GB2312"/>
                <w:b/>
                <w:bCs/>
                <w:color w:val="000000"/>
                <w:sz w:val="30"/>
                <w:szCs w:val="30"/>
              </w:rPr>
            </w:pPr>
            <w:r>
              <w:rPr>
                <w:rFonts w:hint="eastAsia" w:ascii="仿宋" w:hAnsi="仿宋" w:eastAsia="仿宋" w:cs="仿宋_GB2312"/>
                <w:b/>
                <w:bCs/>
                <w:color w:val="000000"/>
                <w:sz w:val="30"/>
                <w:szCs w:val="30"/>
              </w:rPr>
              <w:t>部门概况</w:t>
            </w:r>
          </w:p>
          <w:p>
            <w:pPr>
              <w:numPr>
                <w:ilvl w:val="0"/>
                <w:numId w:val="0"/>
              </w:numPr>
              <w:autoSpaceDN w:val="0"/>
              <w:spacing w:line="400" w:lineRule="exact"/>
              <w:ind w:firstLine="600" w:firstLineChars="200"/>
              <w:jc w:val="left"/>
              <w:textAlignment w:val="center"/>
              <w:rPr>
                <w:rFonts w:hint="eastAsia" w:ascii="仿宋" w:hAnsi="仿宋" w:eastAsia="仿宋" w:cs="仿宋_GB2312"/>
                <w:color w:val="000000"/>
                <w:sz w:val="30"/>
                <w:szCs w:val="30"/>
              </w:rPr>
            </w:pPr>
            <w:r>
              <w:rPr>
                <w:rFonts w:hint="eastAsia" w:ascii="仿宋" w:hAnsi="仿宋" w:eastAsia="仿宋" w:cs="仿宋_GB2312"/>
                <w:color w:val="000000"/>
                <w:sz w:val="30"/>
                <w:szCs w:val="30"/>
              </w:rPr>
              <w:t>我委自机构改革后，有下属副科级机构1个，湘阴网格化服务中心；办、室、学会7个，分别是：办公室、政工室、反邪教协调室、综治督导室、维稳指导室、执法监督室和法学会。</w:t>
            </w:r>
          </w:p>
          <w:p>
            <w:pPr>
              <w:autoSpaceDN w:val="0"/>
              <w:spacing w:line="400" w:lineRule="exact"/>
              <w:ind w:firstLine="600" w:firstLineChars="200"/>
              <w:jc w:val="left"/>
              <w:textAlignment w:val="center"/>
              <w:rPr>
                <w:rFonts w:hint="eastAsia" w:ascii="仿宋" w:hAnsi="仿宋" w:eastAsia="仿宋" w:cs="仿宋_GB2312"/>
                <w:color w:val="000000"/>
                <w:sz w:val="30"/>
                <w:szCs w:val="30"/>
              </w:rPr>
            </w:pPr>
            <w:r>
              <w:rPr>
                <w:rFonts w:hint="eastAsia" w:ascii="仿宋" w:hAnsi="仿宋" w:eastAsia="仿宋" w:cs="仿宋_GB2312"/>
                <w:color w:val="000000"/>
                <w:sz w:val="30"/>
                <w:szCs w:val="30"/>
              </w:rPr>
              <w:t>部门职能：政法委是党委领导、组织、监督和协调政法各部门，组织、协调全县各单位开展社会治安综合治理和维护社会稳定的工作部门。</w:t>
            </w:r>
          </w:p>
          <w:p>
            <w:pPr>
              <w:numPr>
                <w:ilvl w:val="0"/>
                <w:numId w:val="0"/>
              </w:numPr>
              <w:autoSpaceDN w:val="0"/>
              <w:spacing w:line="400" w:lineRule="exact"/>
              <w:ind w:firstLine="600" w:firstLineChars="200"/>
              <w:jc w:val="left"/>
              <w:textAlignment w:val="center"/>
              <w:rPr>
                <w:rFonts w:hint="eastAsia" w:ascii="仿宋" w:hAnsi="仿宋" w:eastAsia="仿宋" w:cs="仿宋_GB2312"/>
                <w:color w:val="000000"/>
                <w:sz w:val="30"/>
                <w:szCs w:val="30"/>
              </w:rPr>
            </w:pPr>
            <w:r>
              <w:rPr>
                <w:rFonts w:hint="eastAsia" w:ascii="仿宋" w:hAnsi="仿宋" w:eastAsia="仿宋" w:cs="仿宋_GB2312"/>
                <w:color w:val="000000"/>
                <w:sz w:val="30"/>
                <w:szCs w:val="30"/>
              </w:rPr>
              <w:t>人员情况:县政法委现有编制数</w:t>
            </w:r>
            <w:r>
              <w:rPr>
                <w:rFonts w:hint="eastAsia" w:ascii="仿宋" w:hAnsi="仿宋" w:eastAsia="仿宋" w:cs="仿宋_GB2312"/>
                <w:color w:val="000000"/>
                <w:sz w:val="30"/>
                <w:szCs w:val="30"/>
                <w:lang w:val="en-US" w:eastAsia="zh-CN"/>
              </w:rPr>
              <w:t>20</w:t>
            </w:r>
            <w:r>
              <w:rPr>
                <w:rFonts w:hint="eastAsia" w:ascii="仿宋" w:hAnsi="仿宋" w:eastAsia="仿宋" w:cs="仿宋_GB2312"/>
                <w:color w:val="000000"/>
                <w:sz w:val="30"/>
                <w:szCs w:val="30"/>
              </w:rPr>
              <w:t>个,其中行政编制13个,全额事业编制6个,借用人员9人，退休人员9人。</w:t>
            </w:r>
          </w:p>
          <w:p>
            <w:pPr>
              <w:numPr>
                <w:ilvl w:val="0"/>
                <w:numId w:val="0"/>
              </w:numPr>
              <w:autoSpaceDN w:val="0"/>
              <w:spacing w:line="400" w:lineRule="exact"/>
              <w:ind w:firstLine="602" w:firstLineChars="200"/>
              <w:jc w:val="left"/>
              <w:textAlignment w:val="center"/>
              <w:rPr>
                <w:rFonts w:hint="eastAsia" w:ascii="仿宋" w:hAnsi="仿宋" w:eastAsia="仿宋" w:cs="仿宋_GB2312"/>
                <w:b/>
                <w:bCs/>
                <w:color w:val="000000"/>
                <w:sz w:val="30"/>
                <w:szCs w:val="30"/>
                <w:lang w:eastAsia="zh-CN"/>
              </w:rPr>
            </w:pPr>
            <w:r>
              <w:rPr>
                <w:rFonts w:hint="eastAsia" w:ascii="仿宋" w:hAnsi="仿宋" w:eastAsia="仿宋" w:cs="仿宋_GB2312"/>
                <w:b/>
                <w:bCs/>
                <w:color w:val="000000"/>
                <w:sz w:val="30"/>
                <w:szCs w:val="30"/>
                <w:lang w:eastAsia="zh-CN"/>
              </w:rPr>
              <w:t>（二）</w:t>
            </w:r>
            <w:r>
              <w:rPr>
                <w:rFonts w:hint="eastAsia" w:ascii="仿宋_GB2312" w:hAnsi="仿宋_GB2312" w:eastAsia="仿宋_GB2312" w:cs="仿宋_GB2312"/>
                <w:b/>
                <w:bCs/>
                <w:sz w:val="28"/>
                <w:szCs w:val="28"/>
              </w:rPr>
              <w:t>部门（单位）整体支出规模、使用方向和主要内容、涉及范围等</w:t>
            </w:r>
          </w:p>
          <w:p>
            <w:pPr>
              <w:spacing w:line="400" w:lineRule="exact"/>
              <w:ind w:firstLine="600" w:firstLineChars="200"/>
              <w:rPr>
                <w:rFonts w:hint="eastAsia" w:ascii="仿宋" w:hAnsi="仿宋" w:eastAsia="仿宋" w:cs="仿宋"/>
                <w:b w:val="0"/>
                <w:bCs/>
                <w:sz w:val="30"/>
                <w:szCs w:val="30"/>
              </w:rPr>
            </w:pPr>
            <w:r>
              <w:rPr>
                <w:rFonts w:hint="eastAsia" w:ascii="仿宋" w:hAnsi="仿宋" w:eastAsia="仿宋" w:cs="仿宋"/>
                <w:b w:val="0"/>
                <w:bCs w:val="0"/>
                <w:sz w:val="30"/>
                <w:szCs w:val="30"/>
                <w:lang w:val="en-US" w:eastAsia="zh-CN"/>
              </w:rPr>
              <w:t>1、树立以人民为中心理念，积极推进扫黑除恶工作。</w:t>
            </w:r>
            <w:r>
              <w:rPr>
                <w:rFonts w:hint="eastAsia" w:ascii="仿宋" w:hAnsi="仿宋" w:eastAsia="仿宋" w:cs="仿宋"/>
                <w:b w:val="0"/>
                <w:bCs/>
                <w:sz w:val="30"/>
                <w:szCs w:val="30"/>
                <w:lang w:val="en-US" w:eastAsia="zh-CN"/>
              </w:rPr>
              <w:t>今年是扫黑除恶专项斗争“深挖根治”决战决胜之年、“长效常治”开局起步之年、“行业整治”动真除患、“斗争成果”全面检阅之年，将迎接中央、省、市扫黑除恶专项斗争督导组检查验收。</w:t>
            </w:r>
            <w:r>
              <w:rPr>
                <w:rFonts w:hint="eastAsia" w:ascii="仿宋" w:hAnsi="仿宋" w:eastAsia="仿宋" w:cs="仿宋"/>
                <w:b w:val="0"/>
                <w:bCs/>
                <w:sz w:val="30"/>
                <w:szCs w:val="30"/>
              </w:rPr>
              <w:t>全县各级各部门要</w:t>
            </w:r>
            <w:r>
              <w:rPr>
                <w:rFonts w:hint="eastAsia" w:ascii="仿宋" w:hAnsi="仿宋" w:eastAsia="仿宋" w:cs="仿宋"/>
                <w:b w:val="0"/>
                <w:bCs/>
                <w:sz w:val="30"/>
                <w:szCs w:val="30"/>
                <w:lang w:val="en-US" w:eastAsia="zh-CN"/>
              </w:rPr>
              <w:t>树立以人民为中心理念，坚决捍卫人民群众的合法权益，</w:t>
            </w:r>
            <w:r>
              <w:rPr>
                <w:rFonts w:hint="eastAsia" w:ascii="仿宋" w:hAnsi="仿宋" w:eastAsia="仿宋" w:cs="仿宋"/>
                <w:b w:val="0"/>
                <w:bCs/>
                <w:sz w:val="30"/>
                <w:szCs w:val="30"/>
              </w:rPr>
              <w:t>认真按照中央和省委、市委、县委决策部署，以落实中央扫黑除恶督导“回头看”反馈意见整改工作为重点，以建立长效机制为抓手，以“六清”行动为重点，推动扫黑除恶专项斗争向纵深发展。</w:t>
            </w:r>
          </w:p>
          <w:p>
            <w:pPr>
              <w:spacing w:line="400" w:lineRule="exact"/>
              <w:ind w:firstLine="600" w:firstLineChars="200"/>
              <w:rPr>
                <w:rFonts w:hint="eastAsia" w:ascii="仿宋" w:hAnsi="仿宋" w:eastAsia="仿宋" w:cs="仿宋"/>
                <w:b w:val="0"/>
                <w:bCs/>
                <w:sz w:val="30"/>
                <w:szCs w:val="30"/>
              </w:rPr>
            </w:pPr>
            <w:r>
              <w:rPr>
                <w:rFonts w:hint="eastAsia" w:ascii="仿宋" w:hAnsi="仿宋" w:eastAsia="仿宋" w:cs="仿宋"/>
                <w:b w:val="0"/>
                <w:bCs/>
                <w:sz w:val="30"/>
                <w:szCs w:val="30"/>
                <w:lang w:val="en-US" w:eastAsia="zh-CN"/>
              </w:rPr>
              <w:t>2、</w:t>
            </w:r>
            <w:r>
              <w:rPr>
                <w:rFonts w:hint="eastAsia" w:ascii="仿宋" w:hAnsi="仿宋" w:eastAsia="仿宋" w:cs="仿宋"/>
                <w:b w:val="0"/>
                <w:bCs/>
                <w:sz w:val="30"/>
                <w:szCs w:val="30"/>
              </w:rPr>
              <w:t>全力维护社会大局和谐稳定。重点防控化解好社会安全、公共安全、经济安全、网络安全等领域的风险；进一步加强涉爆要素管控，坚决防止暴恐活动发生；深入推进反邪教育转化工作，通过“去存量”实现“去能量”；维护网络意识形态安全，强化实时动态管控，严防网络群体事件。</w:t>
            </w:r>
          </w:p>
          <w:p>
            <w:pPr>
              <w:spacing w:line="400" w:lineRule="exact"/>
              <w:ind w:firstLine="600" w:firstLineChars="200"/>
              <w:rPr>
                <w:rFonts w:hint="eastAsia" w:ascii="仿宋" w:hAnsi="仿宋" w:eastAsia="仿宋" w:cs="仿宋"/>
                <w:sz w:val="30"/>
                <w:szCs w:val="30"/>
              </w:rPr>
            </w:pPr>
            <w:r>
              <w:rPr>
                <w:rFonts w:hint="eastAsia" w:ascii="仿宋" w:hAnsi="仿宋" w:eastAsia="仿宋" w:cs="仿宋"/>
                <w:b w:val="0"/>
                <w:bCs/>
                <w:sz w:val="30"/>
                <w:szCs w:val="30"/>
                <w:lang w:val="en-US" w:eastAsia="zh-CN"/>
              </w:rPr>
              <w:t>3、</w:t>
            </w:r>
            <w:r>
              <w:rPr>
                <w:rFonts w:hint="eastAsia" w:ascii="仿宋" w:hAnsi="仿宋" w:eastAsia="仿宋" w:cs="仿宋"/>
                <w:b w:val="0"/>
                <w:bCs/>
                <w:sz w:val="30"/>
                <w:szCs w:val="30"/>
              </w:rPr>
              <w:t>积极做好多元化解矛盾纠纷。把深化完善多元化解矛盾作为今后推进平安湘阴建设的基础工程，扎实开展好调解队伍及机构建设、矛盾纠纷基础调查及动态排查、矛盾纠纷预警和化解等各项工作，确保全年矛盾纠纷基层化解率达到99%以上，努力实现矛盾不上交、纠纷不激发</w:t>
            </w:r>
            <w:r>
              <w:rPr>
                <w:rFonts w:hint="eastAsia" w:ascii="Times New Roman" w:hAnsi="Times New Roman" w:eastAsia="仿宋_GB2312" w:cs="仿宋_GB2312"/>
                <w:b w:val="0"/>
                <w:bCs/>
                <w:color w:val="000000"/>
                <w:sz w:val="32"/>
                <w:szCs w:val="32"/>
              </w:rPr>
              <w:t>、</w:t>
            </w:r>
            <w:r>
              <w:rPr>
                <w:rFonts w:hint="eastAsia" w:ascii="Times New Roman" w:hAnsi="Times New Roman" w:eastAsia="仿宋_GB2312" w:cs="仿宋_GB2312"/>
                <w:color w:val="000000"/>
                <w:sz w:val="32"/>
                <w:szCs w:val="32"/>
              </w:rPr>
              <w:t>社会大和谐。</w:t>
            </w:r>
          </w:p>
          <w:p>
            <w:pPr>
              <w:spacing w:line="40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400" w:lineRule="exact"/>
              <w:ind w:firstLine="602" w:firstLineChars="200"/>
              <w:rPr>
                <w:rFonts w:hint="eastAsia" w:ascii="仿宋" w:hAnsi="仿宋" w:eastAsia="仿宋" w:cs="仿宋"/>
                <w:b/>
                <w:sz w:val="30"/>
                <w:szCs w:val="30"/>
              </w:rPr>
            </w:pPr>
            <w:r>
              <w:rPr>
                <w:rFonts w:hint="eastAsia" w:ascii="仿宋" w:hAnsi="仿宋" w:eastAsia="仿宋" w:cs="仿宋"/>
                <w:b/>
                <w:sz w:val="30"/>
                <w:szCs w:val="30"/>
                <w:lang w:eastAsia="zh-CN"/>
              </w:rPr>
              <w:t>（一）</w:t>
            </w:r>
            <w:r>
              <w:rPr>
                <w:rFonts w:hint="eastAsia" w:ascii="仿宋" w:hAnsi="仿宋" w:eastAsia="仿宋" w:cs="仿宋"/>
                <w:b/>
                <w:sz w:val="30"/>
                <w:szCs w:val="30"/>
              </w:rPr>
              <w:t xml:space="preserve">部门收支概况 </w:t>
            </w:r>
          </w:p>
          <w:p>
            <w:pPr>
              <w:spacing w:line="400" w:lineRule="exact"/>
              <w:ind w:firstLine="560" w:firstLineChars="200"/>
              <w:rPr>
                <w:rFonts w:hint="eastAsia" w:ascii="仿宋" w:hAnsi="仿宋" w:eastAsia="仿宋" w:cs="仿宋"/>
                <w:b/>
                <w:sz w:val="30"/>
                <w:szCs w:val="30"/>
              </w:rPr>
            </w:pPr>
            <w:r>
              <w:rPr>
                <w:rFonts w:hint="eastAsia" w:ascii="仿宋_GB2312" w:hAnsi="仿宋_GB2312" w:eastAsia="仿宋_GB2312" w:cs="仿宋_GB2312"/>
                <w:bCs/>
                <w:sz w:val="28"/>
                <w:szCs w:val="28"/>
              </w:rPr>
              <w:t>（一）基本支出</w:t>
            </w:r>
          </w:p>
          <w:p>
            <w:pPr>
              <w:autoSpaceDN w:val="0"/>
              <w:spacing w:line="400" w:lineRule="exact"/>
              <w:ind w:left="468" w:firstLine="150" w:firstLineChars="50"/>
              <w:jc w:val="left"/>
              <w:textAlignment w:val="center"/>
              <w:rPr>
                <w:rFonts w:hint="default" w:ascii="仿宋" w:hAnsi="仿宋" w:eastAsia="仿宋" w:cs="仿宋"/>
                <w:color w:val="000000"/>
                <w:sz w:val="30"/>
                <w:szCs w:val="30"/>
                <w:lang w:val="en-US" w:eastAsia="zh-CN"/>
              </w:rPr>
            </w:pPr>
            <w:r>
              <w:rPr>
                <w:rFonts w:hint="eastAsia" w:ascii="仿宋" w:hAnsi="仿宋" w:eastAsia="仿宋" w:cs="仿宋"/>
                <w:color w:val="000000"/>
                <w:sz w:val="30"/>
                <w:szCs w:val="30"/>
              </w:rPr>
              <w:t>决算总收入</w:t>
            </w:r>
            <w:r>
              <w:rPr>
                <w:rFonts w:hint="eastAsia" w:ascii="仿宋" w:hAnsi="仿宋" w:eastAsia="仿宋" w:cs="仿宋"/>
                <w:color w:val="000000"/>
                <w:sz w:val="30"/>
                <w:szCs w:val="30"/>
                <w:lang w:val="en-US" w:eastAsia="zh-CN"/>
              </w:rPr>
              <w:t>727.8</w:t>
            </w:r>
            <w:r>
              <w:rPr>
                <w:rFonts w:hint="eastAsia" w:ascii="仿宋" w:hAnsi="仿宋" w:eastAsia="仿宋" w:cs="仿宋"/>
                <w:color w:val="000000"/>
                <w:sz w:val="30"/>
                <w:szCs w:val="30"/>
              </w:rPr>
              <w:t>万元。其中：基本支出</w:t>
            </w:r>
            <w:r>
              <w:rPr>
                <w:rFonts w:hint="eastAsia" w:ascii="仿宋" w:hAnsi="仿宋" w:eastAsia="仿宋" w:cs="仿宋"/>
                <w:color w:val="000000"/>
                <w:sz w:val="30"/>
                <w:szCs w:val="30"/>
                <w:lang w:val="en-US" w:eastAsia="zh-CN"/>
              </w:rPr>
              <w:t>274.86</w:t>
            </w:r>
            <w:r>
              <w:rPr>
                <w:rFonts w:hint="eastAsia" w:ascii="仿宋" w:hAnsi="仿宋" w:eastAsia="仿宋" w:cs="仿宋"/>
                <w:color w:val="000000"/>
                <w:sz w:val="30"/>
                <w:szCs w:val="30"/>
              </w:rPr>
              <w:t>万元（工资福利支出</w:t>
            </w:r>
            <w:r>
              <w:rPr>
                <w:rFonts w:hint="eastAsia" w:ascii="仿宋" w:hAnsi="仿宋" w:eastAsia="仿宋" w:cs="仿宋"/>
                <w:color w:val="000000"/>
                <w:sz w:val="30"/>
                <w:szCs w:val="30"/>
                <w:lang w:val="en-US" w:eastAsia="zh-CN"/>
              </w:rPr>
              <w:t>223.8</w:t>
            </w:r>
          </w:p>
          <w:p>
            <w:pPr>
              <w:autoSpaceDN w:val="0"/>
              <w:spacing w:line="400" w:lineRule="exact"/>
              <w:jc w:val="left"/>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万元，一般商品和服务支出</w:t>
            </w:r>
            <w:r>
              <w:rPr>
                <w:rFonts w:hint="eastAsia" w:ascii="仿宋" w:hAnsi="仿宋" w:eastAsia="仿宋" w:cs="仿宋"/>
                <w:color w:val="000000"/>
                <w:sz w:val="30"/>
                <w:szCs w:val="30"/>
                <w:lang w:val="en-US" w:eastAsia="zh-CN"/>
              </w:rPr>
              <w:t>50.06</w:t>
            </w:r>
            <w:r>
              <w:rPr>
                <w:rFonts w:hint="eastAsia" w:ascii="仿宋" w:hAnsi="仿宋" w:eastAsia="仿宋" w:cs="仿宋"/>
                <w:color w:val="000000"/>
                <w:sz w:val="30"/>
                <w:szCs w:val="30"/>
              </w:rPr>
              <w:t>万元）主要是指为保障单位机构正常运转、完成日常工作任务而发生的各项支出，包括用于基本工资、津贴补贴等人员经费以及办公费、印刷费、水电费、办公设备购置等日常公用经费。</w:t>
            </w:r>
          </w:p>
          <w:p>
            <w:pPr>
              <w:spacing w:line="400" w:lineRule="exact"/>
              <w:ind w:firstLine="562" w:firstLineChars="200"/>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（二）专项支出</w:t>
            </w:r>
          </w:p>
          <w:p>
            <w:pPr>
              <w:autoSpaceDN w:val="0"/>
              <w:spacing w:line="400" w:lineRule="exact"/>
              <w:ind w:firstLine="600" w:firstLineChars="200"/>
              <w:jc w:val="left"/>
              <w:textAlignment w:val="center"/>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1、项目支出情况</w:t>
            </w:r>
          </w:p>
          <w:p>
            <w:pPr>
              <w:autoSpaceDN w:val="0"/>
              <w:spacing w:line="400" w:lineRule="exact"/>
              <w:ind w:firstLine="600" w:firstLineChars="200"/>
              <w:jc w:val="left"/>
              <w:textAlignment w:val="center"/>
              <w:rPr>
                <w:rFonts w:hint="default" w:ascii="仿宋" w:hAnsi="仿宋" w:eastAsia="仿宋" w:cs="仿宋"/>
                <w:color w:val="000000"/>
                <w:sz w:val="30"/>
                <w:szCs w:val="30"/>
                <w:lang w:val="en-US" w:eastAsia="zh-CN"/>
              </w:rPr>
            </w:pPr>
            <w:r>
              <w:rPr>
                <w:rFonts w:hint="eastAsia" w:ascii="仿宋" w:hAnsi="仿宋" w:eastAsia="仿宋" w:cs="仿宋"/>
                <w:color w:val="000000"/>
                <w:sz w:val="30"/>
                <w:szCs w:val="30"/>
              </w:rPr>
              <w:t>项目</w:t>
            </w:r>
            <w:r>
              <w:rPr>
                <w:rFonts w:hint="eastAsia" w:ascii="仿宋" w:hAnsi="仿宋" w:eastAsia="仿宋" w:cs="仿宋"/>
                <w:color w:val="000000"/>
                <w:sz w:val="30"/>
                <w:szCs w:val="30"/>
                <w:lang w:eastAsia="zh-CN"/>
              </w:rPr>
              <w:t>总</w:t>
            </w:r>
            <w:r>
              <w:rPr>
                <w:rFonts w:hint="eastAsia" w:ascii="仿宋" w:hAnsi="仿宋" w:eastAsia="仿宋" w:cs="仿宋"/>
                <w:color w:val="000000"/>
                <w:sz w:val="30"/>
                <w:szCs w:val="30"/>
              </w:rPr>
              <w:t>支出</w:t>
            </w:r>
            <w:r>
              <w:rPr>
                <w:rFonts w:hint="eastAsia" w:ascii="仿宋" w:hAnsi="仿宋" w:eastAsia="仿宋" w:cs="仿宋"/>
                <w:color w:val="000000"/>
                <w:sz w:val="30"/>
                <w:szCs w:val="30"/>
                <w:lang w:val="en-US" w:eastAsia="zh-CN"/>
              </w:rPr>
              <w:t>452.94</w:t>
            </w:r>
            <w:r>
              <w:rPr>
                <w:rFonts w:hint="eastAsia" w:ascii="仿宋" w:hAnsi="仿宋" w:eastAsia="仿宋" w:cs="仿宋"/>
                <w:color w:val="000000"/>
                <w:sz w:val="30"/>
                <w:szCs w:val="30"/>
              </w:rPr>
              <w:t>万元。</w:t>
            </w:r>
            <w:r>
              <w:rPr>
                <w:rFonts w:hint="eastAsia" w:ascii="仿宋" w:hAnsi="仿宋" w:eastAsia="仿宋" w:cs="仿宋"/>
                <w:color w:val="000000"/>
                <w:sz w:val="30"/>
                <w:szCs w:val="30"/>
                <w:lang w:eastAsia="zh-CN"/>
              </w:rPr>
              <w:t>其中：扫黑除恶工作专项经费支出</w:t>
            </w:r>
            <w:r>
              <w:rPr>
                <w:rFonts w:hint="eastAsia" w:ascii="仿宋" w:hAnsi="仿宋" w:eastAsia="仿宋" w:cs="仿宋"/>
                <w:color w:val="000000"/>
                <w:sz w:val="30"/>
                <w:szCs w:val="30"/>
                <w:lang w:val="en-US" w:eastAsia="zh-CN"/>
              </w:rPr>
              <w:t>171万元，信访积案经费支出18万元，网格办工作经费支出20万元，三级平台建设专项经费支出243.94万元。</w:t>
            </w:r>
          </w:p>
          <w:p>
            <w:pPr>
              <w:autoSpaceDN w:val="0"/>
              <w:spacing w:line="400" w:lineRule="exact"/>
              <w:ind w:firstLine="600" w:firstLineChars="200"/>
              <w:jc w:val="left"/>
              <w:textAlignment w:val="center"/>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2、专项经费使用情况。</w:t>
            </w:r>
          </w:p>
          <w:p>
            <w:pPr>
              <w:numPr>
                <w:ilvl w:val="0"/>
                <w:numId w:val="0"/>
              </w:numPr>
              <w:autoSpaceDN w:val="0"/>
              <w:spacing w:line="400" w:lineRule="exact"/>
              <w:ind w:firstLine="600" w:firstLineChars="200"/>
              <w:jc w:val="left"/>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三级平台建设专项经费。主要用于综治中心的网格化基础设施及配合网络信息化建设。</w:t>
            </w:r>
          </w:p>
          <w:p>
            <w:pPr>
              <w:numPr>
                <w:ilvl w:val="0"/>
                <w:numId w:val="0"/>
              </w:numPr>
              <w:autoSpaceDN w:val="0"/>
              <w:spacing w:line="400" w:lineRule="exact"/>
              <w:ind w:firstLine="600" w:firstLineChars="200"/>
              <w:jc w:val="left"/>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扫黑除恶工作经费。主要用于全县扫黑除恶工作的宣传资料印制，全县各主干道大型宣传标牌的制作及扫黑除恶案件办理所产生的加班、差旅费、办案费等。</w:t>
            </w:r>
          </w:p>
          <w:p>
            <w:pPr>
              <w:numPr>
                <w:ilvl w:val="0"/>
                <w:numId w:val="0"/>
              </w:numPr>
              <w:autoSpaceDN w:val="0"/>
              <w:spacing w:line="400" w:lineRule="exact"/>
              <w:ind w:firstLine="600" w:firstLineChars="200"/>
              <w:jc w:val="left"/>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信访积案专项经费。主要用于全县信访案件的化解及对信访人的困难救助等。</w:t>
            </w:r>
          </w:p>
          <w:p>
            <w:pPr>
              <w:numPr>
                <w:ilvl w:val="0"/>
                <w:numId w:val="0"/>
              </w:numPr>
              <w:autoSpaceDN w:val="0"/>
              <w:spacing w:line="400" w:lineRule="exact"/>
              <w:ind w:firstLine="600" w:firstLineChars="200"/>
              <w:jc w:val="left"/>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网格办工作经费。主要用于支付网格办临聘人员工资及网格中心日常工作支出。</w:t>
            </w:r>
          </w:p>
          <w:p>
            <w:pPr>
              <w:spacing w:line="40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4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40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为进一步加强我委专项资金的使用管理，我委成立了由副书记蔡志伟任组长，副书记皮周彦、窦志辉任副组长，网格中心主任易承志、执法监督室主任周必胜、综治督导室主任蒋曙辉为成员的专项资金绩效评价领导小组。</w:t>
            </w:r>
          </w:p>
          <w:p>
            <w:pPr>
              <w:numPr>
                <w:ilvl w:val="0"/>
                <w:numId w:val="4"/>
              </w:numPr>
              <w:spacing w:line="40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专项管理情况分析</w:t>
            </w:r>
          </w:p>
          <w:p>
            <w:pPr>
              <w:numPr>
                <w:ilvl w:val="0"/>
                <w:numId w:val="0"/>
              </w:numPr>
              <w:spacing w:line="400" w:lineRule="exact"/>
              <w:ind w:left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 xml:space="preserve">  我委专项资金做到了专款专用，严格控制预算内专项资金支出。</w:t>
            </w:r>
          </w:p>
          <w:p>
            <w:pPr>
              <w:spacing w:line="40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spacing w:line="40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部门整体项目绩效评价为优秀。</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p>
          <w:p>
            <w:pPr>
              <w:rPr>
                <w:rFonts w:eastAsia="楷体_GB2312"/>
                <w:bCs/>
                <w:sz w:val="28"/>
                <w:szCs w:val="28"/>
              </w:rPr>
            </w:pPr>
          </w:p>
        </w:tc>
      </w:tr>
    </w:tbl>
    <w:p/>
    <w:sectPr>
      <w:pgSz w:w="11906" w:h="16838"/>
      <w:pgMar w:top="1440" w:right="1463" w:bottom="1440" w:left="146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separate"/>
    </w:r>
    <w:r>
      <w:rPr>
        <w:rStyle w:val="5"/>
      </w:rPr>
      <w:t>- 15 -</w:t>
    </w:r>
    <w: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39E381"/>
    <w:multiLevelType w:val="singleLevel"/>
    <w:tmpl w:val="EE39E381"/>
    <w:lvl w:ilvl="0" w:tentative="0">
      <w:start w:val="1"/>
      <w:numFmt w:val="decimal"/>
      <w:suff w:val="nothing"/>
      <w:lvlText w:val="%1、"/>
      <w:lvlJc w:val="left"/>
    </w:lvl>
  </w:abstractNum>
  <w:abstractNum w:abstractNumId="1">
    <w:nsid w:val="0433201D"/>
    <w:multiLevelType w:val="singleLevel"/>
    <w:tmpl w:val="0433201D"/>
    <w:lvl w:ilvl="0" w:tentative="0">
      <w:start w:val="1"/>
      <w:numFmt w:val="chineseCounting"/>
      <w:suff w:val="nothing"/>
      <w:lvlText w:val="%1、"/>
      <w:lvlJc w:val="left"/>
      <w:rPr>
        <w:rFonts w:hint="eastAsia"/>
      </w:rPr>
    </w:lvl>
  </w:abstractNum>
  <w:abstractNum w:abstractNumId="2">
    <w:nsid w:val="441FB7C8"/>
    <w:multiLevelType w:val="singleLevel"/>
    <w:tmpl w:val="441FB7C8"/>
    <w:lvl w:ilvl="0" w:tentative="0">
      <w:start w:val="4"/>
      <w:numFmt w:val="decimal"/>
      <w:suff w:val="nothing"/>
      <w:lvlText w:val="%1、"/>
      <w:lvlJc w:val="left"/>
    </w:lvl>
  </w:abstractNum>
  <w:abstractNum w:abstractNumId="3">
    <w:nsid w:val="57096EDF"/>
    <w:multiLevelType w:val="singleLevel"/>
    <w:tmpl w:val="57096EDF"/>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A81974"/>
    <w:rsid w:val="24BE438A"/>
    <w:rsid w:val="5DA81974"/>
    <w:rsid w:val="7A6A48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2021-10-26T07:12:00Z</dcterms:created>
  <dc:creator>令</dc:creator>
  <cp:lastModifiedBy>令</cp:lastModifiedBy>
  <dcterms:modified xsi:type="dcterms:W3CDTF">2021-10-28T02:35:22Z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2111F33A7B5A48AEB7491A768A011580</vt:lpwstr>
  </property>
</Properties>
</file>