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640" w:firstLineChars="200"/>
        <w:jc w:val="both"/>
        <w:textAlignment w:val="baseline"/>
        <w:rPr>
          <w:rStyle w:val="8"/>
          <w:rFonts w:ascii="仿宋_GB2312" w:hAnsi="黑体"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黑体" w:eastAsia="仿宋_GB2312"/>
          <w:smallCaps/>
          <w:color w:val="000000" w:themeColor="text1"/>
          <w:kern w:val="2"/>
          <w:sz w:val="32"/>
          <w:szCs w:val="32"/>
          <w:lang w:val="en-US" w:eastAsia="zh-CN" w:bidi="ar-SA"/>
          <w14:textFill>
            <w14:solidFill>
              <w14:schemeClr w14:val="tx1"/>
            </w14:solidFill>
          </w14:textFill>
        </w:rPr>
        <w:t>附件一</w:t>
      </w:r>
    </w:p>
    <w:p>
      <w:pPr>
        <w:widowControl/>
        <w:spacing w:line="600" w:lineRule="exact"/>
        <w:ind w:firstLine="640" w:firstLineChars="200"/>
        <w:jc w:val="both"/>
        <w:textAlignment w:val="baseline"/>
        <w:rPr>
          <w:rStyle w:val="8"/>
          <w:rFonts w:ascii="仿宋_GB2312" w:hAnsi="黑体" w:eastAsia="仿宋_GB2312"/>
          <w:smallCaps/>
          <w:color w:val="000000" w:themeColor="text1"/>
          <w:kern w:val="2"/>
          <w:sz w:val="32"/>
          <w:szCs w:val="32"/>
          <w:lang w:val="en-US" w:eastAsia="zh-CN" w:bidi="ar-SA"/>
          <w14:textFill>
            <w14:solidFill>
              <w14:schemeClr w14:val="tx1"/>
            </w14:solidFill>
          </w14:textFill>
        </w:rPr>
      </w:pPr>
    </w:p>
    <w:p>
      <w:pPr>
        <w:widowControl/>
        <w:spacing w:line="600" w:lineRule="exact"/>
        <w:ind w:firstLine="640"/>
        <w:jc w:val="center"/>
        <w:textAlignment w:val="baseline"/>
        <w:rPr>
          <w:rStyle w:val="8"/>
          <w:rFonts w:ascii="方正小标宋简体" w:hAnsi="宋体" w:eastAsia="方正小标宋简体"/>
          <w:color w:val="000000" w:themeColor="text1"/>
          <w:kern w:val="2"/>
          <w:sz w:val="44"/>
          <w:szCs w:val="44"/>
          <w:lang w:val="en-US" w:eastAsia="zh-CN" w:bidi="ar-SA"/>
          <w14:textFill>
            <w14:solidFill>
              <w14:schemeClr w14:val="tx1"/>
            </w14:solidFill>
          </w14:textFill>
        </w:rPr>
      </w:pPr>
      <w:r>
        <w:rPr>
          <w:rStyle w:val="8"/>
          <w:rFonts w:ascii="方正小标宋简体" w:hAnsi="宋体" w:eastAsia="方正小标宋简体"/>
          <w:color w:val="000000" w:themeColor="text1"/>
          <w:kern w:val="2"/>
          <w:sz w:val="44"/>
          <w:szCs w:val="44"/>
          <w:lang w:val="en-US" w:eastAsia="zh-CN" w:bidi="ar-SA"/>
          <w14:textFill>
            <w14:solidFill>
              <w14:schemeClr w14:val="tx1"/>
            </w14:solidFill>
          </w14:textFill>
        </w:rPr>
        <w:t>湘阴县湘资砂石资源有限公司</w:t>
      </w:r>
    </w:p>
    <w:p>
      <w:pPr>
        <w:widowControl/>
        <w:spacing w:line="600" w:lineRule="exact"/>
        <w:ind w:firstLine="640"/>
        <w:jc w:val="center"/>
        <w:textAlignment w:val="baseline"/>
        <w:rPr>
          <w:rStyle w:val="8"/>
          <w:rFonts w:ascii="方正小标宋简体" w:hAnsi="宋体" w:eastAsia="方正小标宋简体"/>
          <w:color w:val="000000" w:themeColor="text1"/>
          <w:kern w:val="2"/>
          <w:sz w:val="44"/>
          <w:szCs w:val="44"/>
          <w:lang w:val="en-US" w:eastAsia="zh-CN" w:bidi="ar-SA"/>
          <w14:textFill>
            <w14:solidFill>
              <w14:schemeClr w14:val="tx1"/>
            </w14:solidFill>
          </w14:textFill>
        </w:rPr>
      </w:pPr>
      <w:r>
        <w:rPr>
          <w:rStyle w:val="8"/>
          <w:rFonts w:ascii="方正小标宋简体" w:hAnsi="宋体" w:eastAsia="方正小标宋简体"/>
          <w:color w:val="000000" w:themeColor="text1"/>
          <w:kern w:val="2"/>
          <w:sz w:val="44"/>
          <w:szCs w:val="44"/>
          <w:lang w:val="en-US" w:eastAsia="zh-CN" w:bidi="ar-SA"/>
          <w14:textFill>
            <w14:solidFill>
              <w14:schemeClr w14:val="tx1"/>
            </w14:solidFill>
          </w14:textFill>
        </w:rPr>
        <w:t>2020年下半年河道砂石开采工程船</w:t>
      </w:r>
    </w:p>
    <w:p>
      <w:pPr>
        <w:widowControl/>
        <w:spacing w:line="600" w:lineRule="exact"/>
        <w:ind w:firstLine="640"/>
        <w:jc w:val="center"/>
        <w:textAlignment w:val="baseline"/>
        <w:rPr>
          <w:rStyle w:val="8"/>
          <w:rFonts w:ascii="楷体" w:hAnsi="楷体" w:eastAsia="楷体"/>
          <w:color w:val="000000" w:themeColor="text1"/>
          <w:kern w:val="2"/>
          <w:sz w:val="32"/>
          <w:szCs w:val="32"/>
          <w:lang w:val="en-US" w:eastAsia="zh-CN" w:bidi="ar-SA"/>
          <w14:textFill>
            <w14:solidFill>
              <w14:schemeClr w14:val="tx1"/>
            </w14:solidFill>
          </w14:textFill>
        </w:rPr>
      </w:pPr>
      <w:r>
        <w:rPr>
          <w:rStyle w:val="8"/>
          <w:rFonts w:ascii="方正小标宋简体" w:hAnsi="宋体" w:eastAsia="方正小标宋简体"/>
          <w:color w:val="000000" w:themeColor="text1"/>
          <w:kern w:val="2"/>
          <w:sz w:val="44"/>
          <w:szCs w:val="44"/>
          <w:lang w:val="en-US" w:eastAsia="zh-CN" w:bidi="ar-SA"/>
          <w14:textFill>
            <w14:solidFill>
              <w14:schemeClr w14:val="tx1"/>
            </w14:solidFill>
          </w14:textFill>
        </w:rPr>
        <w:t>劳务作业公开选购方案</w:t>
      </w:r>
    </w:p>
    <w:p>
      <w:pPr>
        <w:widowControl/>
        <w:spacing w:line="600" w:lineRule="exact"/>
        <w:ind w:firstLine="640" w:firstLineChars="200"/>
        <w:jc w:val="both"/>
        <w:textAlignment w:val="baseline"/>
        <w:rPr>
          <w:rStyle w:val="8"/>
          <w:rFonts w:ascii="黑体" w:hAnsi="黑体" w:eastAsia="黑体"/>
          <w:smallCaps/>
          <w:color w:val="000000" w:themeColor="text1"/>
          <w:kern w:val="2"/>
          <w:sz w:val="32"/>
          <w:szCs w:val="32"/>
          <w:lang w:val="en-US" w:eastAsia="zh-CN" w:bidi="ar-SA"/>
          <w14:textFill>
            <w14:solidFill>
              <w14:schemeClr w14:val="tx1"/>
            </w14:solidFill>
          </w14:textFill>
        </w:rPr>
      </w:pPr>
    </w:p>
    <w:p>
      <w:pPr>
        <w:widowControl/>
        <w:spacing w:line="600" w:lineRule="exact"/>
        <w:ind w:firstLine="640" w:firstLineChars="200"/>
        <w:jc w:val="both"/>
        <w:textAlignment w:val="baseline"/>
        <w:rPr>
          <w:rStyle w:val="8"/>
          <w:rFonts w:ascii="黑体" w:hAnsi="黑体" w:eastAsia="黑体"/>
          <w:smallCaps/>
          <w:color w:val="000000" w:themeColor="text1"/>
          <w:kern w:val="2"/>
          <w:sz w:val="32"/>
          <w:szCs w:val="32"/>
          <w:lang w:val="en-US" w:eastAsia="zh-CN" w:bidi="ar-SA"/>
          <w14:textFill>
            <w14:solidFill>
              <w14:schemeClr w14:val="tx1"/>
            </w14:solidFill>
          </w14:textFill>
        </w:rPr>
      </w:pPr>
      <w:r>
        <w:rPr>
          <w:rStyle w:val="8"/>
          <w:rFonts w:ascii="黑体" w:hAnsi="黑体" w:eastAsia="黑体"/>
          <w:smallCaps/>
          <w:color w:val="000000" w:themeColor="text1"/>
          <w:kern w:val="2"/>
          <w:sz w:val="32"/>
          <w:szCs w:val="32"/>
          <w:lang w:val="en-US" w:eastAsia="zh-CN" w:bidi="ar-SA"/>
          <w14:textFill>
            <w14:solidFill>
              <w14:schemeClr w14:val="tx1"/>
            </w14:solidFill>
          </w14:textFill>
        </w:rPr>
        <w:t>一、选购标准</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1、鉴于湘阴采区现状，工程船须为熟悉采区水域、 近五年内有湘阴县河道砂石开采或河道疏浚经验、船籍为岳阳港籍的已办理工商许可、税务登记的船只（以船舶所有权证书、工商营业执照、税务登记证为准）。</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2、工程船只类型：工程船为采挖功率不超过3200KW的吸、挖砂船，日产能（12小时）在8000吨以上，采挖所产生的砂含泥量不得高于2.0%，卵石含泥量不得高于8%。有砂石分筛设备、可双洗、功率大的船只优先。</w:t>
      </w:r>
    </w:p>
    <w:p>
      <w:pPr>
        <w:widowControl/>
        <w:spacing w:line="600" w:lineRule="exact"/>
        <w:ind w:firstLine="640" w:firstLineChars="200"/>
        <w:jc w:val="both"/>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3、选购作业工程船数量：根据公司年度生产计划，选购采挖作业工程船（含备用）22条。</w:t>
      </w:r>
    </w:p>
    <w:p>
      <w:pPr>
        <w:widowControl/>
        <w:spacing w:line="600" w:lineRule="exact"/>
        <w:ind w:firstLine="640" w:firstLineChars="200"/>
        <w:jc w:val="both"/>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4、船舶安全相关要求：</w:t>
      </w:r>
    </w:p>
    <w:p>
      <w:pPr>
        <w:widowControl/>
        <w:spacing w:line="600" w:lineRule="exact"/>
        <w:ind w:firstLine="640" w:firstLineChars="200"/>
        <w:jc w:val="both"/>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①具备有效的“船舶检验证书”“船舶所有权证书”“船舶国籍证书”；</w:t>
      </w:r>
    </w:p>
    <w:p>
      <w:pPr>
        <w:widowControl/>
        <w:spacing w:line="600" w:lineRule="exact"/>
        <w:ind w:firstLine="640" w:firstLineChars="200"/>
        <w:jc w:val="both"/>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②航行状态时必须按内河船舶安全配员证书配备合格的持证船员，作业状态时配备人员必须相对固定且持有相关的资质认定证书；</w:t>
      </w:r>
    </w:p>
    <w:p>
      <w:pPr>
        <w:widowControl/>
        <w:spacing w:line="600" w:lineRule="exact"/>
        <w:ind w:firstLine="640" w:firstLineChars="200"/>
        <w:jc w:val="both"/>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③在醒目位置标明船名、船籍港；</w:t>
      </w:r>
    </w:p>
    <w:p>
      <w:pPr>
        <w:widowControl/>
        <w:spacing w:line="600" w:lineRule="exact"/>
        <w:ind w:firstLine="640" w:firstLineChars="200"/>
        <w:jc w:val="both"/>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④安装AIS设备，并有效登记和显示；</w:t>
      </w:r>
    </w:p>
    <w:p>
      <w:pPr>
        <w:widowControl/>
        <w:spacing w:line="600" w:lineRule="exact"/>
        <w:ind w:firstLine="640" w:firstLineChars="200"/>
        <w:jc w:val="both"/>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⑤船舶消防与救生设施按《船舶检验证书簿》要求配备齐全并能有效使用；</w:t>
      </w:r>
    </w:p>
    <w:p>
      <w:pPr>
        <w:widowControl/>
        <w:spacing w:line="600" w:lineRule="exact"/>
        <w:ind w:firstLine="640" w:firstLineChars="200"/>
        <w:jc w:val="both"/>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⑥配备“油水分离器”与“生活污水处理器”并能安全有效使用；</w:t>
      </w:r>
    </w:p>
    <w:p>
      <w:pPr>
        <w:widowControl/>
        <w:spacing w:line="600" w:lineRule="exact"/>
        <w:ind w:firstLine="640" w:firstLineChars="200"/>
        <w:jc w:val="both"/>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⑦生活垃圾、污水、废油等船舶污染物必须统一回收，上岸处置，不能直排；</w:t>
      </w:r>
    </w:p>
    <w:p>
      <w:pPr>
        <w:widowControl/>
        <w:spacing w:line="600" w:lineRule="exact"/>
        <w:ind w:firstLine="640" w:firstLineChars="200"/>
        <w:jc w:val="both"/>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⑧必须购买了作业人员意外险。</w:t>
      </w:r>
    </w:p>
    <w:p>
      <w:pPr>
        <w:widowControl/>
        <w:spacing w:line="600" w:lineRule="exact"/>
        <w:ind w:firstLine="640" w:firstLineChars="200"/>
        <w:jc w:val="both"/>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5、自2018年1月1日起至今无盗采及其他不良记录。</w:t>
      </w:r>
    </w:p>
    <w:p>
      <w:pPr>
        <w:widowControl/>
        <w:spacing w:line="600" w:lineRule="exact"/>
        <w:ind w:firstLine="640" w:firstLineChars="200"/>
        <w:jc w:val="both"/>
        <w:textAlignment w:val="baseline"/>
        <w:rPr>
          <w:rStyle w:val="8"/>
          <w:rFonts w:ascii="黑体" w:hAnsi="黑体" w:eastAsia="黑体"/>
          <w:smallCaps/>
          <w:color w:val="000000" w:themeColor="text1"/>
          <w:kern w:val="2"/>
          <w:sz w:val="32"/>
          <w:szCs w:val="32"/>
          <w:lang w:val="en-US" w:eastAsia="zh-CN" w:bidi="ar-SA"/>
          <w14:textFill>
            <w14:solidFill>
              <w14:schemeClr w14:val="tx1"/>
            </w14:solidFill>
          </w14:textFill>
        </w:rPr>
      </w:pPr>
      <w:r>
        <w:rPr>
          <w:rStyle w:val="8"/>
          <w:rFonts w:ascii="黑体" w:hAnsi="黑体" w:eastAsia="黑体"/>
          <w:smallCaps/>
          <w:color w:val="000000" w:themeColor="text1"/>
          <w:kern w:val="2"/>
          <w:sz w:val="32"/>
          <w:szCs w:val="32"/>
          <w:lang w:val="en-US" w:eastAsia="zh-CN" w:bidi="ar-SA"/>
          <w14:textFill>
            <w14:solidFill>
              <w14:schemeClr w14:val="tx1"/>
            </w14:solidFill>
          </w14:textFill>
        </w:rPr>
        <w:t>二、定船流程</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1、编制资格审查清单。资格审查清单由湘阴县湘资砂石资源有限公司负责制定，报相关主管部门审定备案。</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2、报名资格联合审查。由湘阴县湘资砂石源有限公司在湘阴政府网和洞庭控股微信公众号上公布资格审查条件和报名须知，凡符合报名条件的采砂工程船，由湘阴县湘资砂石资源有限公司联合相关主管部门审查确定入围工程船只。</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3、作业工程船只选定。入围工程船多于拟选用船数时，根据选购标准依序选定；入围工程船排序末位者出现多艘条件完全相同的时，以吹球方式确定；入围工程船少于拟选购船数时，对入围船只直接选定，缺额船只由湘阴县湘资砂石资源有限公司参照本方案另行直接选定。</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4、选购结果公示。工程船名单确定后在湘阴政府网和洞庭控股微信公众号公示，公示期3个自然日，公示期满后无异议进入合同谈判程序。</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5、签订合同。每艘工程船缴纳履约保证金100万元，同意接受监控，自费安装智能监控设施并接入湘阴县砂管局及湘阴县湘资砂石资源有限公司监控平台后签订采挖工程合同（暂定合同周期为2020年7月16日——2021年2月4日）。</w:t>
      </w:r>
    </w:p>
    <w:p>
      <w:pPr>
        <w:widowControl/>
        <w:spacing w:line="600" w:lineRule="exact"/>
        <w:ind w:firstLine="640" w:firstLineChars="200"/>
        <w:jc w:val="left"/>
        <w:textAlignment w:val="baseline"/>
        <w:rPr>
          <w:rStyle w:val="8"/>
          <w:rFonts w:ascii="黑体" w:hAnsi="黑体" w:eastAsia="黑体"/>
          <w:smallCaps/>
          <w:color w:val="000000" w:themeColor="text1"/>
          <w:kern w:val="2"/>
          <w:sz w:val="32"/>
          <w:szCs w:val="32"/>
          <w:lang w:val="en-US" w:eastAsia="zh-CN" w:bidi="ar-SA"/>
          <w14:textFill>
            <w14:solidFill>
              <w14:schemeClr w14:val="tx1"/>
            </w14:solidFill>
          </w14:textFill>
        </w:rPr>
      </w:pPr>
      <w:r>
        <w:rPr>
          <w:rStyle w:val="8"/>
          <w:rFonts w:ascii="黑体" w:hAnsi="黑体" w:eastAsia="黑体"/>
          <w:smallCaps/>
          <w:color w:val="000000" w:themeColor="text1"/>
          <w:kern w:val="2"/>
          <w:sz w:val="32"/>
          <w:szCs w:val="32"/>
          <w:lang w:val="en-US" w:eastAsia="zh-CN" w:bidi="ar-SA"/>
          <w14:textFill>
            <w14:solidFill>
              <w14:schemeClr w14:val="tx1"/>
            </w14:solidFill>
          </w14:textFill>
        </w:rPr>
        <w:t>三、退出机制</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作业工程船只如违反下列任一条款规定，湘阴县湘资砂石资源有限公司可以取消其采挖作业资格，终止采挖合同；情节严重、造成重大影响的，报请县砂管局纳入我县采砂船舶管理黑名单，并追究其相应的经济责任和法律责任。</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1、合同期内发生盗采的；</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2、不服从相关主管部门和湘阴县湘资砂石资源有限公司统一指挥调度的；</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3、工程船不能满足采挖产量要求的；</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4、工程船不能满足采挖质量要求的；</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5、工程船存在严重安全隐患的；</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6、工程船作业工艺不符合环保要求的；</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7、有其他违法违规行为的。</w:t>
      </w:r>
    </w:p>
    <w:p>
      <w:pPr>
        <w:widowControl/>
        <w:spacing w:line="600" w:lineRule="exact"/>
        <w:ind w:firstLine="640" w:firstLineChars="200"/>
        <w:jc w:val="both"/>
        <w:textAlignment w:val="baseline"/>
        <w:rPr>
          <w:rStyle w:val="8"/>
          <w:rFonts w:ascii="黑体" w:hAnsi="黑体" w:eastAsia="黑体"/>
          <w:smallCaps/>
          <w:color w:val="000000" w:themeColor="text1"/>
          <w:kern w:val="2"/>
          <w:sz w:val="32"/>
          <w:szCs w:val="32"/>
          <w:lang w:val="en-US" w:eastAsia="zh-CN" w:bidi="ar-SA"/>
          <w14:textFill>
            <w14:solidFill>
              <w14:schemeClr w14:val="tx1"/>
            </w14:solidFill>
          </w14:textFill>
        </w:rPr>
      </w:pPr>
      <w:r>
        <w:rPr>
          <w:rStyle w:val="8"/>
          <w:rFonts w:ascii="黑体" w:hAnsi="黑体" w:eastAsia="黑体"/>
          <w:smallCaps/>
          <w:color w:val="000000" w:themeColor="text1"/>
          <w:kern w:val="2"/>
          <w:sz w:val="32"/>
          <w:szCs w:val="32"/>
          <w:lang w:val="en-US" w:eastAsia="zh-CN" w:bidi="ar-SA"/>
          <w14:textFill>
            <w14:solidFill>
              <w14:schemeClr w14:val="tx1"/>
            </w14:solidFill>
          </w14:textFill>
        </w:rPr>
        <w:t>四、采挖工程船劳务价格</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1、按采挖所产生的达标砂石量，以10天为计量周期凭税票办理结算。不论何种工况，均按14元/吨结算；当一个计量周期内平均日产量高于20000吨时，高于20000吨的部分按14.2元/吨结算。对集中囤放在采区的砂石进行挖取的，按7元/吨结算。</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r>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t>2、以上结算价格均为含税价。</w:t>
      </w:r>
    </w:p>
    <w:p>
      <w:pPr>
        <w:widowControl/>
        <w:spacing w:line="600" w:lineRule="exact"/>
        <w:ind w:firstLine="640" w:firstLineChars="200"/>
        <w:jc w:val="left"/>
        <w:textAlignment w:val="baseline"/>
        <w:rPr>
          <w:rStyle w:val="8"/>
          <w:rFonts w:ascii="仿宋_GB2312" w:hAnsi="仿宋" w:eastAsia="仿宋_GB2312"/>
          <w:smallCaps/>
          <w:color w:val="000000" w:themeColor="text1"/>
          <w:kern w:val="2"/>
          <w:sz w:val="32"/>
          <w:szCs w:val="32"/>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p>
    <w:p>
      <w:pPr>
        <w:widowControl/>
        <w:jc w:val="both"/>
        <w:textAlignment w:val="baseline"/>
        <w:rPr>
          <w:rStyle w:val="6"/>
          <w:rFonts w:ascii="Calibri" w:hAnsi="Calibri"/>
          <w:color w:val="000000" w:themeColor="text1"/>
          <w:kern w:val="2"/>
          <w:sz w:val="21"/>
          <w:szCs w:val="21"/>
          <w:lang w:val="en-US" w:eastAsia="zh-CN" w:bidi="ar-SA"/>
          <w14:textFill>
            <w14:solidFill>
              <w14:schemeClr w14:val="tx1"/>
            </w14:solidFill>
          </w14:textFill>
        </w:rPr>
      </w:pPr>
      <w:bookmarkStart w:id="0" w:name="_GoBack"/>
      <w:bookmarkEnd w:id="0"/>
    </w:p>
    <w:sectPr>
      <w:footerReference r:id="rId3" w:type="even"/>
      <w:pgSz w:w="11906" w:h="16838"/>
      <w:pgMar w:top="2155" w:right="1531" w:bottom="1985" w:left="1531" w:header="851" w:footer="992" w:gutter="0"/>
      <w:lnNumType w:countBy="0"/>
      <w:cols w:space="425"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widowControl/>
      <w:snapToGrid w:val="0"/>
      <w:jc w:val="left"/>
      <w:textAlignment w:val="baseline"/>
      <w:rPr>
        <w:rStyle w:val="9"/>
        <w:rFonts w:ascii="Calibri" w:hAnsi="Calibri"/>
        <w:kern w:val="2"/>
        <w:sz w:val="18"/>
        <w:szCs w:val="18"/>
        <w:lang w:val="en-US" w:eastAsia="zh-CN" w:bidi="ar-SA"/>
      </w:rPr>
    </w:pPr>
  </w:p>
  <w:p>
    <w:pPr>
      <w:pStyle w:val="2"/>
      <w:widowControl/>
      <w:snapToGrid w:val="0"/>
      <w:jc w:val="left"/>
      <w:textAlignment w:val="baseline"/>
      <w:rPr>
        <w:rStyle w:val="6"/>
        <w:rFonts w:ascii="Calibri" w:hAnsi="Calibri"/>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4D61C9"/>
    <w:rsid w:val="24822822"/>
    <w:rsid w:val="258C57FC"/>
    <w:rsid w:val="289C75D0"/>
    <w:rsid w:val="459333C6"/>
    <w:rsid w:val="65611F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jc w:val="both"/>
      <w:textAlignment w:val="baseline"/>
    </w:pPr>
    <w:rPr>
      <w:rFonts w:ascii="Calibri" w:hAnsi="Calibri" w:eastAsia="宋体" w:cstheme="minorBid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widowControl/>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qFormat/>
    <w:uiPriority w:val="0"/>
    <w:pPr>
      <w:widowControl/>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kern w:val="2"/>
      <w:sz w:val="18"/>
      <w:szCs w:val="21"/>
      <w:lang w:val="en-US" w:eastAsia="zh-CN" w:bidi="ar-SA"/>
    </w:rPr>
  </w:style>
  <w:style w:type="character" w:customStyle="1" w:styleId="6">
    <w:name w:val="NormalCharacter"/>
    <w:link w:val="1"/>
    <w:semiHidden/>
    <w:qFormat/>
    <w:uiPriority w:val="0"/>
  </w:style>
  <w:style w:type="table" w:customStyle="1" w:styleId="7">
    <w:name w:val="TableNormal"/>
    <w:semiHidden/>
    <w:qFormat/>
    <w:uiPriority w:val="0"/>
  </w:style>
  <w:style w:type="character" w:customStyle="1" w:styleId="8">
    <w:name w:val="UserStyle_0"/>
    <w:link w:val="1"/>
    <w:semiHidden/>
    <w:qFormat/>
    <w:uiPriority w:val="0"/>
  </w:style>
  <w:style w:type="character" w:customStyle="1" w:styleId="9">
    <w:name w:val="PageNumber"/>
    <w:basedOn w:val="6"/>
    <w:link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Office_11.1.0.9828_F1E327BC-269C-435d-A152-05C5408002CA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2020-07-12T04:24:00Z</dcterms:created>
  <dc:creator>zonghebu</dc:creator>
  <cp:lastModifiedBy>风</cp:lastModifiedBy>
  <dcterms:modified xsi:type="dcterms:W3CDTF">2020-07-12T11:41:18Z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